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Tema 22. Protección de Datos: Normativa Interna UAL</w:t>
      </w:r>
    </w:p>
    <w:p>
      <w:pPr>
        <w:pStyle w:val="Heading3"/>
        <w:spacing w:after="100" w:before="200"/>
      </w:pPr>
      <w:r>
        <w:t xml:space="preserve">Nota metodológica sobre las fuentes</w:t>
      </w:r>
    </w:p>
    <w:p>
      <w:pPr>
        <w:spacing w:after="120"/>
        <w:jc w:val="both"/>
      </w:pPr>
      <w:r>
        <w:t xml:space="preserve">Antes de entrar en el contenido, una aclaración importante para el estudio: los tres documentos de este Tema 22 son normativa </w:t>
      </w:r>
      <w:r>
        <w:rPr>
          <w:b/>
          <w:bCs/>
        </w:rPr>
        <w:t xml:space="preserve">interna y muy reciente</w:t>
      </w:r>
      <w:r>
        <w:t xml:space="preserve"> de la Universidad de Almería (UAL), no leyes estatales con desarrollo doctrinal amplio. He localizado y consultado los tres textos oficiales en el repositorio de descargas de `ual.es` (enlazados desde la página de la Comisión de Seguridad Informática y Protección de Datos de la UAL, `ual.es/universidad/otrosorganos/comisionseguridad/normativa-y-procedimientos`):</w:t>
      </w:r>
    </w:p>
    <w:p>
      <w:pPr>
        <w:pStyle w:val="ListParagraph"/>
        <w:numPr>
          <w:ilvl w:val="0"/>
          <w:numId w:val="2"/>
        </w:numPr>
        <w:spacing w:after="60"/>
      </w:pPr>
      <w:r>
        <w:rPr>
          <w:b/>
          <w:bCs/>
        </w:rPr>
        <w:t xml:space="preserve">Política de Seguridad de la Información de la UAL</w:t>
      </w:r>
      <w:r>
        <w:t xml:space="preserve"> — aprobada por Consejo de Gobierno el </w:t>
      </w:r>
      <w:r>
        <w:rPr>
          <w:b/>
          <w:bCs/>
        </w:rPr>
        <w:t xml:space="preserve">5 de noviembre de 2025</w:t>
      </w:r>
      <w:r>
        <w:t xml:space="preserve"> (deroga la política anterior, de 18 de junio de 2018).</w:t>
      </w:r>
    </w:p>
    <w:p>
      <w:pPr>
        <w:pStyle w:val="ListParagraph"/>
        <w:numPr>
          <w:ilvl w:val="0"/>
          <w:numId w:val="2"/>
        </w:numPr>
        <w:spacing w:after="60"/>
      </w:pPr>
      <w:r>
        <w:rPr>
          <w:b/>
          <w:bCs/>
        </w:rPr>
        <w:t xml:space="preserve">Normas de uso de los Sistemas de Información de la UAL</w:t>
      </w:r>
      <w:r>
        <w:t xml:space="preserve"> — aprobadas por Consejo de Gobierno el </w:t>
      </w:r>
      <w:r>
        <w:rPr>
          <w:b/>
          <w:bCs/>
        </w:rPr>
        <w:t xml:space="preserve">15 de julio de 2024</w:t>
      </w:r>
      <w:r>
        <w:t xml:space="preserve"> (deroga las normas anteriores, de 11 de junio de 2019).</w:t>
      </w:r>
    </w:p>
    <w:p>
      <w:pPr>
        <w:pStyle w:val="ListParagraph"/>
        <w:numPr>
          <w:ilvl w:val="0"/>
          <w:numId w:val="2"/>
        </w:numPr>
        <w:spacing w:after="60"/>
      </w:pPr>
      <w:r>
        <w:rPr>
          <w:b/>
          <w:bCs/>
        </w:rPr>
        <w:t xml:space="preserve">Normas de información en materia de protección de datos en los procesos de concurrencia competitiva de la UAL</w:t>
      </w:r>
      <w:r>
        <w:t xml:space="preserve"> — aprobadas por Consejo de Gobierno el </w:t>
      </w:r>
      <w:r>
        <w:rPr>
          <w:b/>
          <w:bCs/>
        </w:rPr>
        <w:t xml:space="preserve">14 de febrero de 2023</w:t>
      </w:r>
      <w:r>
        <w:t xml:space="preserve">.</w:t>
      </w:r>
    </w:p>
    <w:p>
      <w:pPr>
        <w:spacing w:after="120"/>
        <w:jc w:val="both"/>
      </w:pPr>
      <w:r>
        <w:t xml:space="preserve">Lo que se resume a continuación (títulos exactos, fechas, estructura por secciones/artículos, roles, principios, obligaciones concretas) procede de la lectura directa de los tres PDF oficiales. Aun así, para un examen real te recomiendo </w:t>
      </w:r>
      <w:r>
        <w:rPr>
          <w:b/>
          <w:bCs/>
        </w:rPr>
        <w:t xml:space="preserve">verificar el texto vigente en el momento del examen</w:t>
      </w:r>
      <w:r>
        <w:t xml:space="preserve"> en la web de la UAL, porque estos documentos son susceptibles de revisión y porque el extractor automático usado puede haber resumido matices menores de redacción (no el contenido sustantivo, que se ha contrastado en las tres fuentes). Cuando el dato es literal y muy probablemente objeto de pregunta (fechas, nombres de cargos, plazos, artículos concretos), lo marco con ⚠️.</w:t>
      </w:r>
    </w:p>
    <w:p>
      <w:pPr>
        <w:pBdr>
          <w:bottom w:val="single" w:color="AAAAAA" w:sz="6" w:space="1"/>
        </w:pBdr>
        <w:spacing w:after="200"/>
      </w:pPr>
    </w:p>
    <w:p>
      <w:pPr>
        <w:pStyle w:val="Heading2"/>
        <w:spacing w:after="120" w:before="260"/>
      </w:pPr>
      <w:r>
        <w:t xml:space="preserve">1. Política de Seguridad de la Información de la UAL (5 de noviembre de 2025)</w:t>
      </w:r>
    </w:p>
    <w:p>
      <w:pPr>
        <w:pStyle w:val="Heading3"/>
        <w:spacing w:after="100" w:before="200"/>
      </w:pPr>
      <w:r>
        <w:t xml:space="preserve">1.1 Qué es y para qué sirve</w:t>
      </w:r>
    </w:p>
    <w:p>
      <w:pPr>
        <w:spacing w:after="120"/>
        <w:jc w:val="both"/>
      </w:pPr>
      <w:r>
        <w:t xml:space="preserve">La Política de Seguridad de la Información (PSI) es el </w:t>
      </w:r>
      <w:r>
        <w:rPr>
          <w:b/>
          <w:bCs/>
        </w:rPr>
        <w:t xml:space="preserve">documento marco</w:t>
      </w:r>
      <w:r>
        <w:t xml:space="preserve"> que fija los principios, objetivos, organización y responsabilidades en materia de seguridad de las tecnologías de la información y comunicación (TIC) en la UAL. No es una norma técnica detallada, sino la "declaración de intenciones" de la que se derivan luego normas más operativas (como las Normas de uso de los Sistemas de Información, documento 2 de este tema). Es el equivalente, dentro de la UAL, a lo que en cualquier organización pública española exige el </w:t>
      </w:r>
      <w:r>
        <w:rPr>
          <w:b/>
          <w:bCs/>
        </w:rPr>
        <w:t xml:space="preserve">Esquema Nacional de Seguridad (ENS)</w:t>
      </w:r>
      <w:r>
        <w:t xml:space="preserve">, regulado hoy por el </w:t>
      </w:r>
      <w:r>
        <w:rPr>
          <w:b/>
          <w:bCs/>
        </w:rPr>
        <w:t xml:space="preserve">Real Decreto 311/2022</w:t>
      </w:r>
      <w:r>
        <w:t xml:space="preserve">.</w:t>
      </w:r>
    </w:p>
    <w:p>
      <w:pPr>
        <w:spacing w:after="120"/>
        <w:jc w:val="both"/>
      </w:pPr>
      <w:r>
        <w:t xml:space="preserve">⚠️ </w:t>
      </w:r>
      <w:r>
        <w:rPr>
          <w:b/>
          <w:bCs/>
        </w:rPr>
        <w:t xml:space="preserve">MUY PREGUNTADO EN EXAMEN</w:t>
      </w:r>
      <w:r>
        <w:t xml:space="preserve">: la fecha de aprobación (5 de noviembre de 2025, Consejo de Gobierno) y el hecho de que </w:t>
      </w:r>
      <w:r>
        <w:rPr>
          <w:b/>
          <w:bCs/>
        </w:rPr>
        <w:t xml:space="preserve">deroga la política anterior de 18 de junio de 2018</w:t>
      </w:r>
      <w:r>
        <w:t xml:space="preserve">. Es muy típico que un examen pregunte "¿qué política deroga la actual PSI de la UAL?" o "¿en qué fecha se aprobó la vigente Política de Seguridad de la Información?".</w:t>
      </w:r>
    </w:p>
    <w:p>
      <w:pPr>
        <w:pStyle w:val="Heading3"/>
        <w:spacing w:after="100" w:before="200"/>
      </w:pPr>
      <w:r>
        <w:t xml:space="preserve">1.2 Marco normativo en el que se apoya</w:t>
      </w:r>
    </w:p>
    <w:p>
      <w:pPr>
        <w:spacing w:after="120"/>
        <w:jc w:val="both"/>
      </w:pPr>
      <w:r>
        <w:t xml:space="preserve">La PSI cita expresamente, entre otras normas:</w:t>
      </w:r>
    </w:p>
    <w:p>
      <w:pPr>
        <w:pStyle w:val="ListParagraph"/>
        <w:numPr>
          <w:ilvl w:val="0"/>
          <w:numId w:val="2"/>
        </w:numPr>
        <w:spacing w:after="60"/>
      </w:pPr>
      <w:r>
        <w:t xml:space="preserve">Reglamento (UE) 2016/679 (</w:t>
      </w:r>
      <w:r>
        <w:rPr>
          <w:b/>
          <w:bCs/>
        </w:rPr>
        <w:t xml:space="preserve">RGPD</w:t>
      </w:r>
      <w:r>
        <w:t xml:space="preserve">)</w:t>
      </w:r>
    </w:p>
    <w:p>
      <w:pPr>
        <w:pStyle w:val="ListParagraph"/>
        <w:numPr>
          <w:ilvl w:val="0"/>
          <w:numId w:val="2"/>
        </w:numPr>
        <w:spacing w:after="60"/>
      </w:pPr>
      <w:r>
        <w:t xml:space="preserve">Ley Orgánica 3/2018, de protección de datos personales y garantía de los derechos digitales (</w:t>
      </w:r>
      <w:r>
        <w:rPr>
          <w:b/>
          <w:bCs/>
        </w:rPr>
        <w:t xml:space="preserve">LOPDGDD</w:t>
      </w:r>
      <w:r>
        <w:t xml:space="preserve">, el Tema 3 que ya has estudiado)</w:t>
      </w:r>
    </w:p>
    <w:p>
      <w:pPr>
        <w:pStyle w:val="ListParagraph"/>
        <w:numPr>
          <w:ilvl w:val="0"/>
          <w:numId w:val="2"/>
        </w:numPr>
        <w:spacing w:after="60"/>
      </w:pPr>
      <w:r>
        <w:t xml:space="preserve">Real Decreto 311/2022 (Esquema Nacional de Seguridad, ENS)</w:t>
      </w:r>
    </w:p>
    <w:p>
      <w:pPr>
        <w:pStyle w:val="ListParagraph"/>
        <w:numPr>
          <w:ilvl w:val="0"/>
          <w:numId w:val="2"/>
        </w:numPr>
        <w:spacing w:after="60"/>
      </w:pPr>
      <w:r>
        <w:t xml:space="preserve">Real Decreto 203/2021 (Reglamento de actuación y funcionamiento del sector público por medios electrónicos)</w:t>
      </w:r>
    </w:p>
    <w:p>
      <w:pPr>
        <w:pStyle w:val="ListParagraph"/>
        <w:numPr>
          <w:ilvl w:val="0"/>
          <w:numId w:val="2"/>
        </w:numPr>
        <w:spacing w:after="60"/>
      </w:pPr>
      <w:r>
        <w:t xml:space="preserve">Real Decreto 4/2010 (Esquema Nacional de Interoperabilidad)</w:t>
      </w:r>
    </w:p>
    <w:p>
      <w:pPr>
        <w:pStyle w:val="ListParagraph"/>
        <w:numPr>
          <w:ilvl w:val="0"/>
          <w:numId w:val="2"/>
        </w:numPr>
        <w:spacing w:after="60"/>
      </w:pPr>
      <w:r>
        <w:t xml:space="preserve">Ley Orgánica 2/2023, del Sistema Universitario</w:t>
      </w:r>
    </w:p>
    <w:p>
      <w:pPr>
        <w:pStyle w:val="ListParagraph"/>
        <w:numPr>
          <w:ilvl w:val="0"/>
          <w:numId w:val="2"/>
        </w:numPr>
        <w:spacing w:after="60"/>
      </w:pPr>
      <w:r>
        <w:t xml:space="preserve">Leyes 39/2015 y 40/2015 (procedimiento administrativo común y régimen jurídico del sector público)</w:t>
      </w:r>
    </w:p>
    <w:p>
      <w:pPr>
        <w:pStyle w:val="ListParagraph"/>
        <w:numPr>
          <w:ilvl w:val="0"/>
          <w:numId w:val="2"/>
        </w:numPr>
        <w:spacing w:after="60"/>
      </w:pPr>
      <w:r>
        <w:t xml:space="preserve">Ley 19/2013, de transparencia</w:t>
      </w:r>
    </w:p>
    <w:p>
      <w:pPr>
        <w:pStyle w:val="ListParagraph"/>
        <w:numPr>
          <w:ilvl w:val="0"/>
          <w:numId w:val="2"/>
        </w:numPr>
        <w:spacing w:after="60"/>
      </w:pPr>
      <w:r>
        <w:t xml:space="preserve">Guías CCN-STIC-801 y CCN-STIC-881 (esta última específica de adecuación del ENS a universidades)</w:t>
      </w:r>
    </w:p>
    <w:p>
      <w:pPr>
        <w:spacing w:after="120"/>
        <w:jc w:val="both"/>
      </w:pPr>
      <w:r>
        <w:rPr>
          <w:b/>
          <w:bCs/>
        </w:rPr>
        <w:t xml:space="preserve">Conexión con el Tema 3 (LOPDGDD)</w:t>
      </w:r>
      <w:r>
        <w:t xml:space="preserve">: la PSI no sustituye a la LOPDGDD, sino que la operativiza dentro de la UAL. Donde la LOPDGDD establece obligaciones genéricas (medidas de seguridad "apropiadas al riesgo", designación de Delegado de Protección de Datos, principio de responsabilidad proactiva del art. 5 RGPD), la PSI concreta </w:t>
      </w:r>
      <w:r>
        <w:rPr>
          <w:b/>
          <w:bCs/>
        </w:rPr>
        <w:t xml:space="preserve">quién hace qué</w:t>
      </w:r>
      <w:r>
        <w:t xml:space="preserve"> dentro de la Universidad para cumplir esas obligaciones: quién decide los requisitos de seguridad, quién los implementa, quién audita, quién forma al personal, etc.</w:t>
      </w:r>
    </w:p>
    <w:p>
      <w:pPr>
        <w:pStyle w:val="Heading3"/>
        <w:spacing w:after="100" w:before="200"/>
      </w:pPr>
      <w:r>
        <w:t xml:space="preserve">1.3 Los cuatro pilares de la estrategia de seguridad</w:t>
      </w:r>
    </w:p>
    <w:p>
      <w:pPr>
        <w:spacing w:after="120"/>
        <w:jc w:val="both"/>
      </w:pPr>
      <w:r>
        <w:t xml:space="preserve">La PSI organiza su enfoque en cuatro fases clásicas de gestión de la seguridad (introducción, apdo. 1):</w:t>
      </w:r>
    </w:p>
    <w:p>
      <w:pPr>
        <w:pStyle w:val="ListParagraph"/>
        <w:numPr>
          <w:ilvl w:val="0"/>
          <w:numId w:val="3"/>
        </w:numPr>
        <w:spacing w:after="60"/>
      </w:pPr>
      <w:r>
        <w:rPr>
          <w:b/>
          <w:bCs/>
        </w:rPr>
        <w:t xml:space="preserve">Prevención</w:t>
      </w:r>
      <w:r>
        <w:t xml:space="preserve"> – autorización de sistemas, evaluaciones periódicas, revisiones independientes por terceros.</w:t>
      </w:r>
    </w:p>
    <w:p>
      <w:pPr>
        <w:pStyle w:val="ListParagraph"/>
        <w:numPr>
          <w:ilvl w:val="0"/>
          <w:numId w:val="3"/>
        </w:numPr>
        <w:spacing w:after="60"/>
      </w:pPr>
      <w:r>
        <w:rPr>
          <w:b/>
          <w:bCs/>
        </w:rPr>
        <w:t xml:space="preserve">Detección</w:t>
      </w:r>
      <w:r>
        <w:t xml:space="preserve"> – monitorización continua que detecta degradación del servicio y dispara mecanismos de respuesta documentados.</w:t>
      </w:r>
    </w:p>
    <w:p>
      <w:pPr>
        <w:pStyle w:val="ListParagraph"/>
        <w:numPr>
          <w:ilvl w:val="0"/>
          <w:numId w:val="3"/>
        </w:numPr>
        <w:spacing w:after="60"/>
      </w:pPr>
      <w:r>
        <w:rPr>
          <w:b/>
          <w:bCs/>
        </w:rPr>
        <w:t xml:space="preserve">Respuesta</w:t>
      </w:r>
      <w:r>
        <w:t xml:space="preserve"> – designación de puntos de contacto ante incidentes y protocolos de intercambio de información con equipos nacionales de respuesta (IRIS-CERT, CCN-CERT).</w:t>
      </w:r>
    </w:p>
    <w:p>
      <w:pPr>
        <w:pStyle w:val="ListParagraph"/>
        <w:numPr>
          <w:ilvl w:val="0"/>
          <w:numId w:val="3"/>
        </w:numPr>
        <w:spacing w:after="60"/>
      </w:pPr>
      <w:r>
        <w:rPr>
          <w:b/>
          <w:bCs/>
        </w:rPr>
        <w:t xml:space="preserve">Recuperación</w:t>
      </w:r>
      <w:r>
        <w:t xml:space="preserve"> – planes de continuidad de negocio que garantizan la disponibilidad de servicios críticos.</w:t>
      </w:r>
    </w:p>
    <w:p>
      <w:pPr>
        <w:spacing w:after="120"/>
        <w:jc w:val="both"/>
      </w:pPr>
      <w:r>
        <w:t xml:space="preserve">Es el esquema típico de cualquier política ENS: </w:t>
      </w:r>
      <w:r>
        <w:rPr>
          <w:b/>
          <w:bCs/>
        </w:rPr>
        <w:t xml:space="preserve">prevenir, detectar, responder, recuperar</w:t>
      </w:r>
      <w:r>
        <w:t xml:space="preserve">.</w:t>
      </w:r>
    </w:p>
    <w:p>
      <w:pPr>
        <w:pStyle w:val="Heading3"/>
        <w:spacing w:after="100" w:before="200"/>
      </w:pPr>
      <w:r>
        <w:t xml:space="preserve">1.4 Principios básicos (7 principios)</w:t>
      </w:r>
    </w:p>
    <w:p>
      <w:pPr>
        <w:spacing w:after="120"/>
        <w:jc w:val="both"/>
      </w:pPr>
      <w:r>
        <w:t xml:space="preserve">La política enumera principios básicos entre los que destacan (útil memorizarlos aproximadamente, aunque no literalmente):</w:t>
      </w:r>
    </w:p>
    <w:p>
      <w:pPr>
        <w:pStyle w:val="ListParagraph"/>
        <w:numPr>
          <w:ilvl w:val="0"/>
          <w:numId w:val="3"/>
        </w:numPr>
        <w:spacing w:after="60"/>
      </w:pPr>
      <w:r>
        <w:rPr>
          <w:b/>
          <w:bCs/>
        </w:rPr>
        <w:t xml:space="preserve">Alcance estratégico</w:t>
      </w:r>
      <w:r>
        <w:t xml:space="preserve"> – requiere compromiso de todos los niveles de dirección.</w:t>
      </w:r>
    </w:p>
    <w:p>
      <w:pPr>
        <w:pStyle w:val="ListParagraph"/>
        <w:numPr>
          <w:ilvl w:val="0"/>
          <w:numId w:val="3"/>
        </w:numPr>
        <w:spacing w:after="60"/>
      </w:pPr>
      <w:r>
        <w:rPr>
          <w:b/>
          <w:bCs/>
        </w:rPr>
        <w:t xml:space="preserve">Responsabilidad diferenciada</w:t>
      </w:r>
      <w:r>
        <w:t xml:space="preserve"> – identifica cuatro roles clave (responsable de la información, del servicio, del sistema y de la seguridad).</w:t>
      </w:r>
    </w:p>
    <w:p>
      <w:pPr>
        <w:pStyle w:val="ListParagraph"/>
        <w:numPr>
          <w:ilvl w:val="0"/>
          <w:numId w:val="3"/>
        </w:numPr>
        <w:spacing w:after="60"/>
      </w:pPr>
      <w:r>
        <w:rPr>
          <w:b/>
          <w:bCs/>
        </w:rPr>
        <w:t xml:space="preserve">Seguridad integral</w:t>
      </w:r>
      <w:r>
        <w:t xml:space="preserve"> – enfoque que combina elementos técnicos, humanos, materiales y organizativos.</w:t>
      </w:r>
    </w:p>
    <w:p>
      <w:pPr>
        <w:pStyle w:val="ListParagraph"/>
        <w:numPr>
          <w:ilvl w:val="0"/>
          <w:numId w:val="3"/>
        </w:numPr>
        <w:spacing w:after="60"/>
      </w:pPr>
      <w:r>
        <w:rPr>
          <w:b/>
          <w:bCs/>
        </w:rPr>
        <w:t xml:space="preserve">Gestión de riesgos</w:t>
      </w:r>
      <w:r>
        <w:t xml:space="preserve"> – mantener el riesgo en niveles controlados y aceptables.</w:t>
      </w:r>
    </w:p>
    <w:p>
      <w:pPr>
        <w:pStyle w:val="ListParagraph"/>
        <w:numPr>
          <w:ilvl w:val="0"/>
          <w:numId w:val="3"/>
        </w:numPr>
        <w:spacing w:after="60"/>
      </w:pPr>
      <w:r>
        <w:rPr>
          <w:b/>
          <w:bCs/>
        </w:rPr>
        <w:t xml:space="preserve">Proporcionalidad</w:t>
      </w:r>
      <w:r>
        <w:t xml:space="preserve"> – las medidas deben ser proporcionadas al riesgo y a la criticidad de los datos.</w:t>
      </w:r>
    </w:p>
    <w:p>
      <w:pPr>
        <w:pStyle w:val="ListParagraph"/>
        <w:numPr>
          <w:ilvl w:val="0"/>
          <w:numId w:val="3"/>
        </w:numPr>
        <w:spacing w:after="60"/>
      </w:pPr>
      <w:r>
        <w:rPr>
          <w:b/>
          <w:bCs/>
        </w:rPr>
        <w:t xml:space="preserve">Mejora continua</w:t>
      </w:r>
      <w:r>
        <w:t xml:space="preserve"> – reevaluación y actualización periódica de las medidas.</w:t>
      </w:r>
    </w:p>
    <w:p>
      <w:pPr>
        <w:pStyle w:val="ListParagraph"/>
        <w:numPr>
          <w:ilvl w:val="0"/>
          <w:numId w:val="3"/>
        </w:numPr>
        <w:spacing w:after="60"/>
      </w:pPr>
      <w:r>
        <w:rPr>
          <w:b/>
          <w:bCs/>
        </w:rPr>
        <w:t xml:space="preserve">Seguridad por defecto</w:t>
      </w:r>
      <w:r>
        <w:t xml:space="preserve"> – los sistemas se diseñan y configuran con seguridad suficiente desde el origen.</w:t>
      </w:r>
    </w:p>
    <w:p>
      <w:pPr>
        <w:spacing w:after="120"/>
        <w:jc w:val="both"/>
      </w:pPr>
      <w:r>
        <w:t xml:space="preserve">Este catálogo recuerda directamente a los </w:t>
      </w:r>
      <w:r>
        <w:rPr>
          <w:b/>
          <w:bCs/>
        </w:rPr>
        <w:t xml:space="preserve">principios del art. 5 RGPD y del art. 4 LOPDGDD</w:t>
      </w:r>
      <w:r>
        <w:t xml:space="preserve"> (minimización, integridad y confidencialidad, responsabilidad proactiva). No es casualidad: la PSI "traduce" esos principios generales al ámbito TIC.</w:t>
      </w:r>
    </w:p>
    <w:p>
      <w:pPr>
        <w:pStyle w:val="Heading3"/>
        <w:spacing w:after="100" w:before="200"/>
      </w:pPr>
      <w:r>
        <w:t xml:space="preserve">1.5 Ámbito de aplicación</w:t>
      </w:r>
    </w:p>
    <w:p>
      <w:pPr>
        <w:spacing w:after="120"/>
        <w:jc w:val="both"/>
      </w:pPr>
      <w:r>
        <w:t xml:space="preserve">La PSI se aplica a:</w:t>
      </w:r>
    </w:p>
    <w:p>
      <w:pPr>
        <w:pStyle w:val="ListParagraph"/>
        <w:numPr>
          <w:ilvl w:val="0"/>
          <w:numId w:val="2"/>
        </w:numPr>
        <w:spacing w:after="60"/>
      </w:pPr>
      <w:r>
        <w:t xml:space="preserve">Los sistemas de información de la UAL vinculados a sus competencias.</w:t>
      </w:r>
    </w:p>
    <w:p>
      <w:pPr>
        <w:pStyle w:val="ListParagraph"/>
        <w:numPr>
          <w:ilvl w:val="0"/>
          <w:numId w:val="2"/>
        </w:numPr>
        <w:spacing w:after="60"/>
      </w:pPr>
      <w:r>
        <w:t xml:space="preserve">Todos los usuarios autorizados (personal propio o ajeno).</w:t>
      </w:r>
    </w:p>
    <w:p>
      <w:pPr>
        <w:pStyle w:val="ListParagraph"/>
        <w:numPr>
          <w:ilvl w:val="0"/>
          <w:numId w:val="2"/>
        </w:numPr>
        <w:spacing w:after="60"/>
      </w:pPr>
      <w:r>
        <w:t xml:space="preserve">Los sistemas gestionados de forma centralizada a través del Área de Tecnologías de la Información y las Comunicaciones (</w:t>
      </w:r>
      <w:r>
        <w:rPr>
          <w:b/>
          <w:bCs/>
        </w:rPr>
        <w:t xml:space="preserve">ATIC</w:t>
      </w:r>
      <w:r>
        <w:t xml:space="preserve">).</w:t>
      </w:r>
    </w:p>
    <w:p>
      <w:pPr>
        <w:spacing w:after="120"/>
        <w:jc w:val="both"/>
      </w:pPr>
      <w:r>
        <w:t xml:space="preserve">Servicios expresamente incluidos: </w:t>
      </w:r>
      <w:r>
        <w:rPr>
          <w:b/>
          <w:bCs/>
        </w:rPr>
        <w:t xml:space="preserve">ERP institucional</w:t>
      </w:r>
      <w:r>
        <w:t xml:space="preserve"> (gestión académica, económica, RRHH, investigación, Campus Virtual, Data Warehouse), sistema de </w:t>
      </w:r>
      <w:r>
        <w:rPr>
          <w:b/>
          <w:bCs/>
        </w:rPr>
        <w:t xml:space="preserve">Administración Electrónica</w:t>
      </w:r>
      <w:r>
        <w:t xml:space="preserve">, servicios académicos (docencia virtual, aulas virtuales, gestión bibliotecaria), servicios adicionales (marketing, gestión de residuos, antiguos alumnos, deportes, alojamiento) y el </w:t>
      </w:r>
      <w:r>
        <w:rPr>
          <w:b/>
          <w:bCs/>
        </w:rPr>
        <w:t xml:space="preserve">sistema web institucional</w:t>
      </w:r>
      <w:r>
        <w:t xml:space="preserve">.</w:t>
      </w:r>
    </w:p>
    <w:p>
      <w:pPr>
        <w:pStyle w:val="Heading3"/>
        <w:spacing w:after="100" w:before="200"/>
      </w:pPr>
      <w:r>
        <w:t xml:space="preserve">1.6 Organización de la seguridad de la información (roles) — sección clave para el examen</w:t>
      </w:r>
    </w:p>
    <w:p>
      <w:pPr>
        <w:spacing w:after="120"/>
        <w:jc w:val="both"/>
      </w:pPr>
      <w:r>
        <w:t xml:space="preserve">⚠️ </w:t>
      </w:r>
      <w:r>
        <w:rPr>
          <w:b/>
          <w:bCs/>
        </w:rPr>
        <w:t xml:space="preserve">MUY PREGUNTADO EN EXAMEN</w:t>
      </w:r>
      <w:r>
        <w:t xml:space="preserve">: la correspondencia entre cada </w:t>
      </w:r>
      <w:r>
        <w:rPr>
          <w:b/>
          <w:bCs/>
        </w:rPr>
        <w:t xml:space="preserve">rol</w:t>
      </w:r>
      <w:r>
        <w:t xml:space="preserve"> y el </w:t>
      </w:r>
      <w:r>
        <w:rPr>
          <w:b/>
          <w:bCs/>
        </w:rPr>
        <w:t xml:space="preserve">cargo/órgano</w:t>
      </w:r>
      <w:r>
        <w:t xml:space="preserve"> que lo desempeña en la UAL. Esta tabla es de las partes más "examinables" de todo el tema porque son datos objetivos y cerrados.</w:t>
      </w:r>
    </w:p>
    <w:p>
      <w:pPr>
        <w:spacing w:after="120"/>
        <w:jc w:val="both"/>
      </w:pPr>
      <w:r>
        <w:t xml:space="preserve">| Rol (apdo. 7) | Quién lo ejerce en la UAL | Función principal |</w:t>
      </w:r>
    </w:p>
    <w:p>
      <w:pPr>
        <w:spacing w:after="120"/>
        <w:jc w:val="both"/>
      </w:pPr>
      <w:r>
        <w:t xml:space="preserve">|---|---|---|</w:t>
      </w:r>
    </w:p>
    <w:p>
      <w:pPr>
        <w:spacing w:after="120"/>
        <w:jc w:val="both"/>
      </w:pPr>
      <w:r>
        <w:t xml:space="preserve">| </w:t>
      </w:r>
      <w:r>
        <w:rPr>
          <w:b/>
          <w:bCs/>
        </w:rPr>
        <w:t xml:space="preserve">7.1 Responsable de la Información</w:t>
      </w:r>
      <w:r>
        <w:t xml:space="preserve"> | Secretaría General | Establece los requisitos de seguridad de la información |</w:t>
      </w:r>
    </w:p>
    <w:p>
      <w:pPr>
        <w:spacing w:after="120"/>
        <w:jc w:val="both"/>
      </w:pPr>
      <w:r>
        <w:t xml:space="preserve">| </w:t>
      </w:r>
      <w:r>
        <w:rPr>
          <w:b/>
          <w:bCs/>
        </w:rPr>
        <w:t xml:space="preserve">7.2 Responsable del Servicio TIC</w:t>
      </w:r>
      <w:r>
        <w:t xml:space="preserve"> | Miembro del equipo de gobierno con competencias TIC | Determina requisitos de seguridad de cada servicio |</w:t>
      </w:r>
    </w:p>
    <w:p>
      <w:pPr>
        <w:spacing w:after="120"/>
        <w:jc w:val="both"/>
      </w:pPr>
      <w:r>
        <w:t xml:space="preserve">| </w:t>
      </w:r>
      <w:r>
        <w:rPr>
          <w:b/>
          <w:bCs/>
        </w:rPr>
        <w:t xml:space="preserve">7.3 Responsable de Seguridad</w:t>
      </w:r>
      <w:r>
        <w:t xml:space="preserve"> | Dirección del Área de Tecnologías de la Información y las Comunicaciones | Mantiene la seguridad, promueve formación, verifica medidas, supervisa incidentes, aprueba procedimientos |</w:t>
      </w:r>
    </w:p>
    <w:p>
      <w:pPr>
        <w:spacing w:after="120"/>
        <w:jc w:val="both"/>
      </w:pPr>
      <w:r>
        <w:t xml:space="preserve">| </w:t>
      </w:r>
      <w:r>
        <w:rPr>
          <w:b/>
          <w:bCs/>
        </w:rPr>
        <w:t xml:space="preserve">7.4 Responsables del Sistema TIC</w:t>
      </w:r>
      <w:r>
        <w:t xml:space="preserve"> | Jefaturas de Servicio del Área TIC | Desarrollan, operan y mantienen los sistemas; pueden suspender el tratamiento ante deficiencias graves de seguridad |</w:t>
      </w:r>
    </w:p>
    <w:p>
      <w:pPr>
        <w:spacing w:after="120"/>
        <w:jc w:val="both"/>
      </w:pPr>
      <w:r>
        <w:t xml:space="preserve">| </w:t>
      </w:r>
      <w:r>
        <w:rPr>
          <w:b/>
          <w:bCs/>
        </w:rPr>
        <w:t xml:space="preserve">7.5 Administrador de Seguridad del Sistema</w:t>
      </w:r>
      <w:r>
        <w:t xml:space="preserve"> | Administrador de Servicios de Red y Seguridad TIC | Verifica procedimientos, supervisa instalaciones de hardware/software, colabora en la resolución de incidentes |</w:t>
      </w:r>
    </w:p>
    <w:p>
      <w:pPr>
        <w:spacing w:after="120"/>
        <w:jc w:val="both"/>
      </w:pPr>
      <w:r>
        <w:t xml:space="preserve">| </w:t>
      </w:r>
      <w:r>
        <w:rPr>
          <w:b/>
          <w:bCs/>
        </w:rPr>
        <w:t xml:space="preserve">7.6 Comité de Gestión del ENS</w:t>
      </w:r>
      <w:r>
        <w:t xml:space="preserve"> | Comisión de Seguridad Informática y Protección de Datos | Divulga la política, aprueba normativa de desarrollo, revisión anual de la política |</w:t>
      </w:r>
    </w:p>
    <w:p>
      <w:pPr>
        <w:spacing w:after="120"/>
        <w:jc w:val="both"/>
      </w:pPr>
      <w:r>
        <w:t xml:space="preserve">| </w:t>
      </w:r>
      <w:r>
        <w:rPr>
          <w:b/>
          <w:bCs/>
        </w:rPr>
        <w:t xml:space="preserve">7.7 Delegado de Protección de Datos (DPD)</w:t>
      </w:r>
      <w:r>
        <w:t xml:space="preserve"> | Persona especializada en Derecho y protección de datos | Informa sobre RGPD, supervisa el cumplimiento normativo, asesora en evaluaciones de impacto, es punto de contacto con la AEPD |</w:t>
      </w:r>
    </w:p>
    <w:p>
      <w:pPr>
        <w:spacing w:after="120"/>
        <w:jc w:val="both"/>
      </w:pPr>
      <w:r>
        <w:t xml:space="preserve">Fíjate en el </w:t>
      </w:r>
      <w:r>
        <w:rPr>
          <w:b/>
          <w:bCs/>
        </w:rPr>
        <w:t xml:space="preserve">paralelismo con el Tema 3</w:t>
      </w:r>
      <w:r>
        <w:t xml:space="preserve">: el </w:t>
      </w:r>
      <w:r>
        <w:rPr>
          <w:b/>
          <w:bCs/>
        </w:rPr>
        <w:t xml:space="preserve">Delegado de Protección de Datos (DPD)</w:t>
      </w:r>
      <w:r>
        <w:t xml:space="preserve"> que exige el RGPD (arts. 37-39) y la LOPDGDD (art. 34 y ss.) aparece aquí como una figura más dentro del organigrama de seguridad de la UAL, con funciones idénticas a las que ya estudiaste: asesorar, supervisar el cumplimiento, cooperar con la autoridad de control (en España, la AEPD) y actuar como punto de contacto.</w:t>
      </w:r>
    </w:p>
    <w:p>
      <w:pPr>
        <w:pStyle w:val="Heading3"/>
        <w:spacing w:after="100" w:before="200"/>
      </w:pPr>
      <w:r>
        <w:t xml:space="preserve">1.7 Datos personales, obligaciones del personal y gestión de riesgos</w:t>
      </w:r>
    </w:p>
    <w:p>
      <w:pPr>
        <w:pStyle w:val="ListParagraph"/>
        <w:numPr>
          <w:ilvl w:val="0"/>
          <w:numId w:val="2"/>
        </w:numPr>
        <w:spacing w:after="60"/>
      </w:pPr>
      <w:r>
        <w:rPr>
          <w:b/>
          <w:bCs/>
        </w:rPr>
        <w:t xml:space="preserve">Personal (apdo. 9)</w:t>
      </w:r>
      <w:r>
        <w:t xml:space="preserve">: todo el personal debe cumplir la política y las normas derivadas; formación/concienciación en seguridad con periodicidad </w:t>
      </w:r>
      <w:r>
        <w:rPr>
          <w:b/>
          <w:bCs/>
        </w:rPr>
        <w:t xml:space="preserve">mínima bienal</w:t>
      </w:r>
      <w:r>
        <w:t xml:space="preserve">; formación obligatoria antes de asumir responsabilidades TIC.</w:t>
      </w:r>
    </w:p>
    <w:p>
      <w:pPr>
        <w:pStyle w:val="ListParagraph"/>
        <w:numPr>
          <w:ilvl w:val="0"/>
          <w:numId w:val="2"/>
        </w:numPr>
        <w:spacing w:after="60"/>
      </w:pPr>
      <w:r>
        <w:rPr>
          <w:b/>
          <w:bCs/>
        </w:rPr>
        <w:t xml:space="preserve">Gestión de riesgos (apdo. 10)</w:t>
      </w:r>
      <w:r>
        <w:t xml:space="preserve">: análisis de riesgos con reevaluación </w:t>
      </w:r>
      <w:r>
        <w:rPr>
          <w:b/>
          <w:bCs/>
        </w:rPr>
        <w:t xml:space="preserve">mínima bienal</w:t>
      </w:r>
      <w:r>
        <w:t xml:space="preserve">, y también cuando cambien la información, los servicios, tras incidentes graves, ante vulnerabilidades críticas o cuando lo indique el DPD.</w:t>
      </w:r>
    </w:p>
    <w:p>
      <w:pPr>
        <w:pStyle w:val="ListParagraph"/>
        <w:numPr>
          <w:ilvl w:val="0"/>
          <w:numId w:val="2"/>
        </w:numPr>
        <w:spacing w:after="60"/>
      </w:pPr>
      <w:r>
        <w:rPr>
          <w:b/>
          <w:bCs/>
        </w:rPr>
        <w:t xml:space="preserve">Notificación de incidentes (apdo. 11)</w:t>
      </w:r>
      <w:r>
        <w:t xml:space="preserve">: conforme al art. 33 del RD 311/2022, la UAL notificará al </w:t>
      </w:r>
      <w:r>
        <w:rPr>
          <w:b/>
          <w:bCs/>
        </w:rPr>
        <w:t xml:space="preserve">Centro Criptológico Nacional (CCN)</w:t>
      </w:r>
      <w:r>
        <w:t xml:space="preserve"> los incidentes con impacto significativo, según la categorización del sistema.</w:t>
      </w:r>
    </w:p>
    <w:p>
      <w:pPr>
        <w:pStyle w:val="ListParagraph"/>
        <w:numPr>
          <w:ilvl w:val="0"/>
          <w:numId w:val="2"/>
        </w:numPr>
        <w:spacing w:after="60"/>
      </w:pPr>
      <w:r>
        <w:rPr>
          <w:b/>
          <w:bCs/>
        </w:rPr>
        <w:t xml:space="preserve">Terceros (apdo. 13)</w:t>
      </w:r>
      <w:r>
        <w:t xml:space="preserve">: los proveedores externos deben ajustarse a la política de seguridad o justificar documentalmente medidas de mitigación aprobadas por el Responsable de Seguridad (y, en su caso, con consulta al DPD y a la Comisión de Seguridad).</w:t>
      </w:r>
    </w:p>
    <w:p>
      <w:pPr>
        <w:spacing w:after="120"/>
        <w:jc w:val="both"/>
      </w:pPr>
      <w:r>
        <w:t xml:space="preserve">⚠️ </w:t>
      </w:r>
      <w:r>
        <w:rPr>
          <w:b/>
          <w:bCs/>
        </w:rPr>
        <w:t xml:space="preserve">MUY PREGUNTADO</w:t>
      </w:r>
      <w:r>
        <w:t xml:space="preserve">: la periodicidad </w:t>
      </w:r>
      <w:r>
        <w:rPr>
          <w:b/>
          <w:bCs/>
        </w:rPr>
        <w:t xml:space="preserve">bienal</w:t>
      </w:r>
      <w:r>
        <w:t xml:space="preserve"> (cada dos años) tanto para la formación en seguridad como para la revisión de riesgos es un dato muy concreto y fácil de convertir en pregunta tipo test ("¿con qué periodicidad mínima debe formarse al personal en seguridad de la información según la PSI de la UAL?").</w:t>
      </w:r>
    </w:p>
    <w:p>
      <w:pPr>
        <w:pBdr>
          <w:bottom w:val="single" w:color="AAAAAA" w:sz="6" w:space="1"/>
        </w:pBdr>
        <w:spacing w:after="200"/>
      </w:pPr>
    </w:p>
    <w:p>
      <w:pPr>
        <w:pStyle w:val="Heading2"/>
        <w:spacing w:after="120" w:before="260"/>
      </w:pPr>
      <w:r>
        <w:t xml:space="preserve">2. Normas de uso de los Sistemas de Información de la UAL (15 de julio de 2024)</w:t>
      </w:r>
    </w:p>
    <w:p>
      <w:pPr>
        <w:pStyle w:val="Heading3"/>
        <w:spacing w:after="100" w:before="200"/>
      </w:pPr>
      <w:r>
        <w:t xml:space="preserve">2.1 Naturaleza del documento</w:t>
      </w:r>
    </w:p>
    <w:p>
      <w:pPr>
        <w:spacing w:after="120"/>
        <w:jc w:val="both"/>
      </w:pPr>
      <w:r>
        <w:t xml:space="preserve">Si la PSI es el "marco" (qué principios rigen y quién manda), las </w:t>
      </w:r>
      <w:r>
        <w:rPr>
          <w:b/>
          <w:bCs/>
        </w:rPr>
        <w:t xml:space="preserve">Normas de uso de los Sistemas de Información</w:t>
      </w:r>
      <w:r>
        <w:t xml:space="preserve"> son el documento </w:t>
      </w:r>
      <w:r>
        <w:rPr>
          <w:b/>
          <w:bCs/>
        </w:rPr>
        <w:t xml:space="preserve">operativo y dirigido al usuario final</w:t>
      </w:r>
      <w:r>
        <w:t xml:space="preserve">: qué puede y qué no puede hacer cada empleado/a de la UAL con el equipo informático, la red corporativa, el correo electrónico y los datos personales que maneja en su puesto de trabajo. Es, por tanto, la norma con más probabilidad de generar preguntas "de sentido común aplicado" (situaciones concretas de uso indebido).</w:t>
      </w:r>
    </w:p>
    <w:p>
      <w:pPr>
        <w:spacing w:after="120"/>
        <w:jc w:val="both"/>
      </w:pPr>
      <w:r>
        <w:t xml:space="preserve">⚠️ </w:t>
      </w:r>
      <w:r>
        <w:rPr>
          <w:b/>
          <w:bCs/>
        </w:rPr>
        <w:t xml:space="preserve">MUY PREGUNTADO EN EXAMEN</w:t>
      </w:r>
      <w:r>
        <w:t xml:space="preserve">: fecha de aprobación (</w:t>
      </w:r>
      <w:r>
        <w:rPr>
          <w:b/>
          <w:bCs/>
        </w:rPr>
        <w:t xml:space="preserve">15 de julio de 2024</w:t>
      </w:r>
      <w:r>
        <w:t xml:space="preserve">, Consejo de Gobierno) y que </w:t>
      </w:r>
      <w:r>
        <w:rPr>
          <w:b/>
          <w:bCs/>
        </w:rPr>
        <w:t xml:space="preserve">deroga las normas anteriores de 11 de junio de 2019</w:t>
      </w:r>
      <w:r>
        <w:t xml:space="preserve">. Entra en vigor al día siguiente de su aprobación.</w:t>
      </w:r>
    </w:p>
    <w:p>
      <w:pPr>
        <w:pStyle w:val="Heading3"/>
        <w:spacing w:after="100" w:before="200"/>
      </w:pPr>
      <w:r>
        <w:t xml:space="preserve">2.2 Estructura del documento (13 apartados)</w:t>
      </w:r>
    </w:p>
    <w:p>
      <w:pPr>
        <w:pStyle w:val="ListParagraph"/>
        <w:numPr>
          <w:ilvl w:val="0"/>
          <w:numId w:val="3"/>
        </w:numPr>
        <w:spacing w:after="60"/>
      </w:pPr>
      <w:r>
        <w:t xml:space="preserve">Declaración de propósitos</w:t>
      </w:r>
    </w:p>
    <w:p>
      <w:pPr>
        <w:pStyle w:val="ListParagraph"/>
        <w:numPr>
          <w:ilvl w:val="0"/>
          <w:numId w:val="3"/>
        </w:numPr>
        <w:spacing w:after="60"/>
      </w:pPr>
      <w:r>
        <w:t xml:space="preserve">Ámbito objetivo</w:t>
      </w:r>
    </w:p>
    <w:p>
      <w:pPr>
        <w:pStyle w:val="ListParagraph"/>
        <w:numPr>
          <w:ilvl w:val="0"/>
          <w:numId w:val="3"/>
        </w:numPr>
        <w:spacing w:after="60"/>
      </w:pPr>
      <w:r>
        <w:t xml:space="preserve">Ámbito de aplicación</w:t>
      </w:r>
    </w:p>
    <w:p>
      <w:pPr>
        <w:pStyle w:val="ListParagraph"/>
        <w:numPr>
          <w:ilvl w:val="0"/>
          <w:numId w:val="3"/>
        </w:numPr>
        <w:spacing w:after="60"/>
      </w:pPr>
      <w:r>
        <w:t xml:space="preserve">Normas generales de uso de dispositivos (4.1 equipos corporativos, 4.2 dispositivos móviles)</w:t>
      </w:r>
    </w:p>
    <w:p>
      <w:pPr>
        <w:pStyle w:val="ListParagraph"/>
        <w:numPr>
          <w:ilvl w:val="0"/>
          <w:numId w:val="3"/>
        </w:numPr>
        <w:spacing w:after="60"/>
      </w:pPr>
      <w:r>
        <w:t xml:space="preserve">Uso de la red corporativa</w:t>
      </w:r>
    </w:p>
    <w:p>
      <w:pPr>
        <w:pStyle w:val="ListParagraph"/>
        <w:numPr>
          <w:ilvl w:val="0"/>
          <w:numId w:val="3"/>
        </w:numPr>
        <w:spacing w:after="60"/>
      </w:pPr>
      <w:r>
        <w:t xml:space="preserve">Acceso a aplicaciones y servicios</w:t>
      </w:r>
    </w:p>
    <w:p>
      <w:pPr>
        <w:pStyle w:val="ListParagraph"/>
        <w:numPr>
          <w:ilvl w:val="0"/>
          <w:numId w:val="3"/>
        </w:numPr>
        <w:spacing w:after="60"/>
      </w:pPr>
      <w:r>
        <w:t xml:space="preserve">Acceso y tratamiento de datos personales (7.1 ficheros digitales, 7.2 ficheros en papel)</w:t>
      </w:r>
    </w:p>
    <w:p>
      <w:pPr>
        <w:pStyle w:val="ListParagraph"/>
        <w:numPr>
          <w:ilvl w:val="0"/>
          <w:numId w:val="3"/>
        </w:numPr>
        <w:spacing w:after="60"/>
      </w:pPr>
      <w:r>
        <w:t xml:space="preserve">Gestión de incidentes de seguridad</w:t>
      </w:r>
    </w:p>
    <w:p>
      <w:pPr>
        <w:pStyle w:val="ListParagraph"/>
        <w:numPr>
          <w:ilvl w:val="0"/>
          <w:numId w:val="3"/>
        </w:numPr>
        <w:spacing w:after="60"/>
      </w:pPr>
      <w:r>
        <w:t xml:space="preserve">Consecuencias del incumplimiento</w:t>
      </w:r>
    </w:p>
    <w:p>
      <w:pPr>
        <w:spacing w:after="120"/>
        <w:jc w:val="both"/>
      </w:pPr>
      <w:r>
        <w:t xml:space="preserve">10-13. Disposiciones adicionales, derogatoria y disposición final</w:t>
      </w:r>
    </w:p>
    <w:p>
      <w:pPr>
        <w:pStyle w:val="Heading3"/>
        <w:spacing w:after="100" w:before="200"/>
      </w:pPr>
      <w:r>
        <w:t xml:space="preserve">2.3 Ámbito de aplicación</w:t>
      </w:r>
    </w:p>
    <w:p>
      <w:pPr>
        <w:spacing w:after="120"/>
        <w:jc w:val="both"/>
      </w:pPr>
      <w:r>
        <w:t xml:space="preserve">De cumplimiento obligatorio para </w:t>
      </w:r>
      <w:r>
        <w:rPr>
          <w:b/>
          <w:bCs/>
        </w:rPr>
        <w:t xml:space="preserve">todos los usuarios de la UAL que utilicen equipos informáticos corporativos o accedan/traten información personal o no personal</w:t>
      </w:r>
      <w:r>
        <w:t xml:space="preserve"> en el desarrollo de sus funciones. Esto incluye tanto al PAS (personal de administración y servicios) como al PDI, y a personal externo autorizado.</w:t>
      </w:r>
    </w:p>
    <w:p>
      <w:pPr>
        <w:pStyle w:val="Heading3"/>
        <w:spacing w:after="100" w:before="200"/>
      </w:pPr>
      <w:r>
        <w:t xml:space="preserve">2.4 Usos prohibidos (art./apdo. 3-4)</w:t>
      </w:r>
    </w:p>
    <w:p>
      <w:pPr>
        <w:spacing w:after="120"/>
        <w:jc w:val="both"/>
      </w:pPr>
      <w:r>
        <w:t xml:space="preserve">Entre las conductas expresamente prohibidas:</w:t>
      </w:r>
    </w:p>
    <w:p>
      <w:pPr>
        <w:pStyle w:val="ListParagraph"/>
        <w:numPr>
          <w:ilvl w:val="0"/>
          <w:numId w:val="2"/>
        </w:numPr>
        <w:spacing w:after="60"/>
      </w:pPr>
      <w:r>
        <w:t xml:space="preserve">Actividades ilegales o difusión de contenidos racistas, xenófobos, pornográficos o terroristas.</w:t>
      </w:r>
    </w:p>
    <w:p>
      <w:pPr>
        <w:pStyle w:val="ListParagraph"/>
        <w:numPr>
          <w:ilvl w:val="0"/>
          <w:numId w:val="2"/>
        </w:numPr>
        <w:spacing w:after="60"/>
      </w:pPr>
      <w:r>
        <w:t xml:space="preserve">Uso de cuentas ajenas o compartir credenciales.</w:t>
      </w:r>
    </w:p>
    <w:p>
      <w:pPr>
        <w:pStyle w:val="ListParagraph"/>
        <w:numPr>
          <w:ilvl w:val="0"/>
          <w:numId w:val="2"/>
        </w:numPr>
        <w:spacing w:after="60"/>
      </w:pPr>
      <w:r>
        <w:t xml:space="preserve">Intentos de acceso no autorizado a sistemas.</w:t>
      </w:r>
    </w:p>
    <w:p>
      <w:pPr>
        <w:pStyle w:val="ListParagraph"/>
        <w:numPr>
          <w:ilvl w:val="0"/>
          <w:numId w:val="2"/>
        </w:numPr>
        <w:spacing w:after="60"/>
      </w:pPr>
      <w:r>
        <w:t xml:space="preserve">Introducir virus o código malicioso.</w:t>
      </w:r>
    </w:p>
    <w:p>
      <w:pPr>
        <w:pStyle w:val="ListParagraph"/>
        <w:numPr>
          <w:ilvl w:val="0"/>
          <w:numId w:val="2"/>
        </w:numPr>
        <w:spacing w:after="60"/>
      </w:pPr>
      <w:r>
        <w:rPr>
          <w:b/>
          <w:bCs/>
        </w:rPr>
        <w:t xml:space="preserve">"Violar la privacidad de los datos y el trabajo de otros usuarios"</w:t>
      </w:r>
      <w:r>
        <w:t xml:space="preserve">.</w:t>
      </w:r>
    </w:p>
    <w:p>
      <w:pPr>
        <w:pStyle w:val="ListParagraph"/>
        <w:numPr>
          <w:ilvl w:val="0"/>
          <w:numId w:val="2"/>
        </w:numPr>
        <w:spacing w:after="60"/>
      </w:pPr>
      <w:r>
        <w:t xml:space="preserve">Apropiarse indebidamente de ficheros de la Universidad.</w:t>
      </w:r>
    </w:p>
    <w:p>
      <w:pPr>
        <w:spacing w:after="120"/>
        <w:jc w:val="both"/>
      </w:pPr>
      <w:r>
        <w:t xml:space="preserve">Ejemplo práctico de examen: "Un funcionario deja su usuario y contraseña a un compañero para que consulte un expediente en su nombre. ¿Infringe las Normas de uso?" → Sí, está expresamente prohibido usar o compartir cuentas ajenas.</w:t>
      </w:r>
    </w:p>
    <w:p>
      <w:pPr>
        <w:pStyle w:val="Heading3"/>
        <w:spacing w:after="100" w:before="200"/>
      </w:pPr>
      <w:r>
        <w:t xml:space="preserve">2.5 Equipos corporativos y dispositivos móviles (apdo. 4)</w:t>
      </w:r>
    </w:p>
    <w:p>
      <w:pPr>
        <w:pStyle w:val="ListParagraph"/>
        <w:numPr>
          <w:ilvl w:val="0"/>
          <w:numId w:val="2"/>
        </w:numPr>
        <w:spacing w:after="60"/>
      </w:pPr>
      <w:r>
        <w:t xml:space="preserve">Los equipos son </w:t>
      </w:r>
      <w:r>
        <w:rPr>
          <w:b/>
          <w:bCs/>
        </w:rPr>
        <w:t xml:space="preserve">propiedad de la Universidad</w:t>
      </w:r>
      <w:r>
        <w:t xml:space="preserve">; </w:t>
      </w:r>
      <w:r>
        <w:rPr>
          <w:b/>
          <w:bCs/>
        </w:rPr>
        <w:t xml:space="preserve">el uso personal está prohibido</w:t>
      </w:r>
      <w:r>
        <w:t xml:space="preserve">.</w:t>
      </w:r>
    </w:p>
    <w:p>
      <w:pPr>
        <w:pStyle w:val="ListParagraph"/>
        <w:numPr>
          <w:ilvl w:val="0"/>
          <w:numId w:val="2"/>
        </w:numPr>
        <w:spacing w:after="60"/>
      </w:pPr>
      <w:r>
        <w:t xml:space="preserve">El usuario debe mantener la configuración, no instalar software/dispositivos no autorizados, mantener actualizado el antivirus y seguir los protocolos de ATIC.</w:t>
      </w:r>
    </w:p>
    <w:p>
      <w:pPr>
        <w:pStyle w:val="ListParagraph"/>
        <w:numPr>
          <w:ilvl w:val="0"/>
          <w:numId w:val="2"/>
        </w:numPr>
        <w:spacing w:after="60"/>
      </w:pPr>
      <w:r>
        <w:t xml:space="preserve">Los </w:t>
      </w:r>
      <w:r>
        <w:rPr>
          <w:b/>
          <w:bCs/>
        </w:rPr>
        <w:t xml:space="preserve">dispositivos móviles</w:t>
      </w:r>
      <w:r>
        <w:t xml:space="preserve"> son solo para uso laboral; si contienen datos personales y salen del campus, </w:t>
      </w:r>
      <w:r>
        <w:rPr>
          <w:b/>
          <w:bCs/>
        </w:rPr>
        <w:t xml:space="preserve">es obligatorio cifrarlos</w:t>
      </w:r>
      <w:r>
        <w:t xml:space="preserve">.</w:t>
      </w:r>
    </w:p>
    <w:p>
      <w:pPr>
        <w:spacing w:after="120"/>
        <w:jc w:val="both"/>
      </w:pPr>
      <w:r>
        <w:t xml:space="preserve">⚠️ Ejemplo típico: "¿Qué medida es obligatoria si un portátil corporativo con datos personales sale de las instalaciones de la UAL?" → El </w:t>
      </w:r>
      <w:r>
        <w:rPr>
          <w:b/>
          <w:bCs/>
        </w:rPr>
        <w:t xml:space="preserve">cifrado</w:t>
      </w:r>
      <w:r>
        <w:t xml:space="preserve"> del dispositivo.</w:t>
      </w:r>
    </w:p>
    <w:p>
      <w:pPr>
        <w:pStyle w:val="Heading3"/>
        <w:spacing w:after="100" w:before="200"/>
      </w:pPr>
      <w:r>
        <w:t xml:space="preserve">2.6 Uso de la red corporativa (apdo. 5)</w:t>
      </w:r>
    </w:p>
    <w:p>
      <w:pPr>
        <w:spacing w:after="120"/>
        <w:jc w:val="both"/>
      </w:pPr>
      <w:r>
        <w:t xml:space="preserve">Prohibiciones destacadas:</w:t>
      </w:r>
    </w:p>
    <w:p>
      <w:pPr>
        <w:pStyle w:val="ListParagraph"/>
        <w:numPr>
          <w:ilvl w:val="0"/>
          <w:numId w:val="2"/>
        </w:numPr>
        <w:spacing w:after="60"/>
      </w:pPr>
      <w:r>
        <w:t xml:space="preserve">Instalar programas que degraden el rendimiento de la red.</w:t>
      </w:r>
    </w:p>
    <w:p>
      <w:pPr>
        <w:pStyle w:val="ListParagraph"/>
        <w:numPr>
          <w:ilvl w:val="0"/>
          <w:numId w:val="2"/>
        </w:numPr>
        <w:spacing w:after="60"/>
      </w:pPr>
      <w:r>
        <w:t xml:space="preserve">Minado de criptomonedas.</w:t>
      </w:r>
    </w:p>
    <w:p>
      <w:pPr>
        <w:pStyle w:val="ListParagraph"/>
        <w:numPr>
          <w:ilvl w:val="0"/>
          <w:numId w:val="2"/>
        </w:numPr>
        <w:spacing w:after="60"/>
      </w:pPr>
      <w:r>
        <w:t xml:space="preserve">Programas de intercambio de archivos P2P.</w:t>
      </w:r>
    </w:p>
    <w:p>
      <w:pPr>
        <w:pStyle w:val="ListParagraph"/>
        <w:numPr>
          <w:ilvl w:val="0"/>
          <w:numId w:val="2"/>
        </w:numPr>
        <w:spacing w:after="60"/>
      </w:pPr>
      <w:r>
        <w:t xml:space="preserve">Uso comercial o privado no autorizado.</w:t>
      </w:r>
    </w:p>
    <w:p>
      <w:pPr>
        <w:pStyle w:val="ListParagraph"/>
        <w:numPr>
          <w:ilvl w:val="0"/>
          <w:numId w:val="2"/>
        </w:numPr>
        <w:spacing w:after="60"/>
      </w:pPr>
      <w:r>
        <w:t xml:space="preserve">Escaneo de puertos o programas "sniffer".</w:t>
      </w:r>
    </w:p>
    <w:p>
      <w:pPr>
        <w:pStyle w:val="ListParagraph"/>
        <w:numPr>
          <w:ilvl w:val="0"/>
          <w:numId w:val="2"/>
        </w:numPr>
        <w:spacing w:after="60"/>
      </w:pPr>
      <w:r>
        <w:t xml:space="preserve">Instalar puntos de acceso wifi no autorizados en las frecuencias reservadas por la Universidad (</w:t>
      </w:r>
      <w:r>
        <w:rPr>
          <w:b/>
          <w:bCs/>
        </w:rPr>
        <w:t xml:space="preserve">2,400-2,483 GHz y 5,725-5,850 GHz</w:t>
      </w:r>
      <w:r>
        <w:t xml:space="preserve">).</w:t>
      </w:r>
    </w:p>
    <w:p>
      <w:pPr>
        <w:spacing w:after="120"/>
        <w:jc w:val="both"/>
      </w:pPr>
      <w:r>
        <w:t xml:space="preserve">Además, se requiere autorización de ATIC para conectar equipos propios y está prohibido modificar direcciones IP asignadas.</w:t>
      </w:r>
    </w:p>
    <w:p>
      <w:pPr>
        <w:pStyle w:val="Heading3"/>
        <w:spacing w:after="100" w:before="200"/>
      </w:pPr>
      <w:r>
        <w:t xml:space="preserve">2.7 Acceso a aplicaciones y servicios (apdo. 6)</w:t>
      </w:r>
    </w:p>
    <w:p>
      <w:pPr>
        <w:pStyle w:val="ListParagraph"/>
        <w:numPr>
          <w:ilvl w:val="0"/>
          <w:numId w:val="2"/>
        </w:numPr>
        <w:spacing w:after="60"/>
      </w:pPr>
      <w:r>
        <w:t xml:space="preserve">Cada empleado tiene </w:t>
      </w:r>
      <w:r>
        <w:rPr>
          <w:b/>
          <w:bCs/>
        </w:rPr>
        <w:t xml:space="preserve">una única cuenta institucional</w:t>
      </w:r>
      <w:r>
        <w:t xml:space="preserve"> que da acceso a Campus Virtual, Microsoft 365, Google Workspace y firma digital.</w:t>
      </w:r>
    </w:p>
    <w:p>
      <w:pPr>
        <w:pStyle w:val="ListParagraph"/>
        <w:numPr>
          <w:ilvl w:val="0"/>
          <w:numId w:val="2"/>
        </w:numPr>
        <w:spacing w:after="60"/>
      </w:pPr>
      <w:r>
        <w:t xml:space="preserve">Puede exigirse </w:t>
      </w:r>
      <w:r>
        <w:rPr>
          <w:b/>
          <w:bCs/>
        </w:rPr>
        <w:t xml:space="preserve">doble factor de autenticación (2FA)</w:t>
      </w:r>
      <w:r>
        <w:t xml:space="preserve"> para determinados servicios.</w:t>
      </w:r>
    </w:p>
    <w:p>
      <w:pPr>
        <w:pStyle w:val="ListParagraph"/>
        <w:numPr>
          <w:ilvl w:val="0"/>
          <w:numId w:val="2"/>
        </w:numPr>
        <w:spacing w:after="60"/>
      </w:pPr>
      <w:r>
        <w:rPr>
          <w:b/>
          <w:bCs/>
        </w:rPr>
        <w:t xml:space="preserve">"Nunca debe utilizarse la cuenta de usuario asignada a otra persona"</w:t>
      </w:r>
      <w:r>
        <w:t xml:space="preserve"> (regla textual y muy citable).</w:t>
      </w:r>
    </w:p>
    <w:p>
      <w:pPr>
        <w:pStyle w:val="ListParagraph"/>
        <w:numPr>
          <w:ilvl w:val="0"/>
          <w:numId w:val="2"/>
        </w:numPr>
        <w:spacing w:after="60"/>
      </w:pPr>
      <w:r>
        <w:t xml:space="preserve">Obligación de </w:t>
      </w:r>
      <w:r>
        <w:rPr>
          <w:b/>
          <w:bCs/>
        </w:rPr>
        <w:t xml:space="preserve">bloquear la sesión</w:t>
      </w:r>
      <w:r>
        <w:t xml:space="preserve"> al ausentarse del puesto de trabajo.</w:t>
      </w:r>
    </w:p>
    <w:p>
      <w:pPr>
        <w:pStyle w:val="ListParagraph"/>
        <w:numPr>
          <w:ilvl w:val="0"/>
          <w:numId w:val="2"/>
        </w:numPr>
        <w:spacing w:after="60"/>
      </w:pPr>
      <w:r>
        <w:t xml:space="preserve">Obligación de comunicar de inmediato cualquier sospecha de compromiso de la contraseña.</w:t>
      </w:r>
    </w:p>
    <w:p>
      <w:pPr>
        <w:pStyle w:val="Heading3"/>
        <w:spacing w:after="100" w:before="200"/>
      </w:pPr>
      <w:r>
        <w:t xml:space="preserve">2.8 Acceso y tratamiento de datos personales (apdo. 7) — la parte más conectada con el Tema 3</w:t>
      </w:r>
    </w:p>
    <w:p>
      <w:pPr>
        <w:spacing w:after="120"/>
        <w:jc w:val="both"/>
      </w:pPr>
      <w:r>
        <w:t xml:space="preserve">Esta es la sección donde las Normas de uso enlazan de forma más directa con la LOPDGDD y el RGPD, porque desarrollan en la práctica diaria el principio de </w:t>
      </w:r>
      <w:r>
        <w:rPr>
          <w:b/>
          <w:bCs/>
        </w:rPr>
        <w:t xml:space="preserve">"integridad y confidencialidad"</w:t>
      </w:r>
      <w:r>
        <w:t xml:space="preserve"> (art. 5.1.f RGPD) y las </w:t>
      </w:r>
      <w:r>
        <w:rPr>
          <w:b/>
          <w:bCs/>
        </w:rPr>
        <w:t xml:space="preserve">medidas de seguridad técnicas y organizativas</w:t>
      </w:r>
      <w:r>
        <w:t xml:space="preserve"> (art. 32 RGPD, arts. 27 y ss. del RD 1720/2007 —derogado— y disposiciones equivalentes de la LOPDGDD).</w:t>
      </w:r>
    </w:p>
    <w:p>
      <w:pPr>
        <w:spacing w:after="120"/>
        <w:jc w:val="both"/>
      </w:pPr>
      <w:r>
        <w:rPr>
          <w:b/>
          <w:bCs/>
        </w:rPr>
        <w:t xml:space="preserve">Ficheros digitales (7.1):</w:t>
      </w:r>
    </w:p>
    <w:p>
      <w:pPr>
        <w:pStyle w:val="ListParagraph"/>
        <w:numPr>
          <w:ilvl w:val="0"/>
          <w:numId w:val="2"/>
        </w:numPr>
        <w:spacing w:after="60"/>
      </w:pPr>
      <w:r>
        <w:t xml:space="preserve">Mantener la confidencialidad de la contraseña; su uso es responsabilidad exclusiva del usuario.</w:t>
      </w:r>
    </w:p>
    <w:p>
      <w:pPr>
        <w:pStyle w:val="ListParagraph"/>
        <w:numPr>
          <w:ilvl w:val="0"/>
          <w:numId w:val="2"/>
        </w:numPr>
        <w:spacing w:after="60"/>
      </w:pPr>
      <w:r>
        <w:t xml:space="preserve">Almacenar los ficheros con datos personales </w:t>
      </w:r>
      <w:r>
        <w:rPr>
          <w:b/>
          <w:bCs/>
        </w:rPr>
        <w:t xml:space="preserve">solo</w:t>
      </w:r>
      <w:r>
        <w:t xml:space="preserve"> en el almacenamiento institucional proporcionado por ATIC (no en discos personales, USB, nube personal, etc.).</w:t>
      </w:r>
    </w:p>
    <w:p>
      <w:pPr>
        <w:pStyle w:val="ListParagraph"/>
        <w:numPr>
          <w:ilvl w:val="0"/>
          <w:numId w:val="2"/>
        </w:numPr>
        <w:spacing w:after="60"/>
      </w:pPr>
      <w:r>
        <w:rPr>
          <w:b/>
          <w:bCs/>
        </w:rPr>
        <w:t xml:space="preserve">Nunca enviar datos personales de categoría especial por correo electrónico</w:t>
      </w:r>
      <w:r>
        <w:t xml:space="preserve"> sin mecanismos de cifrado.</w:t>
      </w:r>
    </w:p>
    <w:p>
      <w:pPr>
        <w:pStyle w:val="ListParagraph"/>
        <w:numPr>
          <w:ilvl w:val="0"/>
          <w:numId w:val="2"/>
        </w:numPr>
        <w:spacing w:after="60"/>
      </w:pPr>
      <w:r>
        <w:t xml:space="preserve">Comunicar de inmediato cualquier incidente de seguridad a la Comisión de Seguridad.</w:t>
      </w:r>
    </w:p>
    <w:p>
      <w:pPr>
        <w:pStyle w:val="ListParagraph"/>
        <w:numPr>
          <w:ilvl w:val="0"/>
          <w:numId w:val="2"/>
        </w:numPr>
        <w:spacing w:after="60"/>
      </w:pPr>
      <w:r>
        <w:t xml:space="preserve">Los discos duros deben destruirse a través del servicio de destrucción de ATIC, </w:t>
      </w:r>
      <w:r>
        <w:rPr>
          <w:b/>
          <w:bCs/>
        </w:rPr>
        <w:t xml:space="preserve">nunca tirarse a la basura</w:t>
      </w:r>
      <w:r>
        <w:t xml:space="preserve">.</w:t>
      </w:r>
    </w:p>
    <w:p>
      <w:pPr>
        <w:spacing w:after="120"/>
        <w:jc w:val="both"/>
      </w:pPr>
      <w:r>
        <w:rPr>
          <w:b/>
          <w:bCs/>
        </w:rPr>
        <w:t xml:space="preserve">Ficheros en papel (7.2):</w:t>
      </w:r>
    </w:p>
    <w:p>
      <w:pPr>
        <w:pStyle w:val="ListParagraph"/>
        <w:numPr>
          <w:ilvl w:val="0"/>
          <w:numId w:val="2"/>
        </w:numPr>
        <w:spacing w:after="60"/>
      </w:pPr>
      <w:r>
        <w:t xml:space="preserve">Custodiar llaves de archivadores y cerrar los despachos en ausencia.</w:t>
      </w:r>
    </w:p>
    <w:p>
      <w:pPr>
        <w:pStyle w:val="ListParagraph"/>
        <w:numPr>
          <w:ilvl w:val="0"/>
          <w:numId w:val="2"/>
        </w:numPr>
        <w:spacing w:after="60"/>
      </w:pPr>
      <w:r>
        <w:t xml:space="preserve">Política de </w:t>
      </w:r>
      <w:r>
        <w:rPr>
          <w:b/>
          <w:bCs/>
        </w:rPr>
        <w:t xml:space="preserve">mesa limpia</w:t>
      </w:r>
      <w:r>
        <w:t xml:space="preserve"> en zonas de atención al público.</w:t>
      </w:r>
    </w:p>
    <w:p>
      <w:pPr>
        <w:pStyle w:val="ListParagraph"/>
        <w:numPr>
          <w:ilvl w:val="0"/>
          <w:numId w:val="2"/>
        </w:numPr>
        <w:spacing w:after="60"/>
      </w:pPr>
      <w:r>
        <w:t xml:space="preserve">No dejar documentos olvidados en bandejas de impresoras/fotocopiadoras.</w:t>
      </w:r>
    </w:p>
    <w:p>
      <w:pPr>
        <w:pStyle w:val="ListParagraph"/>
        <w:numPr>
          <w:ilvl w:val="0"/>
          <w:numId w:val="2"/>
        </w:numPr>
        <w:spacing w:after="60"/>
      </w:pPr>
      <w:r>
        <w:rPr>
          <w:b/>
          <w:bCs/>
        </w:rPr>
        <w:t xml:space="preserve">Destruir mediante destructoras de papel</w:t>
      </w:r>
      <w:r>
        <w:t xml:space="preserve"> de la Universidad todo documento con datos personales antes de desecharlo.</w:t>
      </w:r>
    </w:p>
    <w:p>
      <w:pPr>
        <w:pStyle w:val="ListParagraph"/>
        <w:numPr>
          <w:ilvl w:val="0"/>
          <w:numId w:val="2"/>
        </w:numPr>
        <w:spacing w:after="60"/>
      </w:pPr>
      <w:r>
        <w:t xml:space="preserve">Utilizar sobre cerrado y correo certificado para comunicaciones externas con datos sensibles.</w:t>
      </w:r>
    </w:p>
    <w:p>
      <w:pPr>
        <w:pStyle w:val="ListParagraph"/>
        <w:numPr>
          <w:ilvl w:val="0"/>
          <w:numId w:val="2"/>
        </w:numPr>
        <w:spacing w:after="60"/>
      </w:pPr>
      <w:r>
        <w:t xml:space="preserve">Comunicar cualquier brecha a la Comisión de Seguridad.</w:t>
      </w:r>
    </w:p>
    <w:p>
      <w:pPr>
        <w:spacing w:after="120"/>
        <w:jc w:val="both"/>
      </w:pPr>
      <w:r>
        <w:t xml:space="preserve">⚠️ </w:t>
      </w:r>
      <w:r>
        <w:rPr>
          <w:b/>
          <w:bCs/>
        </w:rPr>
        <w:t xml:space="preserve">MUY PREGUNTADO</w:t>
      </w:r>
      <w:r>
        <w:t xml:space="preserve">: la prohibición de tirar discos duros a la basura (deben pasar por destrucción certificada de ATIC) y la obligación de destruir documentos en papel con destructoras antes de desecharlos son ejemplos "de manual" que suelen convertirse en preguntas de caso práctico.</w:t>
      </w:r>
    </w:p>
    <w:p>
      <w:pPr>
        <w:pStyle w:val="Heading3"/>
        <w:spacing w:after="100" w:before="200"/>
      </w:pPr>
      <w:r>
        <w:t xml:space="preserve">2.9 Gestión de incidentes de seguridad (apdo. 8)</w:t>
      </w:r>
    </w:p>
    <w:p>
      <w:pPr>
        <w:spacing w:after="120"/>
        <w:jc w:val="both"/>
      </w:pPr>
      <w:r>
        <w:t xml:space="preserve">Se define incidente como aquel que "ocasione la destrucción, pérdida o alteración accidental o ilícita de datos personales" — definición que recuerda casi literalmente a la de </w:t>
      </w:r>
      <w:r>
        <w:rPr>
          <w:b/>
          <w:bCs/>
        </w:rPr>
        <w:t xml:space="preserve">"violación de la seguridad de los datos personales"</w:t>
      </w:r>
      <w:r>
        <w:t xml:space="preserve"> del art. 4.12 RGPD, concepto ya estudiado en el Tema 3.</w:t>
      </w:r>
    </w:p>
    <w:p>
      <w:pPr>
        <w:spacing w:after="120"/>
        <w:jc w:val="both"/>
      </w:pPr>
      <w:r>
        <w:t xml:space="preserve">Canales de notificación:</w:t>
      </w:r>
    </w:p>
    <w:p>
      <w:pPr>
        <w:pStyle w:val="ListParagraph"/>
        <w:numPr>
          <w:ilvl w:val="0"/>
          <w:numId w:val="2"/>
        </w:numPr>
        <w:spacing w:after="60"/>
      </w:pPr>
      <w:r>
        <w:t xml:space="preserve">Correo: </w:t>
      </w:r>
      <w:r>
        <w:rPr>
          <w:b/>
          <w:bCs/>
        </w:rPr>
        <w:t xml:space="preserve">consulta.comision.seguridad@ual.es</w:t>
      </w:r>
    </w:p>
    <w:p>
      <w:pPr>
        <w:pStyle w:val="ListParagraph"/>
        <w:numPr>
          <w:ilvl w:val="0"/>
          <w:numId w:val="2"/>
        </w:numPr>
        <w:spacing w:after="60"/>
      </w:pPr>
      <w:r>
        <w:t xml:space="preserve">Formulario online: </w:t>
      </w:r>
      <w:r>
        <w:rPr>
          <w:b/>
          <w:bCs/>
        </w:rPr>
        <w:t xml:space="preserve">seguridad.ual.es</w:t>
      </w:r>
    </w:p>
    <w:p>
      <w:pPr>
        <w:pStyle w:val="ListParagraph"/>
        <w:numPr>
          <w:ilvl w:val="0"/>
          <w:numId w:val="2"/>
        </w:numPr>
        <w:spacing w:after="60"/>
      </w:pPr>
      <w:r>
        <w:t xml:space="preserve">Soporte de usuario ATIC: </w:t>
      </w:r>
      <w:r>
        <w:rPr>
          <w:b/>
          <w:bCs/>
        </w:rPr>
        <w:t xml:space="preserve">950 015999</w:t>
      </w:r>
      <w:r>
        <w:t xml:space="preserve"> / </w:t>
      </w:r>
      <w:r>
        <w:rPr>
          <w:b/>
          <w:bCs/>
        </w:rPr>
        <w:t xml:space="preserve">caustic.ual.es</w:t>
      </w:r>
    </w:p>
    <w:p>
      <w:pPr>
        <w:spacing w:after="120"/>
        <w:jc w:val="both"/>
      </w:pPr>
      <w:r>
        <w:t xml:space="preserve">⚠️ </w:t>
      </w:r>
      <w:r>
        <w:rPr>
          <w:b/>
          <w:bCs/>
        </w:rPr>
        <w:t xml:space="preserve">Conexión con el Tema 3</w:t>
      </w:r>
      <w:r>
        <w:t xml:space="preserve">: recuerda que, conforme al art. 33 RGPD, el responsable del tratamiento debe notificar las violaciones de seguridad a la autoridad de control (AEPD) en un plazo máximo de </w:t>
      </w:r>
      <w:r>
        <w:rPr>
          <w:b/>
          <w:bCs/>
        </w:rPr>
        <w:t xml:space="preserve">72 horas</w:t>
      </w:r>
      <w:r>
        <w:t xml:space="preserve">. Las Normas de uso de la UAL son el cauce </w:t>
      </w:r>
      <w:r>
        <w:rPr>
          <w:b/>
          <w:bCs/>
        </w:rPr>
        <w:t xml:space="preserve">interno</w:t>
      </w:r>
      <w:r>
        <w:t xml:space="preserve"> por el que un empleado debe informar de un posible incidente a la Comisión de Seguridad, que después es quien valorará si procede la notificación externa a la AEPD conforme al RGPD y, en su caso, al Centro Criptológico Nacional conforme a la PSI (documento 1).</w:t>
      </w:r>
    </w:p>
    <w:p>
      <w:pPr>
        <w:pStyle w:val="Heading3"/>
        <w:spacing w:after="100" w:before="200"/>
      </w:pPr>
      <w:r>
        <w:t xml:space="preserve">2.10 Consecuencias del incumplimiento (apdo. 9) y otras previsiones</w:t>
      </w:r>
    </w:p>
    <w:p>
      <w:pPr>
        <w:spacing w:after="120"/>
        <w:jc w:val="both"/>
      </w:pPr>
      <w:r>
        <w:t xml:space="preserve">ATIC puede adoptar medidas técnicas para restablecer el servicio y atajar la infracción; la Universidad realiza investigaciones independientes para depurar responsabilidades (que podrán derivar en régimen disciplinario conforme al EBEP y normativa de función pública, según la gravedad). La Comisión de Seguridad realiza una </w:t>
      </w:r>
      <w:r>
        <w:rPr>
          <w:b/>
          <w:bCs/>
        </w:rPr>
        <w:t xml:space="preserve">revisión anual</w:t>
      </w:r>
      <w:r>
        <w:t xml:space="preserve"> de las normas (apdo. 10). Se deroga expresamente la norma de </w:t>
      </w:r>
      <w:r>
        <w:rPr>
          <w:b/>
          <w:bCs/>
        </w:rPr>
        <w:t xml:space="preserve">11 de junio de 2019</w:t>
      </w:r>
      <w:r>
        <w:t xml:space="preserve"> (apdo. 12).</w:t>
      </w:r>
    </w:p>
    <w:p>
      <w:pPr>
        <w:pBdr>
          <w:bottom w:val="single" w:color="AAAAAA" w:sz="6" w:space="1"/>
        </w:pBdr>
        <w:spacing w:after="200"/>
      </w:pPr>
    </w:p>
    <w:p>
      <w:pPr>
        <w:pStyle w:val="Heading2"/>
        <w:spacing w:after="120" w:before="260"/>
      </w:pPr>
      <w:r>
        <w:t xml:space="preserve">3. Normas de información en materia de protección de datos en procesos de concurrencia competitiva de la UAL (14 de febrero de 2023)</w:t>
      </w:r>
    </w:p>
    <w:p>
      <w:pPr>
        <w:pStyle w:val="Heading3"/>
        <w:spacing w:after="100" w:before="200"/>
      </w:pPr>
      <w:r>
        <w:t xml:space="preserve">3.1 Qué regula y por qué existe</w:t>
      </w:r>
    </w:p>
    <w:p>
      <w:pPr>
        <w:spacing w:after="120"/>
        <w:jc w:val="both"/>
      </w:pPr>
      <w:r>
        <w:t xml:space="preserve">Este es el documento </w:t>
      </w:r>
      <w:r>
        <w:rPr>
          <w:b/>
          <w:bCs/>
        </w:rPr>
        <w:t xml:space="preserve">más corto y más "jurídico"</w:t>
      </w:r>
      <w:r>
        <w:t xml:space="preserve"> de los tres, y probablemente el que más directamente conecta con el Tema 3 (LOPDGDD), porque desarrolla en el ámbito universitario un problema clásico de protección de datos: </w:t>
      </w:r>
      <w:r>
        <w:rPr>
          <w:b/>
          <w:bCs/>
        </w:rPr>
        <w:t xml:space="preserve">cómo publicar listas de personas (aspirantes, opositores, candidatos a becas o ayudas) sin vulnerar su derecho a la protección de datos</w:t>
      </w:r>
      <w:r>
        <w:t xml:space="preserve">, algo especialmente sensible en oposiciones, concursos de plazas de PDI/PAS, bolsas de trabajo y programas de acción social.</w:t>
      </w:r>
    </w:p>
    <w:p>
      <w:pPr>
        <w:spacing w:after="120"/>
        <w:jc w:val="both"/>
      </w:pPr>
      <w:r>
        <w:t xml:space="preserve">⚠️ </w:t>
      </w:r>
      <w:r>
        <w:rPr>
          <w:b/>
          <w:bCs/>
        </w:rPr>
        <w:t xml:space="preserve">MUY PREGUNTADO EN EXAMEN</w:t>
      </w:r>
      <w:r>
        <w:t xml:space="preserve">: fecha de aprobación (</w:t>
      </w:r>
      <w:r>
        <w:rPr>
          <w:b/>
          <w:bCs/>
        </w:rPr>
        <w:t xml:space="preserve">14 de febrero de 2023</w:t>
      </w:r>
      <w:r>
        <w:t xml:space="preserve">, Consejo de Gobierno). Es la más antigua de las tres normas del tema, y por tanto un dato fácil de confundir con las otras dos fechas si no se estudian bien diferenciadas.</w:t>
      </w:r>
    </w:p>
    <w:p>
      <w:pPr>
        <w:pStyle w:val="Heading3"/>
        <w:spacing w:after="100" w:before="200"/>
      </w:pPr>
      <w:r>
        <w:t xml:space="preserve">3.2 Estructura del documento</w:t>
      </w:r>
    </w:p>
    <w:p>
      <w:pPr>
        <w:pStyle w:val="ListParagraph"/>
        <w:numPr>
          <w:ilvl w:val="0"/>
          <w:numId w:val="2"/>
        </w:numPr>
        <w:spacing w:after="60"/>
      </w:pPr>
      <w:r>
        <w:t xml:space="preserve">Preámbulo</w:t>
      </w:r>
    </w:p>
    <w:p>
      <w:pPr>
        <w:pStyle w:val="ListParagraph"/>
        <w:numPr>
          <w:ilvl w:val="0"/>
          <w:numId w:val="2"/>
        </w:numPr>
        <w:spacing w:after="60"/>
      </w:pPr>
      <w:r>
        <w:rPr>
          <w:b/>
          <w:bCs/>
        </w:rPr>
        <w:t xml:space="preserve">8 artículos</w:t>
      </w:r>
    </w:p>
    <w:p>
      <w:pPr>
        <w:pStyle w:val="ListParagraph"/>
        <w:numPr>
          <w:ilvl w:val="0"/>
          <w:numId w:val="2"/>
        </w:numPr>
        <w:spacing w:after="60"/>
      </w:pPr>
      <w:r>
        <w:t xml:space="preserve">2 disposiciones adicionales</w:t>
      </w:r>
    </w:p>
    <w:p>
      <w:pPr>
        <w:pStyle w:val="ListParagraph"/>
        <w:numPr>
          <w:ilvl w:val="0"/>
          <w:numId w:val="2"/>
        </w:numPr>
        <w:spacing w:after="60"/>
      </w:pPr>
      <w:r>
        <w:t xml:space="preserve">1 disposición transitoria</w:t>
      </w:r>
    </w:p>
    <w:p>
      <w:pPr>
        <w:pStyle w:val="ListParagraph"/>
        <w:numPr>
          <w:ilvl w:val="0"/>
          <w:numId w:val="2"/>
        </w:numPr>
        <w:spacing w:after="60"/>
      </w:pPr>
      <w:r>
        <w:t xml:space="preserve">1 disposición derogatoria</w:t>
      </w:r>
    </w:p>
    <w:p>
      <w:pPr>
        <w:pStyle w:val="ListParagraph"/>
        <w:numPr>
          <w:ilvl w:val="0"/>
          <w:numId w:val="2"/>
        </w:numPr>
        <w:spacing w:after="60"/>
      </w:pPr>
      <w:r>
        <w:t xml:space="preserve">1 disposición final</w:t>
      </w:r>
    </w:p>
    <w:p>
      <w:pPr>
        <w:pStyle w:val="Heading3"/>
        <w:spacing w:after="100" w:before="200"/>
      </w:pPr>
      <w:r>
        <w:t xml:space="preserve">3.3 Marco legal citado</w:t>
      </w:r>
    </w:p>
    <w:p>
      <w:pPr>
        <w:spacing w:after="120"/>
        <w:jc w:val="both"/>
      </w:pPr>
      <w:r>
        <w:t xml:space="preserve">El propio texto se apoya expresamente en:</w:t>
      </w:r>
    </w:p>
    <w:p>
      <w:pPr>
        <w:pStyle w:val="ListParagraph"/>
        <w:numPr>
          <w:ilvl w:val="0"/>
          <w:numId w:val="2"/>
        </w:numPr>
        <w:spacing w:after="60"/>
      </w:pPr>
      <w:r>
        <w:rPr>
          <w:b/>
          <w:bCs/>
        </w:rPr>
        <w:t xml:space="preserve">Reglamento (UE) 2016/679 (RGPD)</w:t>
      </w:r>
    </w:p>
    <w:p>
      <w:pPr>
        <w:pStyle w:val="ListParagraph"/>
        <w:numPr>
          <w:ilvl w:val="0"/>
          <w:numId w:val="2"/>
        </w:numPr>
        <w:spacing w:after="60"/>
      </w:pPr>
      <w:r>
        <w:rPr>
          <w:b/>
          <w:bCs/>
        </w:rPr>
        <w:t xml:space="preserve">Ley Orgánica 3/2018 (LOPDGDD)</w:t>
      </w:r>
    </w:p>
    <w:p>
      <w:pPr>
        <w:spacing w:after="120"/>
        <w:jc w:val="both"/>
      </w:pPr>
      <w:r>
        <w:t xml:space="preserve">y subraya que ambas normas exigen "medidas proactivas de responsabilidad" (referencia directa al </w:t>
      </w:r>
      <w:r>
        <w:rPr>
          <w:b/>
          <w:bCs/>
        </w:rPr>
        <w:t xml:space="preserve">principio de responsabilidad proactiva</w:t>
      </w:r>
      <w:r>
        <w:t xml:space="preserve"> del art. 5.2 RGPD y art. 4.2 LOPDGDD que ya estudiaste en el Tema 3).</w:t>
      </w:r>
    </w:p>
    <w:p>
      <w:pPr>
        <w:pStyle w:val="Heading3"/>
        <w:spacing w:after="100" w:before="200"/>
      </w:pPr>
      <w:r>
        <w:t xml:space="preserve">3.4 Contenido artículo por artículo (según lo verificado)</w:t>
      </w:r>
    </w:p>
    <w:p>
      <w:pPr>
        <w:pStyle w:val="ListParagraph"/>
        <w:numPr>
          <w:ilvl w:val="0"/>
          <w:numId w:val="2"/>
        </w:numPr>
        <w:spacing w:after="60"/>
      </w:pPr>
      <w:r>
        <w:rPr>
          <w:b/>
          <w:bCs/>
        </w:rPr>
        <w:t xml:space="preserve">Artículo 1 (Objeto/Ámbito)</w:t>
      </w:r>
      <w:r>
        <w:t xml:space="preserve">: regula la publicación de datos personales en procesos de concurrencia competitiva: oposiciones/plazas de PDI, selección de personal de administración y servicios, y programas de acción social.</w:t>
      </w:r>
    </w:p>
    <w:p>
      <w:pPr>
        <w:pStyle w:val="ListParagraph"/>
        <w:numPr>
          <w:ilvl w:val="0"/>
          <w:numId w:val="2"/>
        </w:numPr>
        <w:spacing w:after="60"/>
      </w:pPr>
      <w:r>
        <w:rPr>
          <w:b/>
          <w:bCs/>
        </w:rPr>
        <w:t xml:space="preserve">Artículo 3 (Tratamiento de datos)</w:t>
      </w:r>
      <w:r>
        <w:t xml:space="preserve">: las bases de las convocatorias </w:t>
      </w:r>
      <w:r>
        <w:rPr>
          <w:b/>
          <w:bCs/>
        </w:rPr>
        <w:t xml:space="preserve">deben incluir obligatoriamente una cláusula específica</w:t>
      </w:r>
      <w:r>
        <w:t xml:space="preserve"> sobre el tratamiento de datos personales.</w:t>
      </w:r>
    </w:p>
    <w:p>
      <w:pPr>
        <w:pStyle w:val="ListParagraph"/>
        <w:numPr>
          <w:ilvl w:val="0"/>
          <w:numId w:val="2"/>
        </w:numPr>
        <w:spacing w:after="60"/>
      </w:pPr>
      <w:r>
        <w:rPr>
          <w:b/>
          <w:bCs/>
        </w:rPr>
        <w:t xml:space="preserve">Artículo 4 (Publicación de actos administrativos)</w:t>
      </w:r>
      <w:r>
        <w:t xml:space="preserve">: las publicaciones deben cumplir la normativa de protección de datos, con independencia de que se realicen en tablón electrónico.</w:t>
      </w:r>
    </w:p>
    <w:p>
      <w:pPr>
        <w:pStyle w:val="ListParagraph"/>
        <w:numPr>
          <w:ilvl w:val="0"/>
          <w:numId w:val="2"/>
        </w:numPr>
        <w:spacing w:after="60"/>
      </w:pPr>
      <w:r>
        <w:rPr>
          <w:b/>
          <w:bCs/>
        </w:rPr>
        <w:t xml:space="preserve">Artículo 5 (Formas de publicación)</w:t>
      </w:r>
      <w:r>
        <w:t xml:space="preserve"> — el más importante y "examinable" de todo el documento:</w:t>
      </w:r>
    </w:p>
    <w:p>
      <w:pPr>
        <w:pStyle w:val="ListParagraph"/>
        <w:numPr>
          <w:ilvl w:val="1"/>
          <w:numId w:val="2"/>
        </w:numPr>
        <w:spacing w:after="60"/>
      </w:pPr>
      <w:r>
        <w:rPr>
          <w:b/>
          <w:bCs/>
        </w:rPr>
        <w:t xml:space="preserve">Nunca publicar conjuntamente</w:t>
      </w:r>
      <w:r>
        <w:t xml:space="preserve"> el nombre completo </w:t>
      </w:r>
      <w:r>
        <w:rPr>
          <w:b/>
          <w:bCs/>
        </w:rPr>
        <w:t xml:space="preserve">con el número completo del DNI/NIF</w:t>
      </w:r>
      <w:r>
        <w:t xml:space="preserve">.</w:t>
      </w:r>
    </w:p>
    <w:p>
      <w:pPr>
        <w:pStyle w:val="ListParagraph"/>
        <w:numPr>
          <w:ilvl w:val="1"/>
          <w:numId w:val="2"/>
        </w:numPr>
        <w:spacing w:after="60"/>
      </w:pPr>
      <w:r>
        <w:t xml:space="preserve">Si el riesgo de identificación es bajo, puede publicarse solo el nombre.</w:t>
      </w:r>
    </w:p>
    <w:p>
      <w:pPr>
        <w:pStyle w:val="ListParagraph"/>
        <w:numPr>
          <w:ilvl w:val="1"/>
          <w:numId w:val="2"/>
        </w:numPr>
        <w:spacing w:after="60"/>
      </w:pPr>
      <w:r>
        <w:t xml:space="preserve">Cuando hay varias personas afectadas y riesgo de confusión, se añaden </w:t>
      </w:r>
      <w:r>
        <w:rPr>
          <w:b/>
          <w:bCs/>
        </w:rPr>
        <w:t xml:space="preserve">cuatro dígitos aleatorios del DNI</w:t>
      </w:r>
      <w:r>
        <w:t xml:space="preserve"> (no los últimos, sino aleatorios, como medida de disociación).</w:t>
      </w:r>
    </w:p>
    <w:p>
      <w:pPr>
        <w:pStyle w:val="ListParagraph"/>
        <w:numPr>
          <w:ilvl w:val="1"/>
          <w:numId w:val="2"/>
        </w:numPr>
        <w:spacing w:after="60"/>
      </w:pPr>
      <w:r>
        <w:t xml:space="preserve">Para notificaciones de actos que deban surtir efectos individualizados (notificaciones oficiales), se puede usar el número completo del DNI.</w:t>
      </w:r>
    </w:p>
    <w:p>
      <w:pPr>
        <w:pStyle w:val="ListParagraph"/>
        <w:numPr>
          <w:ilvl w:val="0"/>
          <w:numId w:val="2"/>
        </w:numPr>
        <w:spacing w:after="60"/>
      </w:pPr>
      <w:r>
        <w:rPr>
          <w:b/>
          <w:bCs/>
        </w:rPr>
        <w:t xml:space="preserve">Artículo 6 (Plazo de publicación)</w:t>
      </w:r>
      <w:r>
        <w:t xml:space="preserve">: los datos deben </w:t>
      </w:r>
      <w:r>
        <w:rPr>
          <w:b/>
          <w:bCs/>
        </w:rPr>
        <w:t xml:space="preserve">retirarse una vez concluidos los plazos de reclamación</w:t>
      </w:r>
      <w:r>
        <w:t xml:space="preserve">, aplicando el </w:t>
      </w:r>
      <w:r>
        <w:rPr>
          <w:b/>
          <w:bCs/>
        </w:rPr>
        <w:t xml:space="preserve">principio de limitación del plazo de conservación</w:t>
      </w:r>
      <w:r>
        <w:t xml:space="preserve"> (art. 5.1.e RGPD — ¡mismo principio del Tema 3!). Excepción: si el procedimiento está impugnado, los datos permanecen publicados hasta la resolución judicial o administrativa.</w:t>
      </w:r>
    </w:p>
    <w:p>
      <w:pPr>
        <w:pStyle w:val="ListParagraph"/>
        <w:numPr>
          <w:ilvl w:val="0"/>
          <w:numId w:val="2"/>
        </w:numPr>
        <w:spacing w:after="60"/>
      </w:pPr>
      <w:r>
        <w:rPr>
          <w:b/>
          <w:bCs/>
        </w:rPr>
        <w:t xml:space="preserve">Artículo 7 (Prohibición de difusión)</w:t>
      </w:r>
      <w:r>
        <w:t xml:space="preserve">: prohibida la reproducción de las listas por canales ajenos a la Universidad; cada publicación debe incluir un aviso prohibiendo su redifusión.</w:t>
      </w:r>
    </w:p>
    <w:p>
      <w:pPr>
        <w:pStyle w:val="ListParagraph"/>
        <w:numPr>
          <w:ilvl w:val="0"/>
          <w:numId w:val="2"/>
        </w:numPr>
        <w:spacing w:after="60"/>
      </w:pPr>
      <w:r>
        <w:rPr>
          <w:b/>
          <w:bCs/>
        </w:rPr>
        <w:t xml:space="preserve">Artículo 8 (Programas de acción social)</w:t>
      </w:r>
      <w:r>
        <w:t xml:space="preserve">: exige medidas reforzadas (p. ej., uso de </w:t>
      </w:r>
      <w:r>
        <w:rPr>
          <w:b/>
          <w:bCs/>
        </w:rPr>
        <w:t xml:space="preserve">copia oculta —CCO—</w:t>
      </w:r>
      <w:r>
        <w:t xml:space="preserve"> en comunicaciones, advertencia a los destinatarios de no compartir la información) para evitar el acceso de terceros no autorizados, dado que estos programas suelen implicar datos de categorías especiales (situación económica, familiar, de salud, etc.).</w:t>
      </w:r>
    </w:p>
    <w:p>
      <w:pPr>
        <w:pStyle w:val="Heading3"/>
        <w:spacing w:after="100" w:before="200"/>
      </w:pPr>
      <w:r>
        <w:t xml:space="preserve">3.5 Conexión directa con el Tema 3 (LOPDGDD)</w:t>
      </w:r>
    </w:p>
    <w:p>
      <w:pPr>
        <w:spacing w:after="120"/>
        <w:jc w:val="both"/>
      </w:pPr>
      <w:r>
        <w:t xml:space="preserve">Este documento es, en esencia, una </w:t>
      </w:r>
      <w:r>
        <w:rPr>
          <w:b/>
          <w:bCs/>
        </w:rPr>
        <w:t xml:space="preserve">aplicación práctica y sectorial</w:t>
      </w:r>
      <w:r>
        <w:t xml:space="preserve"> de varios principios y preceptos que ya viste en el Tema 3:</w:t>
      </w:r>
    </w:p>
    <w:p>
      <w:pPr>
        <w:pStyle w:val="ListParagraph"/>
        <w:numPr>
          <w:ilvl w:val="0"/>
          <w:numId w:val="2"/>
        </w:numPr>
        <w:spacing w:after="60"/>
      </w:pPr>
      <w:r>
        <w:rPr>
          <w:b/>
          <w:bCs/>
        </w:rPr>
        <w:t xml:space="preserve">Principio de minimización de datos</w:t>
      </w:r>
      <w:r>
        <w:t xml:space="preserve"> (art. 5.1.c RGPD): por eso nunca se publica el DNI completo junto al nombre si no es estrictamente necesario.</w:t>
      </w:r>
    </w:p>
    <w:p>
      <w:pPr>
        <w:pStyle w:val="ListParagraph"/>
        <w:numPr>
          <w:ilvl w:val="0"/>
          <w:numId w:val="2"/>
        </w:numPr>
        <w:spacing w:after="60"/>
      </w:pPr>
      <w:r>
        <w:rPr>
          <w:b/>
          <w:bCs/>
        </w:rPr>
        <w:t xml:space="preserve">Principio de limitación del plazo de conservación</w:t>
      </w:r>
      <w:r>
        <w:t xml:space="preserve"> (art. 5.1.e RGPD): retirada de las listas tras el plazo de reclamaciones.</w:t>
      </w:r>
    </w:p>
    <w:p>
      <w:pPr>
        <w:pStyle w:val="ListParagraph"/>
        <w:numPr>
          <w:ilvl w:val="0"/>
          <w:numId w:val="2"/>
        </w:numPr>
        <w:spacing w:after="60"/>
      </w:pPr>
      <w:r>
        <w:rPr>
          <w:b/>
          <w:bCs/>
        </w:rPr>
        <w:t xml:space="preserve">Principio de responsabilidad proactiva</w:t>
      </w:r>
      <w:r>
        <w:t xml:space="preserve"> (art. 5.2 RGPD, art. 4 LOPDGDD): obligación de incluir cláusulas informativas específicas en cada convocatoria en lugar de una genérica.</w:t>
      </w:r>
    </w:p>
    <w:p>
      <w:pPr>
        <w:pStyle w:val="ListParagraph"/>
        <w:numPr>
          <w:ilvl w:val="0"/>
          <w:numId w:val="2"/>
        </w:numPr>
        <w:spacing w:after="60"/>
      </w:pPr>
      <w:r>
        <w:rPr>
          <w:b/>
          <w:bCs/>
        </w:rPr>
        <w:t xml:space="preserve">Deber de información</w:t>
      </w:r>
      <w:r>
        <w:t xml:space="preserve"> (arts. 13-14 RGPD, desarrollados en la LOPDGDD): las bases de toda convocatoria de concurrencia competitiva de la UAL deben informar expresamente del tratamiento de datos.</w:t>
      </w:r>
    </w:p>
    <w:p>
      <w:pPr>
        <w:pStyle w:val="ListParagraph"/>
        <w:numPr>
          <w:ilvl w:val="0"/>
          <w:numId w:val="2"/>
        </w:numPr>
        <w:spacing w:after="60"/>
      </w:pPr>
      <w:r>
        <w:t xml:space="preserve">La lógica de </w:t>
      </w:r>
      <w:r>
        <w:rPr>
          <w:b/>
          <w:bCs/>
        </w:rPr>
        <w:t xml:space="preserve">seudonimización/disociación parcial</w:t>
      </w:r>
      <w:r>
        <w:t xml:space="preserve"> (uso de dígitos aleatorios del DNI) recuerda a las técnicas de minimización y protección de datos por diseño y por defecto (art. 25 RGPD).</w:t>
      </w:r>
    </w:p>
    <w:p>
      <w:pPr>
        <w:spacing w:after="120"/>
        <w:jc w:val="both"/>
      </w:pPr>
      <w:r>
        <w:t xml:space="preserve">⚠️ </w:t>
      </w:r>
      <w:r>
        <w:rPr>
          <w:b/>
          <w:bCs/>
        </w:rPr>
        <w:t xml:space="preserve">MUY PREGUNTADO EN EXAMEN</w:t>
      </w:r>
      <w:r>
        <w:t xml:space="preserve">: la regla del art. 5 sobre </w:t>
      </w:r>
      <w:r>
        <w:rPr>
          <w:b/>
          <w:bCs/>
        </w:rPr>
        <w:t xml:space="preserve">nunca publicar nombre completo + DNI completo juntos</w:t>
      </w:r>
      <w:r>
        <w:t xml:space="preserve">, y el uso de </w:t>
      </w:r>
      <w:r>
        <w:rPr>
          <w:b/>
          <w:bCs/>
        </w:rPr>
        <w:t xml:space="preserve">cuatro dígitos aleatorios del DNI</w:t>
      </w:r>
      <w:r>
        <w:t xml:space="preserve"> cuando hay riesgo de confusión entre varias personas. Es el detalle más "de examen tipo test" de todo este tercer documento porque es una regla concreta, memorizable y con matices (aleatorios, no los últimos cuatro; excepción de notificaciones individualizadas con DNI completo).</w:t>
      </w:r>
    </w:p>
    <w:p>
      <w:pPr>
        <w:pStyle w:val="Heading3"/>
        <w:spacing w:after="100" w:before="200"/>
      </w:pPr>
      <w:r>
        <w:t xml:space="preserve">3.6 Ejemplo práctico de aplicación</w:t>
      </w:r>
    </w:p>
    <w:p>
      <w:pPr>
        <w:spacing w:after="120"/>
        <w:jc w:val="both"/>
      </w:pPr>
      <w:r>
        <w:t xml:space="preserve">Imagina una oposición de Auxiliar Administrativo de la UAL (como la que estás preparando) en la que se publica la lista de aprobados en el tablón electrónico. Conforme a esta norma:</w:t>
      </w:r>
    </w:p>
    <w:p>
      <w:pPr>
        <w:pStyle w:val="ListParagraph"/>
        <w:numPr>
          <w:ilvl w:val="0"/>
          <w:numId w:val="2"/>
        </w:numPr>
        <w:spacing w:after="60"/>
      </w:pPr>
      <w:r>
        <w:t xml:space="preserve">No debe aparecer "Juan Pérez García - 12345678A" en la misma lista.</w:t>
      </w:r>
    </w:p>
    <w:p>
      <w:pPr>
        <w:pStyle w:val="ListParagraph"/>
        <w:numPr>
          <w:ilvl w:val="0"/>
          <w:numId w:val="2"/>
        </w:numPr>
        <w:spacing w:after="60"/>
      </w:pPr>
      <w:r>
        <w:t xml:space="preserve">Si hay riesgo de que dos personas se llamen igual, se pueden añadir cuatro cifras aleatorias del DNI para diferenciarlas, pero no el DNI completo.</w:t>
      </w:r>
    </w:p>
    <w:p>
      <w:pPr>
        <w:pStyle w:val="ListParagraph"/>
        <w:numPr>
          <w:ilvl w:val="0"/>
          <w:numId w:val="2"/>
        </w:numPr>
        <w:spacing w:after="60"/>
      </w:pPr>
      <w:r>
        <w:t xml:space="preserve">Una vez pasado el plazo de reclamaciones (y salvo impugnación), la lista debe retirarse del tablón, en aplicación del principio de limitación del plazo de conservación.</w:t>
      </w:r>
    </w:p>
    <w:p>
      <w:pPr>
        <w:pStyle w:val="ListParagraph"/>
        <w:numPr>
          <w:ilvl w:val="0"/>
          <w:numId w:val="2"/>
        </w:numPr>
        <w:spacing w:after="60"/>
      </w:pPr>
      <w:r>
        <w:t xml:space="preserve">Nadie puede volver a publicar esa lista en otro medio (por ejemplo, una web sindical) sin permiso, y la propia publicación de la UAL debe advertirlo.</w:t>
      </w:r>
    </w:p>
    <w:p>
      <w:pPr>
        <w:pBdr>
          <w:bottom w:val="single" w:color="AAAAAA" w:sz="6" w:space="1"/>
        </w:pBdr>
        <w:spacing w:after="200"/>
      </w:pPr>
    </w:p>
    <w:p>
      <w:pPr>
        <w:pStyle w:val="Heading2"/>
        <w:spacing w:after="120" w:before="260"/>
      </w:pPr>
      <w:r>
        <w:t xml:space="preserve">4. Cuadro-resumen comparativo de los tres documentos</w:t>
      </w:r>
    </w:p>
    <w:p>
      <w:pPr>
        <w:spacing w:after="120"/>
        <w:jc w:val="both"/>
      </w:pPr>
      <w:r>
        <w:t xml:space="preserve">| | Política de Seguridad de la Información | Normas de uso de los Sistemas de Información | Normas de protección de datos en concurrencia competitiva |</w:t>
      </w:r>
    </w:p>
    <w:p>
      <w:pPr>
        <w:spacing w:after="120"/>
        <w:jc w:val="both"/>
      </w:pPr>
      <w:r>
        <w:t xml:space="preserve">|---|---|---|---|</w:t>
      </w:r>
    </w:p>
    <w:p>
      <w:pPr>
        <w:spacing w:after="120"/>
        <w:jc w:val="both"/>
      </w:pPr>
      <w:r>
        <w:t xml:space="preserve">| </w:t>
      </w:r>
      <w:r>
        <w:rPr>
          <w:b/>
          <w:bCs/>
        </w:rPr>
        <w:t xml:space="preserve">Aprobación</w:t>
      </w:r>
      <w:r>
        <w:t xml:space="preserve"> | 5 nov. 2025 (CG) | 15 jul. 2024 (CG) | 14 feb. 2023 (CG) |</w:t>
      </w:r>
    </w:p>
    <w:p>
      <w:pPr>
        <w:spacing w:after="120"/>
        <w:jc w:val="both"/>
      </w:pPr>
      <w:r>
        <w:t xml:space="preserve">| </w:t>
      </w:r>
      <w:r>
        <w:rPr>
          <w:b/>
          <w:bCs/>
        </w:rPr>
        <w:t xml:space="preserve">Deroga</w:t>
      </w:r>
      <w:r>
        <w:t xml:space="preserve"> | Política de 18 jun. 2018 | Normas de 11 jun. 2019 | — (norma primigenia) |</w:t>
      </w:r>
    </w:p>
    <w:p>
      <w:pPr>
        <w:spacing w:after="120"/>
        <w:jc w:val="both"/>
      </w:pPr>
      <w:r>
        <w:t xml:space="preserve">| </w:t>
      </w:r>
      <w:r>
        <w:rPr>
          <w:b/>
          <w:bCs/>
        </w:rPr>
        <w:t xml:space="preserve">Naturaleza</w:t>
      </w:r>
      <w:r>
        <w:t xml:space="preserve"> | Marco estratégico/organizativo | Norma de conducta para el usuario | Norma sectorial sobre publicidad de datos en procesos selectivos |</w:t>
      </w:r>
    </w:p>
    <w:p>
      <w:pPr>
        <w:spacing w:after="120"/>
        <w:jc w:val="both"/>
      </w:pPr>
      <w:r>
        <w:t xml:space="preserve">| </w:t>
      </w:r>
      <w:r>
        <w:rPr>
          <w:b/>
          <w:bCs/>
        </w:rPr>
        <w:t xml:space="preserve">Destinatario principal</w:t>
      </w:r>
      <w:r>
        <w:t xml:space="preserve"> | Órganos y responsables TIC | Todo el personal usuario de sistemas | Órganos convocantes y candidatos a procesos selectivos |</w:t>
      </w:r>
    </w:p>
    <w:p>
      <w:pPr>
        <w:spacing w:after="120"/>
        <w:jc w:val="both"/>
      </w:pPr>
      <w:r>
        <w:t xml:space="preserve">| </w:t>
      </w:r>
      <w:r>
        <w:rPr>
          <w:b/>
          <w:bCs/>
        </w:rPr>
        <w:t xml:space="preserve">Eje central</w:t>
      </w:r>
      <w:r>
        <w:t xml:space="preserve"> | ENS, roles y responsabilidades de seguridad | Uso aceptable de equipos, red, correo y datos | Publicación de listas sin vulnerar el RGPD/LOPDGDD |</w:t>
      </w:r>
    </w:p>
    <w:p>
      <w:pPr>
        <w:spacing w:after="120"/>
        <w:jc w:val="both"/>
      </w:pPr>
      <w:r>
        <w:t xml:space="preserve">| </w:t>
      </w:r>
      <w:r>
        <w:rPr>
          <w:b/>
          <w:bCs/>
        </w:rPr>
        <w:t xml:space="preserve">Vínculo más fuerte con Tema 3</w:t>
      </w:r>
      <w:r>
        <w:t xml:space="preserve"> | DPD, principio de responsabilidad proactiva | Concepto de "violación de seguridad" (art. 4.12 RGPD) | Minimización, limitación del plazo de conservación, deber de información |</w:t>
      </w:r>
    </w:p>
    <w:p>
      <w:pPr>
        <w:pBdr>
          <w:bottom w:val="single" w:color="AAAAAA" w:sz="6" w:space="1"/>
        </w:pBd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800" w:hanging="200"/>
      </w:pPr>
    </w:lvl>
  </w:abstractNum>
  <w:abstractNum w:abstractNumId="3" w15:restartNumberingAfterBreak="0">
    <w:multiLevelType w:val="hybridMultilevel"/>
    <w:lvl w:ilvl="0" w15:tentative="1">
      <w:start w:val="1"/>
      <w:numFmt w:val="decimal"/>
      <w:lvlText w:val="%1."/>
      <w:lvlJc w:val="left"/>
      <w:pPr>
        <w:ind w:left="40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2026-08-16T11:56:53.924Z</dcterms:created>
  <dcterms:modified xsi:type="dcterms:W3CDTF">2026-08-16T11:56:53.924Z</dcterms:modified>
</cp:coreProperties>
</file>

<file path=docProps/custom.xml><?xml version="1.0" encoding="utf-8"?>
<Properties xmlns="http://schemas.openxmlformats.org/officeDocument/2006/custom-properties" xmlns:vt="http://schemas.openxmlformats.org/officeDocument/2006/docPropsVTypes"/>
</file>