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23. Reglamento de Administración Electrónica UAL</w:t>
      </w:r>
    </w:p>
    <w:p>
      <w:pPr>
        <w:pStyle w:val="Heading3"/>
        <w:spacing w:after="100" w:before="200"/>
      </w:pPr>
      <w:r>
        <w:t xml:space="preserve">Nota de transparencia sobre las fuentes</w:t>
      </w:r>
    </w:p>
    <w:p>
      <w:pPr>
        <w:spacing w:after="120"/>
        <w:jc w:val="both"/>
      </w:pPr>
      <w:r>
        <w:t xml:space="preserve">Antes de entrar en materia, una aclaración importante para que uses este resumen con criterio. He localizado y consultado dos fuentes que se corroboran mutuamente:</w:t>
      </w:r>
    </w:p>
    <w:p>
      <w:pPr>
        <w:pStyle w:val="ListParagraph"/>
        <w:numPr>
          <w:ilvl w:val="0"/>
          <w:numId w:val="2"/>
        </w:numPr>
        <w:spacing w:after="60"/>
      </w:pPr>
      <w:r>
        <w:t xml:space="preserve">El texto del </w:t>
      </w:r>
      <w:r>
        <w:rPr>
          <w:b/>
          <w:bCs/>
        </w:rPr>
        <w:t xml:space="preserve">Reglamento de Administración Electrónica de la Universidad de Almería</w:t>
      </w:r>
      <w:r>
        <w:t xml:space="preserve">, alojado en el PDF oficial de la UAL: `https://www.ual.es/application/files/5216/2339/8556/Reglamento_Administracion_Electronica.pdf`</w:t>
      </w:r>
    </w:p>
    <w:p>
      <w:pPr>
        <w:pStyle w:val="ListParagraph"/>
        <w:numPr>
          <w:ilvl w:val="0"/>
          <w:numId w:val="2"/>
        </w:numPr>
        <w:spacing w:after="60"/>
      </w:pPr>
      <w:r>
        <w:t xml:space="preserve">El </w:t>
      </w:r>
      <w:r>
        <w:rPr>
          <w:b/>
          <w:bCs/>
        </w:rPr>
        <w:t xml:space="preserve">Acuerdo de 23 de febrero de 2021</w:t>
      </w:r>
      <w:r>
        <w:t xml:space="preserve">, de la Universidad de Almería, por el que se aprueba dicho Reglamento, publicado en el </w:t>
      </w:r>
      <w:r>
        <w:rPr>
          <w:b/>
          <w:bCs/>
        </w:rPr>
        <w:t xml:space="preserve">BOJA número 40, de 1 de marzo de 2021</w:t>
      </w:r>
      <w:r>
        <w:t xml:space="preserve"> (`https://www.juntadeandalucia.es/boja/2021/40/47`).</w:t>
      </w:r>
    </w:p>
    <w:p>
      <w:pPr>
        <w:spacing w:after="120"/>
        <w:jc w:val="both"/>
      </w:pPr>
      <w:r>
        <w:t xml:space="preserve">Ambas fuentes ofrecen una estructura de títulos y artículos coincidente (30 artículos repartidos en 6 títulos, más disposiciones adicionales, transitorias, derogatoria y finales), lo que da razonable fiabilidad a la numeración y contenido que se resume aquí. Aun así, </w:t>
      </w:r>
      <w:r>
        <w:rPr>
          <w:b/>
          <w:bCs/>
        </w:rPr>
        <w:t xml:space="preserve">el acceso se ha realizado mediante herramientas automáticas de extracción de texto (no mediante lectura directa artículo por artículo del BOE/BOJA con cita literal exhaustiva)</w:t>
      </w:r>
      <w:r>
        <w:t xml:space="preserve">, por lo que:</w:t>
      </w:r>
    </w:p>
    <w:p>
      <w:pPr>
        <w:pStyle w:val="ListParagraph"/>
        <w:numPr>
          <w:ilvl w:val="0"/>
          <w:numId w:val="3"/>
        </w:numPr>
        <w:spacing w:after="60"/>
      </w:pPr>
      <w:r>
        <w:t xml:space="preserve">Los </w:t>
      </w:r>
      <w:r>
        <w:rPr>
          <w:b/>
          <w:bCs/>
        </w:rPr>
        <w:t xml:space="preserve">números de artículo y su ubicación en cada título</w:t>
      </w:r>
      <w:r>
        <w:t xml:space="preserve"> están verificados por doble fuente y puedes usarlos con confianza para el examen.</w:t>
      </w:r>
    </w:p>
    <w:p>
      <w:pPr>
        <w:pStyle w:val="ListParagraph"/>
        <w:numPr>
          <w:ilvl w:val="0"/>
          <w:numId w:val="3"/>
        </w:numPr>
        <w:spacing w:after="60"/>
      </w:pPr>
      <w:r>
        <w:t xml:space="preserve">El </w:t>
      </w:r>
      <w:r>
        <w:rPr>
          <w:b/>
          <w:bCs/>
        </w:rPr>
        <w:t xml:space="preserve">contenido resumido de cada artículo</w:t>
      </w:r>
      <w:r>
        <w:t xml:space="preserve"> refleja fielmente el sentido de la norma, pero en algunos puntos son paráfrasis o síntesis, no siempre transcripción literal palabra por palabra. Si tu preparación exige literalidad exacta de algún artículo, contrasta el enunciado concreto en el PDF oficial antes del examen.</w:t>
      </w:r>
    </w:p>
    <w:p>
      <w:pPr>
        <w:pStyle w:val="ListParagraph"/>
        <w:numPr>
          <w:ilvl w:val="0"/>
          <w:numId w:val="3"/>
        </w:numPr>
        <w:spacing w:after="60"/>
      </w:pPr>
      <w:r>
        <w:t xml:space="preserve">No se ha encontrado en el reglamento un título o capítulo específico dedicado al "tablón de anuncios electrónico" como epígrafe propio; sus referencias al tablón de anuncios electrónico único (BOUAL) aparecen mencionadas dentro del contenido de la Sede Electrónica (art. 5), no como título independiente. Si tu temario oficial menciona explícitamente un tablón de anuncios electrónico como bloque propio, contrástalo con el temario detallado de tu convocatoria.</w:t>
      </w:r>
    </w:p>
    <w:p>
      <w:pPr>
        <w:spacing w:after="120"/>
        <w:jc w:val="both"/>
      </w:pPr>
      <w:r>
        <w:t xml:space="preserve">Dicho esto, vamos con el contenido.</w:t>
      </w:r>
    </w:p>
    <w:p>
      <w:pPr>
        <w:pBdr>
          <w:bottom w:val="single" w:color="AAAAAA" w:sz="6" w:space="1"/>
        </w:pBdr>
        <w:spacing w:after="200"/>
      </w:pPr>
    </w:p>
    <w:p>
      <w:pPr>
        <w:pStyle w:val="Heading3"/>
        <w:spacing w:after="100" w:before="200"/>
      </w:pPr>
      <w:r>
        <w:t xml:space="preserve">1. Contexto: de dónde viene este Reglamento y por qué se relaciona con la Ley 39/2015</w:t>
      </w:r>
    </w:p>
    <w:p>
      <w:pPr>
        <w:spacing w:after="120"/>
        <w:jc w:val="both"/>
      </w:pPr>
      <w:r>
        <w:t xml:space="preserve">Si ya has estudiado el </w:t>
      </w:r>
      <w:r>
        <w:rPr>
          <w:b/>
          <w:bCs/>
        </w:rPr>
        <w:t xml:space="preserve">Tema 1 (Ley 39/2015, de Procedimiento Administrativo Común de las Administraciones Públicas)</w:t>
      </w:r>
      <w:r>
        <w:t xml:space="preserve">, recordarás que esta ley generalizó la Administración electrónica como cauce preferente de relación entre ciudadanos y Administraciones, e impuso la obligación de relacionarse electrónicamente a determinados sujetos (personas jurídicas, entidades sin personalidad jurídica, profesionales colegiados en ejercicio de su actividad, empleados públicos para trámites relacionados con su condición de tales, etc. — art. 14.2 y 14.3 Ley 39/2015).</w:t>
      </w:r>
    </w:p>
    <w:p>
      <w:pPr>
        <w:spacing w:after="120"/>
        <w:jc w:val="both"/>
      </w:pPr>
      <w:r>
        <w:t xml:space="preserve">El </w:t>
      </w:r>
      <w:r>
        <w:rPr>
          <w:b/>
          <w:bCs/>
        </w:rPr>
        <w:t xml:space="preserve">Reglamento de Administración Electrónica de la UAL</w:t>
      </w:r>
      <w:r>
        <w:t xml:space="preserve"> (en adelante, "el Reglamento") es la norma de desarrollo </w:t>
      </w:r>
      <w:r>
        <w:rPr>
          <w:b/>
          <w:bCs/>
        </w:rPr>
        <w:t xml:space="preserve">interna</w:t>
      </w:r>
      <w:r>
        <w:t xml:space="preserve"> con la que la Universidad de Almería concreta, en su ámbito propio, cómo aplica esa ley general: qué es su sede electrónica, cómo funciona su registro, qué sistemas de identificación y firma admite, cómo notifica electrónicamente y cómo gestiona expedientes y archivo electrónico. Es, por tanto, el "traje a medida" de la Ley 39/2015 (y de la Ley 40/2015, de Régimen Jurídico del Sector Público, en lo relativo a sello electrónico y actuación administrativa automatizada) para la UAL.</w:t>
      </w:r>
    </w:p>
    <w:p>
      <w:pPr>
        <w:spacing w:after="120"/>
        <w:jc w:val="both"/>
      </w:pPr>
      <w:r>
        <w:t xml:space="preserve">⚠️ </w:t>
      </w:r>
      <w:r>
        <w:rPr>
          <w:b/>
          <w:bCs/>
        </w:rPr>
        <w:t xml:space="preserve">MUY PREGUNTADO EN EXAMEN</w:t>
      </w:r>
      <w:r>
        <w:t xml:space="preserve">: el Reglamento fue </w:t>
      </w:r>
      <w:r>
        <w:rPr>
          <w:b/>
          <w:bCs/>
        </w:rPr>
        <w:t xml:space="preserve">aprobado por Acuerdo de 23 de febrero de 2021</w:t>
      </w:r>
      <w:r>
        <w:t xml:space="preserve"> y </w:t>
      </w:r>
      <w:r>
        <w:rPr>
          <w:b/>
          <w:bCs/>
        </w:rPr>
        <w:t xml:space="preserve">publicado en el BOJA número 40, de 1 de marzo de 2021</w:t>
      </w:r>
      <w:r>
        <w:t xml:space="preserve">. Retener esta fecha de aprobación es un clásico de examen tipo test (fecha, órgano que lo aprueba, boletín de publicación).</w:t>
      </w:r>
    </w:p>
    <w:p>
      <w:pPr>
        <w:spacing w:after="120"/>
        <w:jc w:val="both"/>
      </w:pPr>
      <w:r>
        <w:rPr>
          <w:b/>
          <w:bCs/>
        </w:rPr>
        <w:t xml:space="preserve">Estructura general</w:t>
      </w:r>
      <w:r>
        <w:t xml:space="preserve"> (retener el esqueleto de títulos, muy preguntable):</w:t>
      </w:r>
    </w:p>
    <w:p>
      <w:pPr>
        <w:pStyle w:val="ListParagraph"/>
        <w:numPr>
          <w:ilvl w:val="0"/>
          <w:numId w:val="3"/>
        </w:numPr>
        <w:spacing w:after="60"/>
      </w:pPr>
      <w:r>
        <w:rPr>
          <w:b/>
          <w:bCs/>
        </w:rPr>
        <w:t xml:space="preserve">Título I.</w:t>
      </w:r>
      <w:r>
        <w:t xml:space="preserve"> Disposiciones generales (arts. 1-2)</w:t>
      </w:r>
    </w:p>
    <w:p>
      <w:pPr>
        <w:pStyle w:val="ListParagraph"/>
        <w:numPr>
          <w:ilvl w:val="0"/>
          <w:numId w:val="3"/>
        </w:numPr>
        <w:spacing w:after="60"/>
      </w:pPr>
      <w:r>
        <w:rPr>
          <w:b/>
          <w:bCs/>
        </w:rPr>
        <w:t xml:space="preserve">Título II.</w:t>
      </w:r>
      <w:r>
        <w:t xml:space="preserve"> Sede Electrónica (arts. 3-8)</w:t>
      </w:r>
    </w:p>
    <w:p>
      <w:pPr>
        <w:pStyle w:val="ListParagraph"/>
        <w:numPr>
          <w:ilvl w:val="0"/>
          <w:numId w:val="3"/>
        </w:numPr>
        <w:spacing w:after="60"/>
      </w:pPr>
      <w:r>
        <w:rPr>
          <w:b/>
          <w:bCs/>
        </w:rPr>
        <w:t xml:space="preserve">Título III.</w:t>
      </w:r>
      <w:r>
        <w:t xml:space="preserve"> Sistemas de identificación y firma (arts. 9-13)</w:t>
      </w:r>
    </w:p>
    <w:p>
      <w:pPr>
        <w:pStyle w:val="ListParagraph"/>
        <w:numPr>
          <w:ilvl w:val="0"/>
          <w:numId w:val="3"/>
        </w:numPr>
        <w:spacing w:after="60"/>
      </w:pPr>
      <w:r>
        <w:rPr>
          <w:b/>
          <w:bCs/>
        </w:rPr>
        <w:t xml:space="preserve">Título IV.</w:t>
      </w:r>
      <w:r>
        <w:t xml:space="preserve"> Registro Electrónico General (arts. 14-18)</w:t>
      </w:r>
    </w:p>
    <w:p>
      <w:pPr>
        <w:pStyle w:val="ListParagraph"/>
        <w:numPr>
          <w:ilvl w:val="0"/>
          <w:numId w:val="3"/>
        </w:numPr>
        <w:spacing w:after="60"/>
      </w:pPr>
      <w:r>
        <w:rPr>
          <w:b/>
          <w:bCs/>
        </w:rPr>
        <w:t xml:space="preserve">Título V.</w:t>
      </w:r>
      <w:r>
        <w:t xml:space="preserve"> Notificaciones electrónicas (arts. 19-25)</w:t>
      </w:r>
    </w:p>
    <w:p>
      <w:pPr>
        <w:pStyle w:val="ListParagraph"/>
        <w:numPr>
          <w:ilvl w:val="0"/>
          <w:numId w:val="3"/>
        </w:numPr>
        <w:spacing w:after="60"/>
      </w:pPr>
      <w:r>
        <w:rPr>
          <w:b/>
          <w:bCs/>
        </w:rPr>
        <w:t xml:space="preserve">Título VI.</w:t>
      </w:r>
      <w:r>
        <w:t xml:space="preserve"> Documentos y expediente administrativo electrónico (arts. 26-30)</w:t>
      </w:r>
    </w:p>
    <w:p>
      <w:pPr>
        <w:pStyle w:val="ListParagraph"/>
        <w:numPr>
          <w:ilvl w:val="0"/>
          <w:numId w:val="3"/>
        </w:numPr>
        <w:spacing w:after="60"/>
      </w:pPr>
      <w:r>
        <w:t xml:space="preserve">Disposiciones adicionales, transitorias, derogatoria y finales</w:t>
      </w:r>
    </w:p>
    <w:p>
      <w:pPr>
        <w:pBdr>
          <w:bottom w:val="single" w:color="AAAAAA" w:sz="6" w:space="1"/>
        </w:pBdr>
        <w:spacing w:after="200"/>
      </w:pPr>
    </w:p>
    <w:p>
      <w:pPr>
        <w:pStyle w:val="Heading3"/>
        <w:spacing w:after="100" w:before="200"/>
      </w:pPr>
      <w:r>
        <w:t xml:space="preserve">2. Disposiciones generales (arts. 1-2)</w:t>
      </w:r>
    </w:p>
    <w:p>
      <w:pPr>
        <w:spacing w:after="120"/>
        <w:jc w:val="both"/>
      </w:pPr>
      <w:r>
        <w:t xml:space="preserve">El </w:t>
      </w:r>
      <w:r>
        <w:rPr>
          <w:b/>
          <w:bCs/>
        </w:rPr>
        <w:t xml:space="preserve">artículo 1</w:t>
      </w:r>
      <w:r>
        <w:t xml:space="preserve"> fija el </w:t>
      </w:r>
      <w:r>
        <w:rPr>
          <w:b/>
          <w:bCs/>
        </w:rPr>
        <w:t xml:space="preserve">objeto y ámbito de aplicación</w:t>
      </w:r>
      <w:r>
        <w:t xml:space="preserve">: regular el uso de medios electrónicos en la actividad administrativa de la UAL en sus relaciones con estudiantes, personal (docente, investigador y de administración y servicios) y con la ciudadanía en general.</w:t>
      </w:r>
    </w:p>
    <w:p>
      <w:pPr>
        <w:spacing w:after="120"/>
        <w:jc w:val="both"/>
      </w:pPr>
      <w:r>
        <w:t xml:space="preserve">El </w:t>
      </w:r>
      <w:r>
        <w:rPr>
          <w:b/>
          <w:bCs/>
        </w:rPr>
        <w:t xml:space="preserve">artículo 2</w:t>
      </w:r>
      <w:r>
        <w:t xml:space="preserve"> establece la </w:t>
      </w:r>
      <w:r>
        <w:rPr>
          <w:b/>
          <w:bCs/>
        </w:rPr>
        <w:t xml:space="preserve">obligación de relacionarse electrónicamente</w:t>
      </w:r>
      <w:r>
        <w:t xml:space="preserve"> con la UAL para determinados colectivos. Siguiendo la lógica del artículo 14 de la Ley 39/2015 (que obliga a personas jurídicas y a quienes ejercen una actividad profesional que requiere colegiación), el Reglamento extiende esa obligatoriedad, dentro de su ámbito, a colectivos como:</w:t>
      </w:r>
    </w:p>
    <w:p>
      <w:pPr>
        <w:pStyle w:val="ListParagraph"/>
        <w:numPr>
          <w:ilvl w:val="0"/>
          <w:numId w:val="3"/>
        </w:numPr>
        <w:spacing w:after="60"/>
      </w:pPr>
      <w:r>
        <w:t xml:space="preserve">Estudiantes matriculados en la Universidad.</w:t>
      </w:r>
    </w:p>
    <w:p>
      <w:pPr>
        <w:pStyle w:val="ListParagraph"/>
        <w:numPr>
          <w:ilvl w:val="0"/>
          <w:numId w:val="3"/>
        </w:numPr>
        <w:spacing w:after="60"/>
      </w:pPr>
      <w:r>
        <w:t xml:space="preserve">Personal docente e investigador.</w:t>
      </w:r>
    </w:p>
    <w:p>
      <w:pPr>
        <w:pStyle w:val="ListParagraph"/>
        <w:numPr>
          <w:ilvl w:val="0"/>
          <w:numId w:val="3"/>
        </w:numPr>
        <w:spacing w:after="60"/>
      </w:pPr>
      <w:r>
        <w:t xml:space="preserve">Personal de administración y servicios.</w:t>
      </w:r>
    </w:p>
    <w:p>
      <w:pPr>
        <w:pStyle w:val="ListParagraph"/>
        <w:numPr>
          <w:ilvl w:val="0"/>
          <w:numId w:val="3"/>
        </w:numPr>
        <w:spacing w:after="60"/>
      </w:pPr>
      <w:r>
        <w:t xml:space="preserve">Investigadores retribuidos con cargo a proyectos o contratos de la Universidad.</w:t>
      </w:r>
    </w:p>
    <w:p>
      <w:pPr>
        <w:pStyle w:val="ListParagraph"/>
        <w:numPr>
          <w:ilvl w:val="0"/>
          <w:numId w:val="3"/>
        </w:numPr>
        <w:spacing w:after="60"/>
      </w:pPr>
      <w:r>
        <w:t xml:space="preserve">Beneficiarios de becas y ayudas concedidas por la UAL.</w:t>
      </w:r>
    </w:p>
    <w:p>
      <w:pPr>
        <w:spacing w:after="120"/>
        <w:jc w:val="both"/>
      </w:pPr>
      <w:r>
        <w:t xml:space="preserve">⚠️ </w:t>
      </w:r>
      <w:r>
        <w:rPr>
          <w:b/>
          <w:bCs/>
        </w:rPr>
        <w:t xml:space="preserve">MUY PREGUNTADO EN EXAMEN</w:t>
      </w:r>
      <w:r>
        <w:t xml:space="preserve">: identificar qué colectivos están </w:t>
      </w:r>
      <w:r>
        <w:rPr>
          <w:b/>
          <w:bCs/>
        </w:rPr>
        <w:t xml:space="preserve">obligados</w:t>
      </w:r>
      <w:r>
        <w:t xml:space="preserve"> a relacionarse electrónicamente con la UAL (todo el personal propio y el estudiantado, no solo "empleados públicos" en sentido genérico) es un contenido típico de pregunta trampa, porque en la Ley 39/2015 general la obligación de empleados públicos se limita a los trámites relacionados con su condición de empleados, mientras que en el ámbito interno universitario el Reglamento amplía la obligatoriedad de forma más genérica a estudiantes y personal.</w:t>
      </w:r>
    </w:p>
    <w:p>
      <w:pPr>
        <w:pBdr>
          <w:bottom w:val="single" w:color="AAAAAA" w:sz="6" w:space="1"/>
        </w:pBdr>
        <w:spacing w:after="200"/>
      </w:pPr>
    </w:p>
    <w:p>
      <w:pPr>
        <w:pStyle w:val="Heading3"/>
        <w:spacing w:after="100" w:before="200"/>
      </w:pPr>
      <w:r>
        <w:t xml:space="preserve">3. Título II. Sede Electrónica (arts. 3-8)</w:t>
      </w:r>
    </w:p>
    <w:p>
      <w:pPr>
        <w:pStyle w:val="Heading4"/>
        <w:spacing w:after="80" w:before="150"/>
      </w:pPr>
      <w:r>
        <w:t xml:space="preserve">¿Qué es la Sede Electrónica de la UAL?</w:t>
      </w:r>
    </w:p>
    <w:p>
      <w:pPr>
        <w:spacing w:after="120"/>
        <w:jc w:val="both"/>
      </w:pPr>
      <w:r>
        <w:t xml:space="preserve">La </w:t>
      </w:r>
      <w:r>
        <w:rPr>
          <w:b/>
          <w:bCs/>
        </w:rPr>
        <w:t xml:space="preserve">Sede Electrónica</w:t>
      </w:r>
      <w:r>
        <w:t xml:space="preserve"> es la "dirección electrónica" oficial y disponible para la ciudadanía, cuya titularidad, gestión y administración corresponde a la Universidad, en el ejercicio de sus competencias. Es el equivalente digital a la "ventanilla" o edificio administrativo: allí se accede a trámites, se identifica la Administración de forma segura y se garantiza la integridad, veracidad y actualización de la información publicada.</w:t>
      </w:r>
    </w:p>
    <w:p>
      <w:pPr>
        <w:spacing w:after="120"/>
        <w:jc w:val="both"/>
      </w:pPr>
      <w:r>
        <w:t xml:space="preserve">⚠️ </w:t>
      </w:r>
      <w:r>
        <w:rPr>
          <w:b/>
          <w:bCs/>
        </w:rPr>
        <w:t xml:space="preserve">MUY PREGUNTADO EN EXAMEN</w:t>
      </w:r>
      <w:r>
        <w:t xml:space="preserve">: la Sede Electrónica de la UAL está disponible en </w:t>
      </w:r>
      <w:r>
        <w:rPr>
          <w:b/>
          <w:bCs/>
        </w:rPr>
        <w:t xml:space="preserve">https://sede.ual.es</w:t>
      </w:r>
      <w:r>
        <w:t xml:space="preserve"> y también referenciada desde </w:t>
      </w:r>
      <w:r>
        <w:rPr>
          <w:b/>
          <w:bCs/>
        </w:rPr>
        <w:t xml:space="preserve">https://www.ual.es/administracionelectronica</w:t>
      </w:r>
      <w:r>
        <w:t xml:space="preserve"> (art. 3). Es habitual que el examen pregunte por la URL o por el concepto legal de "sede electrónica" tal y como lo recoge también el art. 38 de la Ley 40/2015.</w:t>
      </w:r>
    </w:p>
    <w:p>
      <w:pPr>
        <w:pStyle w:val="Heading4"/>
        <w:spacing w:after="80" w:before="150"/>
      </w:pPr>
      <w:r>
        <w:t xml:space="preserve">Principios rectores (art. 4)</w:t>
      </w:r>
    </w:p>
    <w:p>
      <w:pPr>
        <w:spacing w:after="120"/>
        <w:jc w:val="both"/>
      </w:pPr>
      <w:r>
        <w:t xml:space="preserve">La Sede Electrónica de la UAL se rige por los principios de:</w:t>
      </w:r>
    </w:p>
    <w:p>
      <w:pPr>
        <w:pStyle w:val="ListParagraph"/>
        <w:numPr>
          <w:ilvl w:val="0"/>
          <w:numId w:val="3"/>
        </w:numPr>
        <w:spacing w:after="60"/>
      </w:pPr>
      <w:r>
        <w:t xml:space="preserve">Transparencia</w:t>
      </w:r>
    </w:p>
    <w:p>
      <w:pPr>
        <w:pStyle w:val="ListParagraph"/>
        <w:numPr>
          <w:ilvl w:val="0"/>
          <w:numId w:val="3"/>
        </w:numPr>
        <w:spacing w:after="60"/>
      </w:pPr>
      <w:r>
        <w:t xml:space="preserve">Publicidad</w:t>
      </w:r>
    </w:p>
    <w:p>
      <w:pPr>
        <w:pStyle w:val="ListParagraph"/>
        <w:numPr>
          <w:ilvl w:val="0"/>
          <w:numId w:val="3"/>
        </w:numPr>
        <w:spacing w:after="60"/>
      </w:pPr>
      <w:r>
        <w:t xml:space="preserve">Responsabilidad</w:t>
      </w:r>
    </w:p>
    <w:p>
      <w:pPr>
        <w:pStyle w:val="ListParagraph"/>
        <w:numPr>
          <w:ilvl w:val="0"/>
          <w:numId w:val="3"/>
        </w:numPr>
        <w:spacing w:after="60"/>
      </w:pPr>
      <w:r>
        <w:t xml:space="preserve">Calidad</w:t>
      </w:r>
    </w:p>
    <w:p>
      <w:pPr>
        <w:pStyle w:val="ListParagraph"/>
        <w:numPr>
          <w:ilvl w:val="0"/>
          <w:numId w:val="3"/>
        </w:numPr>
        <w:spacing w:after="60"/>
      </w:pPr>
      <w:r>
        <w:t xml:space="preserve">Seguridad</w:t>
      </w:r>
    </w:p>
    <w:p>
      <w:pPr>
        <w:pStyle w:val="ListParagraph"/>
        <w:numPr>
          <w:ilvl w:val="0"/>
          <w:numId w:val="3"/>
        </w:numPr>
        <w:spacing w:after="60"/>
      </w:pPr>
      <w:r>
        <w:t xml:space="preserve">Disponibilidad</w:t>
      </w:r>
    </w:p>
    <w:p>
      <w:pPr>
        <w:pStyle w:val="ListParagraph"/>
        <w:numPr>
          <w:ilvl w:val="0"/>
          <w:numId w:val="3"/>
        </w:numPr>
        <w:spacing w:after="60"/>
      </w:pPr>
      <w:r>
        <w:t xml:space="preserve">Accesibilidad</w:t>
      </w:r>
    </w:p>
    <w:p>
      <w:pPr>
        <w:pStyle w:val="ListParagraph"/>
        <w:numPr>
          <w:ilvl w:val="0"/>
          <w:numId w:val="3"/>
        </w:numPr>
        <w:spacing w:after="60"/>
      </w:pPr>
      <w:r>
        <w:t xml:space="preserve">Neutralidad</w:t>
      </w:r>
    </w:p>
    <w:p>
      <w:pPr>
        <w:pStyle w:val="ListParagraph"/>
        <w:numPr>
          <w:ilvl w:val="0"/>
          <w:numId w:val="3"/>
        </w:numPr>
        <w:spacing w:after="60"/>
      </w:pPr>
      <w:r>
        <w:t xml:space="preserve">Interoperabilidad</w:t>
      </w:r>
    </w:p>
    <w:p>
      <w:pPr>
        <w:spacing w:after="120"/>
        <w:jc w:val="both"/>
      </w:pPr>
      <w:r>
        <w:t xml:space="preserve">⚠️ </w:t>
      </w:r>
      <w:r>
        <w:rPr>
          <w:b/>
          <w:bCs/>
        </w:rPr>
        <w:t xml:space="preserve">MUY PREGUNTADO EN EXAMEN</w:t>
      </w:r>
      <w:r>
        <w:t xml:space="preserve">: memorizar esta lista de principios (son 9) es muy rentable, porque las preguntas tipo test suelen presentar una lista con uno o dos principios "intrusos" (por ejemplo, "eficacia" o "economía procesal", que no aparecen en este artículo) para comprobar si el opositor los ha memorizado con precisión.</w:t>
      </w:r>
    </w:p>
    <w:p>
      <w:pPr>
        <w:pStyle w:val="Heading4"/>
        <w:spacing w:after="80" w:before="150"/>
      </w:pPr>
      <w:r>
        <w:t xml:space="preserve">Contenido de la Sede (art. 5)</w:t>
      </w:r>
    </w:p>
    <w:p>
      <w:pPr>
        <w:spacing w:after="120"/>
        <w:jc w:val="both"/>
      </w:pPr>
      <w:r>
        <w:t xml:space="preserve">La Sede debe ofrecer, entre otros elementos:</w:t>
      </w:r>
    </w:p>
    <w:p>
      <w:pPr>
        <w:pStyle w:val="ListParagraph"/>
        <w:numPr>
          <w:ilvl w:val="0"/>
          <w:numId w:val="3"/>
        </w:numPr>
        <w:spacing w:after="60"/>
      </w:pPr>
      <w:r>
        <w:t xml:space="preserve">Identificación de la sede y su titular.</w:t>
      </w:r>
    </w:p>
    <w:p>
      <w:pPr>
        <w:pStyle w:val="ListParagraph"/>
        <w:numPr>
          <w:ilvl w:val="0"/>
          <w:numId w:val="3"/>
        </w:numPr>
        <w:spacing w:after="60"/>
      </w:pPr>
      <w:r>
        <w:t xml:space="preserve">Certificado de la sede y mecanismos de verificación de su autenticidad.</w:t>
      </w:r>
    </w:p>
    <w:p>
      <w:pPr>
        <w:pStyle w:val="ListParagraph"/>
        <w:numPr>
          <w:ilvl w:val="0"/>
          <w:numId w:val="3"/>
        </w:numPr>
        <w:spacing w:after="60"/>
      </w:pPr>
      <w:r>
        <w:t xml:space="preserve">Normativa aplicable a la Sede.</w:t>
      </w:r>
    </w:p>
    <w:p>
      <w:pPr>
        <w:pStyle w:val="ListParagraph"/>
        <w:numPr>
          <w:ilvl w:val="0"/>
          <w:numId w:val="3"/>
        </w:numPr>
        <w:spacing w:after="60"/>
      </w:pPr>
      <w:r>
        <w:t xml:space="preserve">Catálogo de trámites y procedimientos administrativos disponibles.</w:t>
      </w:r>
    </w:p>
    <w:p>
      <w:pPr>
        <w:pStyle w:val="ListParagraph"/>
        <w:numPr>
          <w:ilvl w:val="0"/>
          <w:numId w:val="3"/>
        </w:numPr>
        <w:spacing w:after="60"/>
      </w:pPr>
      <w:r>
        <w:t xml:space="preserve">Acceso al Registro Electrónico General.</w:t>
      </w:r>
    </w:p>
    <w:p>
      <w:pPr>
        <w:pStyle w:val="ListParagraph"/>
        <w:numPr>
          <w:ilvl w:val="0"/>
          <w:numId w:val="3"/>
        </w:numPr>
        <w:spacing w:after="60"/>
      </w:pPr>
      <w:r>
        <w:t xml:space="preserve">Referencia al Boletín Oficial de la Universidad de Almería (BOUAL).</w:t>
      </w:r>
    </w:p>
    <w:p>
      <w:pPr>
        <w:pStyle w:val="ListParagraph"/>
        <w:numPr>
          <w:ilvl w:val="0"/>
          <w:numId w:val="3"/>
        </w:numPr>
        <w:spacing w:after="60"/>
      </w:pPr>
      <w:r>
        <w:t xml:space="preserve">Sistema para la formulación de sugerencias y quejas.</w:t>
      </w:r>
    </w:p>
    <w:p>
      <w:pPr>
        <w:pStyle w:val="ListParagraph"/>
        <w:numPr>
          <w:ilvl w:val="0"/>
          <w:numId w:val="3"/>
        </w:numPr>
        <w:spacing w:after="60"/>
      </w:pPr>
      <w:r>
        <w:t xml:space="preserve">Información sobre protección de datos personales.</w:t>
      </w:r>
    </w:p>
    <w:p>
      <w:pPr>
        <w:pStyle w:val="ListParagraph"/>
        <w:numPr>
          <w:ilvl w:val="0"/>
          <w:numId w:val="3"/>
        </w:numPr>
        <w:spacing w:after="60"/>
      </w:pPr>
      <w:r>
        <w:t xml:space="preserve">Relación de sistemas de firma electrónica admitidos.</w:t>
      </w:r>
    </w:p>
    <w:p>
      <w:pPr>
        <w:pStyle w:val="ListParagraph"/>
        <w:numPr>
          <w:ilvl w:val="0"/>
          <w:numId w:val="3"/>
        </w:numPr>
        <w:spacing w:after="60"/>
      </w:pPr>
      <w:r>
        <w:t xml:space="preserve">Información sobre los sellos electrónicos utilizados.</w:t>
      </w:r>
    </w:p>
    <w:p>
      <w:pPr>
        <w:pStyle w:val="ListParagraph"/>
        <w:numPr>
          <w:ilvl w:val="0"/>
          <w:numId w:val="3"/>
        </w:numPr>
        <w:spacing w:after="60"/>
      </w:pPr>
      <w:r>
        <w:t xml:space="preserve">Sistema de verificación de documentos mediante código seguro de verificación (CSV).</w:t>
      </w:r>
    </w:p>
    <w:p>
      <w:pPr>
        <w:pStyle w:val="ListParagraph"/>
        <w:numPr>
          <w:ilvl w:val="0"/>
          <w:numId w:val="3"/>
        </w:numPr>
        <w:spacing w:after="60"/>
      </w:pPr>
      <w:r>
        <w:t xml:space="preserve">Fecha y hora oficiales.</w:t>
      </w:r>
    </w:p>
    <w:p>
      <w:pPr>
        <w:pStyle w:val="ListParagraph"/>
        <w:numPr>
          <w:ilvl w:val="0"/>
          <w:numId w:val="3"/>
        </w:numPr>
        <w:spacing w:after="60"/>
      </w:pPr>
      <w:r>
        <w:t xml:space="preserve">Calendario de días inhábiles.</w:t>
      </w:r>
    </w:p>
    <w:p>
      <w:pPr>
        <w:pStyle w:val="ListParagraph"/>
        <w:numPr>
          <w:ilvl w:val="0"/>
          <w:numId w:val="3"/>
        </w:numPr>
        <w:spacing w:after="60"/>
      </w:pPr>
      <w:r>
        <w:t xml:space="preserve">Servicios de asistencia y ayuda a la ciudadanía.</w:t>
      </w:r>
    </w:p>
    <w:p>
      <w:pPr>
        <w:spacing w:after="120"/>
        <w:jc w:val="both"/>
      </w:pPr>
      <w:r>
        <w:rPr>
          <w:b/>
          <w:bCs/>
        </w:rPr>
        <w:t xml:space="preserve">Ejemplo práctico</w:t>
      </w:r>
      <w:r>
        <w:t xml:space="preserve">: si un opositor necesita comprobar si un procedimiento administrativo específico de la UAL (por ejemplo, una convocatoria de becas) es tramitable electrónicamente, debe consultar el </w:t>
      </w:r>
      <w:r>
        <w:rPr>
          <w:b/>
          <w:bCs/>
        </w:rPr>
        <w:t xml:space="preserve">catálogo de trámites o procedimientos</w:t>
      </w:r>
      <w:r>
        <w:t xml:space="preserve"> de la Sede Electrónica (art. 5 y art. 6).</w:t>
      </w:r>
    </w:p>
    <w:p>
      <w:pPr>
        <w:pStyle w:val="Heading4"/>
        <w:spacing w:after="80" w:before="150"/>
      </w:pPr>
      <w:r>
        <w:t xml:space="preserve">Disponibilidad (art. 7)</w:t>
      </w:r>
    </w:p>
    <w:p>
      <w:pPr>
        <w:spacing w:after="120"/>
        <w:jc w:val="both"/>
      </w:pPr>
      <w:r>
        <w:t xml:space="preserve">La Sede está disponible </w:t>
      </w:r>
      <w:r>
        <w:rPr>
          <w:b/>
          <w:bCs/>
        </w:rPr>
        <w:t xml:space="preserve">todos los días del año, las 24 horas</w:t>
      </w:r>
      <w:r>
        <w:t xml:space="preserve">, sin perjuicio de las interrupciones necesarias por razones técnicas (mantenimiento, actualizaciones, causas de fuerza mayor), que deben anunciarse previamente cuando sea posible.</w:t>
      </w:r>
    </w:p>
    <w:p>
      <w:pPr>
        <w:spacing w:after="120"/>
        <w:jc w:val="both"/>
      </w:pPr>
      <w:r>
        <w:t xml:space="preserve">⚠️ </w:t>
      </w:r>
      <w:r>
        <w:rPr>
          <w:b/>
          <w:bCs/>
        </w:rPr>
        <w:t xml:space="preserve">MUY PREGUNTADO EN EXAMEN</w:t>
      </w:r>
      <w:r>
        <w:t xml:space="preserve">: la fórmula "24 horas, 365 días del año, salvo interrupciones técnicas" aparece de manera muy similar tanto para la Sede Electrónica (art. 7) como para el Registro Electrónico General (art. 15). Es fácil confundir en qué artículo aparece cada mención; conviene fijar que </w:t>
      </w:r>
      <w:r>
        <w:rPr>
          <w:b/>
          <w:bCs/>
        </w:rPr>
        <w:t xml:space="preserve">ambos</w:t>
      </w:r>
      <w:r>
        <w:t xml:space="preserve"> servicios comparten esta característica de disponibilidad continua.</w:t>
      </w:r>
    </w:p>
    <w:p>
      <w:pPr>
        <w:pStyle w:val="Heading4"/>
        <w:spacing w:after="80" w:before="150"/>
      </w:pPr>
      <w:r>
        <w:t xml:space="preserve">Gestión y responsables (art. 8)</w:t>
      </w:r>
    </w:p>
    <w:p>
      <w:pPr>
        <w:spacing w:after="120"/>
        <w:jc w:val="both"/>
      </w:pPr>
      <w:r>
        <w:t xml:space="preserve">La gestión, coordinación y supervisión de la Sede corresponde, en última instancia, al </w:t>
      </w:r>
      <w:r>
        <w:rPr>
          <w:b/>
          <w:bCs/>
        </w:rPr>
        <w:t xml:space="preserve">Secretario General</w:t>
      </w:r>
      <w:r>
        <w:t xml:space="preserve"> de la UAL, mientras que el mantenimiento técnico e informático corresponde al servicio o área de tecnologías de la información.</w:t>
      </w:r>
    </w:p>
    <w:p>
      <w:pPr>
        <w:pBdr>
          <w:bottom w:val="single" w:color="AAAAAA" w:sz="6" w:space="1"/>
        </w:pBdr>
        <w:spacing w:after="200"/>
      </w:pPr>
    </w:p>
    <w:p>
      <w:pPr>
        <w:pStyle w:val="Heading3"/>
        <w:spacing w:after="100" w:before="200"/>
      </w:pPr>
      <w:r>
        <w:t xml:space="preserve">4. Título III. Sistemas de identificación y firma (arts. 9-13)</w:t>
      </w:r>
    </w:p>
    <w:p>
      <w:pPr>
        <w:spacing w:after="120"/>
        <w:jc w:val="both"/>
      </w:pPr>
      <w:r>
        <w:t xml:space="preserve">Este bloque conecta directamente con lo estudiado en el Tema 1 sobre los medios de identificación y firma que admite la Ley 39/2015 (art. 9 y 10 de dicha ley): sistemas basados en certificados electrónicos cualificados, sistemas de clave concertada, o cualquier otro sistema que la Administración considere válido siempre que quede garantizada la identidad del interesado.</w:t>
      </w:r>
    </w:p>
    <w:p>
      <w:pPr>
        <w:pStyle w:val="Heading4"/>
        <w:spacing w:after="80" w:before="150"/>
      </w:pPr>
      <w:r>
        <w:t xml:space="preserve">Política de firma (art. 9)</w:t>
      </w:r>
    </w:p>
    <w:p>
      <w:pPr>
        <w:spacing w:after="120"/>
        <w:jc w:val="both"/>
      </w:pPr>
      <w:r>
        <w:t xml:space="preserve">La UAL define, mediante su propia </w:t>
      </w:r>
      <w:r>
        <w:rPr>
          <w:b/>
          <w:bCs/>
        </w:rPr>
        <w:t xml:space="preserve">política de firma electrónica</w:t>
      </w:r>
      <w:r>
        <w:t xml:space="preserve">, los criterios técnicos y jurídicos que rigen la admisión, verificación y uso de sistemas de firma en su ámbito.</w:t>
      </w:r>
    </w:p>
    <w:p>
      <w:pPr>
        <w:pStyle w:val="Heading4"/>
        <w:spacing w:after="80" w:before="150"/>
      </w:pPr>
      <w:r>
        <w:t xml:space="preserve">Identificación de la propia Sede (art. 10)</w:t>
      </w:r>
    </w:p>
    <w:p>
      <w:pPr>
        <w:spacing w:after="120"/>
        <w:jc w:val="both"/>
      </w:pPr>
      <w:r>
        <w:t xml:space="preserve">La Sede Electrónica se identifica ante los ciudadanos mediante un </w:t>
      </w:r>
      <w:r>
        <w:rPr>
          <w:b/>
          <w:bCs/>
        </w:rPr>
        <w:t xml:space="preserve">certificado electrónico de dispositivo seguro</w:t>
      </w:r>
      <w:r>
        <w:t xml:space="preserve"> o medio equivalente, conforme a lo previsto en el Esquema Nacional de Seguridad, de forma que cualquier usuario pueda verificar que está accediendo a la sede auténtica de la UAL y no a una suplantación.</w:t>
      </w:r>
    </w:p>
    <w:p>
      <w:pPr>
        <w:pStyle w:val="Heading4"/>
        <w:spacing w:after="80" w:before="150"/>
      </w:pPr>
      <w:r>
        <w:t xml:space="preserve">Actuación administrativa automatizada y sello electrónico (art. 11)</w:t>
      </w:r>
    </w:p>
    <w:p>
      <w:pPr>
        <w:spacing w:after="120"/>
        <w:jc w:val="both"/>
      </w:pPr>
      <w:r>
        <w:t xml:space="preserve">Para las </w:t>
      </w:r>
      <w:r>
        <w:rPr>
          <w:b/>
          <w:bCs/>
        </w:rPr>
        <w:t xml:space="preserve">actuaciones administrativas automatizadas</w:t>
      </w:r>
      <w:r>
        <w:t xml:space="preserve"> (es decir, aquellas que se producen sin intervención directa de una persona, por ejemplo la generación automática de un justificante o de una resolución tipo), la UAL utiliza un </w:t>
      </w:r>
      <w:r>
        <w:rPr>
          <w:b/>
          <w:bCs/>
        </w:rPr>
        <w:t xml:space="preserve">sello electrónico de Administración Pública</w:t>
      </w:r>
      <w:r>
        <w:t xml:space="preserve">, basado en certificado electrónico reconocido o cualificado, bajo la responsabilidad del Secretario General.</w:t>
      </w:r>
    </w:p>
    <w:p>
      <w:pPr>
        <w:spacing w:after="120"/>
        <w:jc w:val="both"/>
      </w:pPr>
      <w:r>
        <w:t xml:space="preserve">⚠️ </w:t>
      </w:r>
      <w:r>
        <w:rPr>
          <w:b/>
          <w:bCs/>
        </w:rPr>
        <w:t xml:space="preserve">MUY PREGUNTADO EN EXAMEN</w:t>
      </w:r>
      <w:r>
        <w:t xml:space="preserve">: distinguir </w:t>
      </w:r>
      <w:r>
        <w:rPr>
          <w:b/>
          <w:bCs/>
        </w:rPr>
        <w:t xml:space="preserve">firma electrónica de persona física</w:t>
      </w:r>
      <w:r>
        <w:t xml:space="preserve"> (empleado público concreto) frente a </w:t>
      </w:r>
      <w:r>
        <w:rPr>
          <w:b/>
          <w:bCs/>
        </w:rPr>
        <w:t xml:space="preserve">sello electrónico</w:t>
      </w:r>
      <w:r>
        <w:t xml:space="preserve"> (identifica a la Universidad como organismo, no a una persona, y se usa típicamente en actuaciones automatizadas) es un contenido de examen muy típico, coherente con lo visto en la Ley 40/2015.</w:t>
      </w:r>
    </w:p>
    <w:p>
      <w:pPr>
        <w:pStyle w:val="Heading4"/>
        <w:spacing w:after="80" w:before="150"/>
      </w:pPr>
      <w:r>
        <w:t xml:space="preserve">Identificación y firma del personal de la UAL (art. 12)</w:t>
      </w:r>
    </w:p>
    <w:p>
      <w:pPr>
        <w:spacing w:after="120"/>
        <w:jc w:val="both"/>
      </w:pPr>
      <w:r>
        <w:t xml:space="preserve">El personal de la Universidad puede identificarse y firmar mediante:</w:t>
      </w:r>
    </w:p>
    <w:p>
      <w:pPr>
        <w:pStyle w:val="ListParagraph"/>
        <w:numPr>
          <w:ilvl w:val="0"/>
          <w:numId w:val="3"/>
        </w:numPr>
        <w:spacing w:after="60"/>
      </w:pPr>
      <w:r>
        <w:t xml:space="preserve">Sistemas de </w:t>
      </w:r>
      <w:r>
        <w:rPr>
          <w:b/>
          <w:bCs/>
        </w:rPr>
        <w:t xml:space="preserve">clave concertada</w:t>
      </w:r>
      <w:r>
        <w:t xml:space="preserve"> (usuario y contraseña propios de la UAL).</w:t>
      </w:r>
    </w:p>
    <w:p>
      <w:pPr>
        <w:pStyle w:val="ListParagraph"/>
        <w:numPr>
          <w:ilvl w:val="0"/>
          <w:numId w:val="3"/>
        </w:numPr>
        <w:spacing w:after="60"/>
      </w:pPr>
      <w:r>
        <w:rPr>
          <w:b/>
          <w:bCs/>
        </w:rPr>
        <w:t xml:space="preserve">Certificados electrónicos</w:t>
      </w:r>
      <w:r>
        <w:t xml:space="preserve"> de empleado público, cuando la naturaleza del trámite lo requiera.</w:t>
      </w:r>
    </w:p>
    <w:p>
      <w:pPr>
        <w:pStyle w:val="Heading4"/>
        <w:spacing w:after="80" w:before="150"/>
      </w:pPr>
      <w:r>
        <w:t xml:space="preserve">Identificación y firma de los interesados externos (art. 13)</w:t>
      </w:r>
    </w:p>
    <w:p>
      <w:pPr>
        <w:spacing w:after="120"/>
        <w:jc w:val="both"/>
      </w:pPr>
      <w:r>
        <w:t xml:space="preserve">Los interesados (estudiantes, ciudadanía en general, empresas) pueden identificarse y firmar mediante:</w:t>
      </w:r>
    </w:p>
    <w:p>
      <w:pPr>
        <w:pStyle w:val="ListParagraph"/>
        <w:numPr>
          <w:ilvl w:val="0"/>
          <w:numId w:val="3"/>
        </w:numPr>
        <w:spacing w:after="60"/>
      </w:pPr>
      <w:r>
        <w:t xml:space="preserve">Certificados electrónicos </w:t>
      </w:r>
      <w:r>
        <w:rPr>
          <w:b/>
          <w:bCs/>
        </w:rPr>
        <w:t xml:space="preserve">reconocidos o cualificados</w:t>
      </w:r>
      <w:r>
        <w:t xml:space="preserve"> (DNI electrónico, certificado de la FNMT, etc.).</w:t>
      </w:r>
    </w:p>
    <w:p>
      <w:pPr>
        <w:pStyle w:val="ListParagraph"/>
        <w:numPr>
          <w:ilvl w:val="0"/>
          <w:numId w:val="3"/>
        </w:numPr>
        <w:spacing w:after="60"/>
      </w:pPr>
      <w:r>
        <w:t xml:space="preserve">Sistemas de identificación asociados a las </w:t>
      </w:r>
      <w:r>
        <w:rPr>
          <w:b/>
          <w:bCs/>
        </w:rPr>
        <w:t xml:space="preserve">plataformas comunes del Estado</w:t>
      </w:r>
      <w:r>
        <w:t xml:space="preserve"> (por ejemplo, Cl@ve).</w:t>
      </w:r>
    </w:p>
    <w:p>
      <w:pPr>
        <w:pStyle w:val="ListParagraph"/>
        <w:numPr>
          <w:ilvl w:val="0"/>
          <w:numId w:val="3"/>
        </w:numPr>
        <w:spacing w:after="60"/>
      </w:pPr>
      <w:r>
        <w:t xml:space="preserve">Sistema de </w:t>
      </w:r>
      <w:r>
        <w:rPr>
          <w:b/>
          <w:bCs/>
        </w:rPr>
        <w:t xml:space="preserve">clave concertada propio de la UAL</w:t>
      </w:r>
      <w:r>
        <w:t xml:space="preserve"> (usuario/contraseña asignados por la Universidad, por ejemplo a estudiantes matriculados).</w:t>
      </w:r>
    </w:p>
    <w:p>
      <w:pPr>
        <w:spacing w:after="120"/>
        <w:jc w:val="both"/>
      </w:pPr>
      <w:r>
        <w:rPr>
          <w:b/>
          <w:bCs/>
        </w:rPr>
        <w:t xml:space="preserve">Ejemplo práctico</w:t>
      </w:r>
      <w:r>
        <w:t xml:space="preserve">: un estudiante que quiere presentar una solicitud de reconocimiento de créditos puede acceder a la Sede Electrónica de la UAL con su usuario y contraseña institucional (clave concertada), sin necesidad de tener un certificado digital externo. Un proveedor que factura a la Universidad, en cambio, previsiblemente deberá identificarse con certificado electrónico cualificado, dada su condición de persona jurídica obligada a relacionarse electrónicamente (art. 14.2 Ley 39/2015).</w:t>
      </w:r>
    </w:p>
    <w:p>
      <w:pPr>
        <w:pBdr>
          <w:bottom w:val="single" w:color="AAAAAA" w:sz="6" w:space="1"/>
        </w:pBdr>
        <w:spacing w:after="200"/>
      </w:pPr>
    </w:p>
    <w:p>
      <w:pPr>
        <w:pStyle w:val="Heading3"/>
        <w:spacing w:after="100" w:before="200"/>
      </w:pPr>
      <w:r>
        <w:t xml:space="preserve">5. Título IV. Registro Electrónico General (arts. 14-18)</w:t>
      </w:r>
    </w:p>
    <w:p>
      <w:pPr>
        <w:pStyle w:val="Heading4"/>
        <w:spacing w:after="80" w:before="150"/>
      </w:pPr>
      <w:r>
        <w:t xml:space="preserve">¿Qué es y para qué sirve?</w:t>
      </w:r>
    </w:p>
    <w:p>
      <w:pPr>
        <w:spacing w:after="120"/>
        <w:jc w:val="both"/>
      </w:pPr>
      <w:r>
        <w:t xml:space="preserve">El </w:t>
      </w:r>
      <w:r>
        <w:rPr>
          <w:b/>
          <w:bCs/>
        </w:rPr>
        <w:t xml:space="preserve">Registro Electrónico General</w:t>
      </w:r>
      <w:r>
        <w:t xml:space="preserve"> es el instrumento a través del cual la UAL recibe y remite documentos y solicitudes por medios electrónicos, con plena validez y efectos jurídicos equivalentes al registro presencial en papel. Es la traslación práctica del artículo 16 de la Ley 39/2015 (registros electrónicos de las Administraciones Públicas).</w:t>
      </w:r>
    </w:p>
    <w:p>
      <w:pPr>
        <w:spacing w:after="120"/>
        <w:jc w:val="both"/>
      </w:pPr>
      <w:r>
        <w:t xml:space="preserve">⚠️ </w:t>
      </w:r>
      <w:r>
        <w:rPr>
          <w:b/>
          <w:bCs/>
        </w:rPr>
        <w:t xml:space="preserve">MUY PREGUNTADO EN EXAMEN</w:t>
      </w:r>
      <w:r>
        <w:t xml:space="preserve">: el art. 14 establece que el Registro Electrónico General es </w:t>
      </w:r>
      <w:r>
        <w:rPr>
          <w:b/>
          <w:bCs/>
        </w:rPr>
        <w:t xml:space="preserve">único para toda la Universidad de Almería</w:t>
      </w:r>
      <w:r>
        <w:t xml:space="preserve">, y está disponible tanto en la Sede Electrónica como en la oficina de asistencia en materia de registros. Esta característica de </w:t>
      </w:r>
      <w:r>
        <w:rPr>
          <w:b/>
          <w:bCs/>
        </w:rPr>
        <w:t xml:space="preserve">unicidad</w:t>
      </w:r>
      <w:r>
        <w:t xml:space="preserve"> (un solo registro para toda la institución, aunque tenga distintos puntos de acceso) es un contenido de examen recurrente, en paralelo con lo que la Ley 39/2015 dice sobre el registro electrónico general de cada Administración.</w:t>
      </w:r>
    </w:p>
    <w:p>
      <w:pPr>
        <w:spacing w:after="120"/>
        <w:jc w:val="both"/>
      </w:pPr>
      <w:r>
        <w:t xml:space="preserve">La </w:t>
      </w:r>
      <w:r>
        <w:rPr>
          <w:b/>
          <w:bCs/>
        </w:rPr>
        <w:t xml:space="preserve">dirección</w:t>
      </w:r>
      <w:r>
        <w:t xml:space="preserve"> y coordinación del Registro corresponde al Secretario General, y el área de tecnologías de la información garantiza su disponibilidad técnica y seguridad.</w:t>
      </w:r>
    </w:p>
    <w:p>
      <w:pPr>
        <w:pStyle w:val="Heading4"/>
        <w:spacing w:after="80" w:before="150"/>
      </w:pPr>
      <w:r>
        <w:t xml:space="preserve">Calendario, fecha, hora oficial y cómputo de plazos (art. 15)</w:t>
      </w:r>
    </w:p>
    <w:p>
      <w:pPr>
        <w:spacing w:after="120"/>
        <w:jc w:val="both"/>
      </w:pPr>
      <w:r>
        <w:t xml:space="preserve">El Registro está operativo </w:t>
      </w:r>
      <w:r>
        <w:rPr>
          <w:b/>
          <w:bCs/>
        </w:rPr>
        <w:t xml:space="preserve">24 horas al día, los 365 días del año</w:t>
      </w:r>
      <w:r>
        <w:t xml:space="preserve">, salvo interrupciones técnicas justificadas. La Sede debe mostrar el </w:t>
      </w:r>
      <w:r>
        <w:rPr>
          <w:b/>
          <w:bCs/>
        </w:rPr>
        <w:t xml:space="preserve">calendario de días inhábiles</w:t>
      </w:r>
      <w:r>
        <w:t xml:space="preserve"> aplicable y la </w:t>
      </w:r>
      <w:r>
        <w:rPr>
          <w:b/>
          <w:bCs/>
        </w:rPr>
        <w:t xml:space="preserve">fecha y hora oficiales</w:t>
      </w:r>
      <w:r>
        <w:t xml:space="preserve">, elementos esenciales para el cómputo de plazos administrativos (recuerda del Tema 1 que la presentación de un documento un día inhábil se entiende realizada el primer día hábil siguiente, salvo que una norma permita expresamente la presentación en día inhábil).</w:t>
      </w:r>
    </w:p>
    <w:p>
      <w:pPr>
        <w:pStyle w:val="Heading4"/>
        <w:spacing w:after="80" w:before="150"/>
      </w:pPr>
      <w:r>
        <w:t xml:space="preserve">Carácter de las comunicaciones y digitalización (art. 16)</w:t>
      </w:r>
    </w:p>
    <w:p>
      <w:pPr>
        <w:spacing w:after="120"/>
        <w:jc w:val="both"/>
      </w:pPr>
      <w:r>
        <w:t xml:space="preserve">Los documentos presentados de forma presencial en las oficinas de asistencia en materia de registros se </w:t>
      </w:r>
      <w:r>
        <w:rPr>
          <w:b/>
          <w:bCs/>
        </w:rPr>
        <w:t xml:space="preserve">digitalizan</w:t>
      </w:r>
      <w:r>
        <w:t xml:space="preserve"> antes de incorporarse al expediente electrónico correspondiente, garantizando así que todo expediente termine teniendo formato electrónico.</w:t>
      </w:r>
    </w:p>
    <w:p>
      <w:pPr>
        <w:pStyle w:val="Heading4"/>
        <w:spacing w:after="80" w:before="150"/>
      </w:pPr>
      <w:r>
        <w:t xml:space="preserve">Documentos admisibles y causas de rechazo (art. 17)</w:t>
      </w:r>
    </w:p>
    <w:p>
      <w:pPr>
        <w:spacing w:after="120"/>
        <w:jc w:val="both"/>
      </w:pPr>
      <w:r>
        <w:t xml:space="preserve">El sistema puede </w:t>
      </w:r>
      <w:r>
        <w:rPr>
          <w:b/>
          <w:bCs/>
        </w:rPr>
        <w:t xml:space="preserve">rechazar</w:t>
      </w:r>
      <w:r>
        <w:t xml:space="preserve"> documentos cuando:</w:t>
      </w:r>
    </w:p>
    <w:p>
      <w:pPr>
        <w:pStyle w:val="ListParagraph"/>
        <w:numPr>
          <w:ilvl w:val="0"/>
          <w:numId w:val="3"/>
        </w:numPr>
        <w:spacing w:after="60"/>
      </w:pPr>
      <w:r>
        <w:t xml:space="preserve">Contengan código malicioso o dispositivo susceptible de afectar a la integridad o seguridad del sistema.</w:t>
      </w:r>
    </w:p>
    <w:p>
      <w:pPr>
        <w:pStyle w:val="ListParagraph"/>
        <w:numPr>
          <w:ilvl w:val="0"/>
          <w:numId w:val="3"/>
        </w:numPr>
        <w:spacing w:after="60"/>
      </w:pPr>
      <w:r>
        <w:t xml:space="preserve">No cumplimenten los campos obligatorios del formulario de presentación.</w:t>
      </w:r>
    </w:p>
    <w:p>
      <w:pPr>
        <w:pStyle w:val="ListParagraph"/>
        <w:numPr>
          <w:ilvl w:val="0"/>
          <w:numId w:val="3"/>
        </w:numPr>
        <w:spacing w:after="60"/>
      </w:pPr>
      <w:r>
        <w:t xml:space="preserve">Estén en formatos no admitidos por la sede.</w:t>
      </w:r>
    </w:p>
    <w:p>
      <w:pPr>
        <w:pStyle w:val="ListParagraph"/>
        <w:numPr>
          <w:ilvl w:val="0"/>
          <w:numId w:val="3"/>
        </w:numPr>
        <w:spacing w:after="60"/>
      </w:pPr>
      <w:r>
        <w:t xml:space="preserve">No permitan identificar con claridad al remitente.</w:t>
      </w:r>
    </w:p>
    <w:p>
      <w:pPr>
        <w:spacing w:after="120"/>
        <w:jc w:val="both"/>
      </w:pPr>
      <w:r>
        <w:t xml:space="preserve">⚠️ </w:t>
      </w:r>
      <w:r>
        <w:rPr>
          <w:b/>
          <w:bCs/>
        </w:rPr>
        <w:t xml:space="preserve">MUY PREGUNTADO EN EXAMEN</w:t>
      </w:r>
      <w:r>
        <w:t xml:space="preserve">: las causas de rechazo de documentos en el registro electrónico son un clásico de examen, tanto en el Tema 1 (Ley 39/2015, art. 16.4 y normativa de desarrollo) como aquí; conviene fijar bien la idea de "código malicioso", "formato no admitido" y "campos obligatorios sin cumplimentar".</w:t>
      </w:r>
    </w:p>
    <w:p>
      <w:pPr>
        <w:pStyle w:val="Heading4"/>
        <w:spacing w:after="80" w:before="150"/>
      </w:pPr>
      <w:r>
        <w:t xml:space="preserve">Acuse de recibo (art. 18)</w:t>
      </w:r>
    </w:p>
    <w:p>
      <w:pPr>
        <w:spacing w:after="120"/>
        <w:jc w:val="both"/>
      </w:pPr>
      <w:r>
        <w:t xml:space="preserve">Tras cada presentación, el sistema emite </w:t>
      </w:r>
      <w:r>
        <w:rPr>
          <w:b/>
          <w:bCs/>
        </w:rPr>
        <w:t xml:space="preserve">automáticamente un recibo firmado electrónicamente</w:t>
      </w:r>
      <w:r>
        <w:t xml:space="preserve">, que incluye copia del documento, fecha y hora de presentación y número de registro asignado. Este recibo sirve como justificante frente a la Administración y frente a terceros.</w:t>
      </w:r>
    </w:p>
    <w:p>
      <w:pPr>
        <w:spacing w:after="120"/>
        <w:jc w:val="both"/>
      </w:pPr>
      <w:r>
        <w:rPr>
          <w:b/>
          <w:bCs/>
        </w:rPr>
        <w:t xml:space="preserve">Ejemplo práctico</w:t>
      </w:r>
      <w:r>
        <w:t xml:space="preserve">: si presentas una solicitud a las 23:50 de un día 30 y el sistema te da recibo con esa fecha y hora, la solicitud se entiende presentada ese día 30 a efectos de plazo, aunque la oficina de registro presencial estuviera ya cerrada, precisamente porque el Registro Electrónico funciona 24/7.</w:t>
      </w:r>
    </w:p>
    <w:p>
      <w:pPr>
        <w:pBdr>
          <w:bottom w:val="single" w:color="AAAAAA" w:sz="6" w:space="1"/>
        </w:pBdr>
        <w:spacing w:after="200"/>
      </w:pPr>
    </w:p>
    <w:p>
      <w:pPr>
        <w:pStyle w:val="Heading3"/>
        <w:spacing w:after="100" w:before="200"/>
      </w:pPr>
      <w:r>
        <w:t xml:space="preserve">6. Título V. Notificaciones electrónicas (arts. 19-25)</w:t>
      </w:r>
    </w:p>
    <w:p>
      <w:pPr>
        <w:spacing w:after="120"/>
        <w:jc w:val="both"/>
      </w:pPr>
      <w:r>
        <w:t xml:space="preserve">Este es probablemente el bloque más denso y más preguntado del Reglamento, por su conexión directa con el régimen de notificaciones de la Ley 39/2015 (arts. 40 a 46).</w:t>
      </w:r>
    </w:p>
    <w:p>
      <w:pPr>
        <w:pStyle w:val="Heading4"/>
        <w:spacing w:after="80" w:before="150"/>
      </w:pPr>
      <w:r>
        <w:t xml:space="preserve">Comunicación electrónica (art. 19)</w:t>
      </w:r>
    </w:p>
    <w:p>
      <w:pPr>
        <w:spacing w:after="120"/>
        <w:jc w:val="both"/>
      </w:pPr>
      <w:r>
        <w:t xml:space="preserve">La UAL potencia el uso de </w:t>
      </w:r>
      <w:r>
        <w:rPr>
          <w:b/>
          <w:bCs/>
        </w:rPr>
        <w:t xml:space="preserve">comunicaciones electrónicas</w:t>
      </w:r>
      <w:r>
        <w:t xml:space="preserve"> con los interesados, utilizando preferentemente el correo electrónico como cauce ágil de información (sin que ello sustituya, cuando proceda, a la notificación electrónica formal con todas sus garantías jurídicas).</w:t>
      </w:r>
    </w:p>
    <w:p>
      <w:pPr>
        <w:pStyle w:val="Heading4"/>
        <w:spacing w:after="80" w:before="150"/>
      </w:pPr>
      <w:r>
        <w:t xml:space="preserve">Notificación electrónica (art. 20)</w:t>
      </w:r>
    </w:p>
    <w:p>
      <w:pPr>
        <w:spacing w:after="120"/>
        <w:jc w:val="both"/>
      </w:pPr>
      <w:r>
        <w:t xml:space="preserve">Para las personas </w:t>
      </w:r>
      <w:r>
        <w:rPr>
          <w:b/>
          <w:bCs/>
        </w:rPr>
        <w:t xml:space="preserve">no obligadas</w:t>
      </w:r>
      <w:r>
        <w:t xml:space="preserve"> a relacionarse electrónicamente, cabe la notificación a través de sistemas como los buzones de la Administración General del Estado o la Dirección Electrónica Habilitada, sin perjuicio de que puedan optar voluntariamente por la notificación electrónica.</w:t>
      </w:r>
    </w:p>
    <w:p>
      <w:pPr>
        <w:pStyle w:val="Heading4"/>
        <w:spacing w:after="80" w:before="150"/>
      </w:pPr>
      <w:r>
        <w:t xml:space="preserve">Notificación a la comunidad universitaria (art. 21)</w:t>
      </w:r>
    </w:p>
    <w:p>
      <w:pPr>
        <w:spacing w:after="120"/>
        <w:jc w:val="both"/>
      </w:pPr>
      <w:r>
        <w:t xml:space="preserve">La UAL dispone de un </w:t>
      </w:r>
      <w:r>
        <w:rPr>
          <w:b/>
          <w:bCs/>
        </w:rPr>
        <w:t xml:space="preserve">sistema de notificación electrónica propio</w:t>
      </w:r>
      <w:r>
        <w:t xml:space="preserve">, integrado en sus entornos de gestión y tramitación, al que se accede mediante las claves concertadas de la Universidad (o certificado electrónico).</w:t>
      </w:r>
    </w:p>
    <w:p>
      <w:pPr>
        <w:spacing w:after="120"/>
        <w:jc w:val="both"/>
      </w:pPr>
      <w:r>
        <w:t xml:space="preserve">⚠️ </w:t>
      </w:r>
      <w:r>
        <w:rPr>
          <w:b/>
          <w:bCs/>
        </w:rPr>
        <w:t xml:space="preserve">MUY PREGUNTADO EN EXAMEN</w:t>
      </w:r>
      <w:r>
        <w:t xml:space="preserve">: el momento en que se entiende </w:t>
      </w:r>
      <w:r>
        <w:rPr>
          <w:b/>
          <w:bCs/>
        </w:rPr>
        <w:t xml:space="preserve">practicada</w:t>
      </w:r>
      <w:r>
        <w:t xml:space="preserve"> la notificación electrónica (art. 21.6, según lo consultado) sigue la misma regla que la Ley 39/2015 (art. 43): la notificación se entiende </w:t>
      </w:r>
      <w:r>
        <w:rPr>
          <w:b/>
          <w:bCs/>
        </w:rPr>
        <w:t xml:space="preserve">practicada en el momento en que el interesado accede a su contenido</w:t>
      </w:r>
      <w:r>
        <w:t xml:space="preserve">, o bien, si no accede, </w:t>
      </w:r>
      <w:r>
        <w:rPr>
          <w:b/>
          <w:bCs/>
        </w:rPr>
        <w:t xml:space="preserve">cuando hayan transcurrido diez días naturales</w:t>
      </w:r>
      <w:r>
        <w:t xml:space="preserve"> desde la puesta a disposición sin que el interesado haya accedido a ella (momento en el que se entiende </w:t>
      </w:r>
      <w:r>
        <w:rPr>
          <w:b/>
          <w:bCs/>
        </w:rPr>
        <w:t xml:space="preserve">rechazada</w:t>
      </w:r>
      <w:r>
        <w:t xml:space="preserve">, salvo que de oficio o a instancia del destinatario se compruebe la imposibilidad técnica o material del acceso). Esta regla de los "10 días naturales" es una de las preguntas más repetidas en oposiciones de administración electrónica, tanto a nivel de Ley 39/2015 como de este Reglamento.</w:t>
      </w:r>
    </w:p>
    <w:p>
      <w:pPr>
        <w:pStyle w:val="Heading4"/>
        <w:spacing w:after="80" w:before="150"/>
      </w:pPr>
      <w:r>
        <w:t xml:space="preserve">Notificación por comparecencia electrónica (art. 22)</w:t>
      </w:r>
    </w:p>
    <w:p>
      <w:pPr>
        <w:spacing w:after="120"/>
        <w:jc w:val="both"/>
      </w:pPr>
      <w:r>
        <w:t xml:space="preserve">Se considera válidamente practicada cuando el interesado </w:t>
      </w:r>
      <w:r>
        <w:rPr>
          <w:b/>
          <w:bCs/>
        </w:rPr>
        <w:t xml:space="preserve">accede al sistema identificándose</w:t>
      </w:r>
      <w:r>
        <w:t xml:space="preserve"> (con sus claves) y el sistema le </w:t>
      </w:r>
      <w:r>
        <w:rPr>
          <w:b/>
          <w:bCs/>
        </w:rPr>
        <w:t xml:space="preserve">muestra el aviso de la notificación pendiente</w:t>
      </w:r>
      <w:r>
        <w:t xml:space="preserve">, aunque no llegue a "abrir" formalmente el documento en ese instante concreto (dependiendo de la configuración técnica, el acceso identificado ya puede computar como comparecencia).</w:t>
      </w:r>
    </w:p>
    <w:p>
      <w:pPr>
        <w:pStyle w:val="Heading4"/>
        <w:spacing w:after="80" w:before="150"/>
      </w:pPr>
      <w:r>
        <w:t xml:space="preserve">Notificación a empresas y entidades (art. 23)</w:t>
      </w:r>
    </w:p>
    <w:p>
      <w:pPr>
        <w:spacing w:after="120"/>
        <w:jc w:val="both"/>
      </w:pPr>
      <w:r>
        <w:t xml:space="preserve">Las </w:t>
      </w:r>
      <w:r>
        <w:rPr>
          <w:b/>
          <w:bCs/>
        </w:rPr>
        <w:t xml:space="preserve">personas jurídicas</w:t>
      </w:r>
      <w:r>
        <w:t xml:space="preserve"> y entidades sin personalidad jurídica están </w:t>
      </w:r>
      <w:r>
        <w:rPr>
          <w:b/>
          <w:bCs/>
        </w:rPr>
        <w:t xml:space="preserve">obligadas</w:t>
      </w:r>
      <w:r>
        <w:t xml:space="preserve"> a aceptar la notificación por canales electrónicos, en coherencia con la obligación genérica del art. 14.2 de la Ley 39/2015.</w:t>
      </w:r>
    </w:p>
    <w:p>
      <w:pPr>
        <w:pStyle w:val="Heading4"/>
        <w:spacing w:after="80" w:before="150"/>
      </w:pPr>
      <w:r>
        <w:t xml:space="preserve">Notificaciones a personas no obligadas (art. 24)</w:t>
      </w:r>
    </w:p>
    <w:p>
      <w:pPr>
        <w:spacing w:after="120"/>
        <w:jc w:val="both"/>
      </w:pPr>
      <w:r>
        <w:t xml:space="preserve">Las personas físicas no incluidas entre los sujetos obligados pueden </w:t>
      </w:r>
      <w:r>
        <w:rPr>
          <w:b/>
          <w:bCs/>
        </w:rPr>
        <w:t xml:space="preserve">optar</w:t>
      </w:r>
      <w:r>
        <w:t xml:space="preserve"> voluntariamente por recibir notificaciones electrónicas, debiendo la Universidad respetar esa elección salvo que posteriormente el interesado decida cambiar de sistema.</w:t>
      </w:r>
    </w:p>
    <w:p>
      <w:pPr>
        <w:pStyle w:val="Heading4"/>
        <w:spacing w:after="80" w:before="150"/>
      </w:pPr>
      <w:r>
        <w:t xml:space="preserve">Avisos de notificación (art. 25)</w:t>
      </w:r>
    </w:p>
    <w:p>
      <w:pPr>
        <w:spacing w:after="120"/>
        <w:jc w:val="both"/>
      </w:pPr>
      <w:r>
        <w:t xml:space="preserve">El interesado puede indicar un correo electrónico o dispositivo (por ejemplo, un teléfono móvil vía SMS) para recibir </w:t>
      </w:r>
      <w:r>
        <w:rPr>
          <w:b/>
          <w:bCs/>
        </w:rPr>
        <w:t xml:space="preserve">avisos</w:t>
      </w:r>
      <w:r>
        <w:t xml:space="preserve"> de que tiene una notificación pendiente en el sistema. Ahora bien:</w:t>
      </w:r>
    </w:p>
    <w:p>
      <w:pPr>
        <w:spacing w:after="120"/>
        <w:jc w:val="both"/>
      </w:pPr>
      <w:r>
        <w:t xml:space="preserve">⚠️ </w:t>
      </w:r>
      <w:r>
        <w:rPr>
          <w:b/>
          <w:bCs/>
        </w:rPr>
        <w:t xml:space="preserve">MUY PREGUNTADO EN EXAMEN</w:t>
      </w:r>
      <w:r>
        <w:t xml:space="preserve">: la </w:t>
      </w:r>
      <w:r>
        <w:rPr>
          <w:b/>
          <w:bCs/>
        </w:rPr>
        <w:t xml:space="preserve">falta de práctica de este aviso</w:t>
      </w:r>
      <w:r>
        <w:t xml:space="preserve"> (por ejemplo, un fallo en el envío del correo o SMS de aviso) </w:t>
      </w:r>
      <w:r>
        <w:rPr>
          <w:b/>
          <w:bCs/>
        </w:rPr>
        <w:t xml:space="preserve">no impide que la notificación se considere plenamente válida y eficaz</w:t>
      </w:r>
      <w:r>
        <w:t xml:space="preserve">. Es decir, el aviso es una mera cortesía informativa, no un requisito de validez de la notificación en sí misma. Esta regla es idéntica en su espíritu a la que recoge la Ley 39/2015 (art. 41.6) y es una trampa clásica en los exámenes tipo test, porque intuitivamente parece que "si no me avisaron, la notificación no vale", y jurídicamente no es así.</w:t>
      </w:r>
    </w:p>
    <w:p>
      <w:pPr>
        <w:spacing w:after="120"/>
        <w:jc w:val="both"/>
      </w:pPr>
      <w:r>
        <w:rPr>
          <w:b/>
          <w:bCs/>
        </w:rPr>
        <w:t xml:space="preserve">Ejemplo práctico</w:t>
      </w:r>
      <w:r>
        <w:t xml:space="preserve">: un PAS de la UAL indica su correo personal para avisos, pero ese correo cambia y deja de estar operativo sin que lo actualice. La Universidad pone a su disposición una resolución en el sistema de notificaciones el día 1. El interesado no accede. El día 11 (transcurridos 10 días naturales) la notificación se entiende </w:t>
      </w:r>
      <w:r>
        <w:rPr>
          <w:b/>
          <w:bCs/>
        </w:rPr>
        <w:t xml:space="preserve">rechazada</w:t>
      </w:r>
      <w:r>
        <w:t xml:space="preserve"> y, por tanto, </w:t>
      </w:r>
      <w:r>
        <w:rPr>
          <w:b/>
          <w:bCs/>
        </w:rPr>
        <w:t xml:space="preserve">con plenos efectos jurídicos</w:t>
      </w:r>
      <w:r>
        <w:t xml:space="preserve">, aunque el aviso por correo nunca haya llegado a destino.</w:t>
      </w:r>
    </w:p>
    <w:p>
      <w:pPr>
        <w:pBdr>
          <w:bottom w:val="single" w:color="AAAAAA" w:sz="6" w:space="1"/>
        </w:pBdr>
        <w:spacing w:after="200"/>
      </w:pPr>
    </w:p>
    <w:p>
      <w:pPr>
        <w:pStyle w:val="Heading3"/>
        <w:spacing w:after="100" w:before="200"/>
      </w:pPr>
      <w:r>
        <w:t xml:space="preserve">7. Título VI. Documentos y expediente administrativo electrónico (arts. 26-30)</w:t>
      </w:r>
    </w:p>
    <w:p>
      <w:pPr>
        <w:pStyle w:val="Heading4"/>
        <w:spacing w:after="80" w:before="150"/>
      </w:pPr>
      <w:r>
        <w:t xml:space="preserve">Documentos administrativos electrónicos (art. 26)</w:t>
      </w:r>
    </w:p>
    <w:p>
      <w:pPr>
        <w:spacing w:after="120"/>
        <w:jc w:val="both"/>
      </w:pPr>
      <w:r>
        <w:t xml:space="preserve">La UAL emite sus documentos administrativos </w:t>
      </w:r>
      <w:r>
        <w:rPr>
          <w:b/>
          <w:bCs/>
        </w:rPr>
        <w:t xml:space="preserve">por escrito, a través de medios electrónicos</w:t>
      </w:r>
      <w:r>
        <w:t xml:space="preserve">, salvo que su naturaleza exija otra forma, cumpliendo los requisitos de validez previstos en la legislación estatal (identificación del órgano, firma electrónica, y en su caso código seguro de verificación).</w:t>
      </w:r>
    </w:p>
    <w:p>
      <w:pPr>
        <w:pStyle w:val="Heading4"/>
        <w:spacing w:after="80" w:before="150"/>
      </w:pPr>
      <w:r>
        <w:t xml:space="preserve">Expediente electrónico (art. 27)</w:t>
      </w:r>
    </w:p>
    <w:p>
      <w:pPr>
        <w:spacing w:after="120"/>
        <w:jc w:val="both"/>
      </w:pPr>
      <w:r>
        <w:t xml:space="preserve">El </w:t>
      </w:r>
      <w:r>
        <w:rPr>
          <w:b/>
          <w:bCs/>
        </w:rPr>
        <w:t xml:space="preserve">expediente electrónico</w:t>
      </w:r>
      <w:r>
        <w:t xml:space="preserve"> es el conjunto ordenado de documentos, pruebas, dictámenes, informes, acuerdos, notificaciones y demás actuaciones que integran un procedimiento administrativo, en formato electrónico, y que se organizan mediante un </w:t>
      </w:r>
      <w:r>
        <w:rPr>
          <w:b/>
          <w:bCs/>
        </w:rPr>
        <w:t xml:space="preserve">índice electrónico numerado</w:t>
      </w:r>
      <w:r>
        <w:t xml:space="preserve">, cuya firma por la Administración garantiza la integridad e inmutabilidad del expediente.</w:t>
      </w:r>
    </w:p>
    <w:p>
      <w:pPr>
        <w:spacing w:after="120"/>
        <w:jc w:val="both"/>
      </w:pPr>
      <w:r>
        <w:t xml:space="preserve">⚠️ </w:t>
      </w:r>
      <w:r>
        <w:rPr>
          <w:b/>
          <w:bCs/>
        </w:rPr>
        <w:t xml:space="preserve">MUY PREGUNTADO EN EXAMEN</w:t>
      </w:r>
      <w:r>
        <w:t xml:space="preserve">: el requisito del </w:t>
      </w:r>
      <w:r>
        <w:rPr>
          <w:b/>
          <w:bCs/>
        </w:rPr>
        <w:t xml:space="preserve">índice electrónico numerado</w:t>
      </w:r>
      <w:r>
        <w:t xml:space="preserve"> que garantiza la integridad del expediente es un contenido directamente heredado de la Ley 39/2015 (art. 70.2) y es una de las preguntas más habituales sobre el expediente electrónico.</w:t>
      </w:r>
    </w:p>
    <w:p>
      <w:pPr>
        <w:pStyle w:val="Heading4"/>
        <w:spacing w:after="80" w:before="150"/>
      </w:pPr>
      <w:r>
        <w:t xml:space="preserve">Gestión documental (art. 28)</w:t>
      </w:r>
    </w:p>
    <w:p>
      <w:pPr>
        <w:spacing w:after="120"/>
        <w:jc w:val="both"/>
      </w:pPr>
      <w:r>
        <w:t xml:space="preserve">La UAL cuenta con un </w:t>
      </w:r>
      <w:r>
        <w:rPr>
          <w:b/>
          <w:bCs/>
        </w:rPr>
        <w:t xml:space="preserve">sistema de gestión documental</w:t>
      </w:r>
      <w:r>
        <w:t xml:space="preserve"> que garantiza el correcto tratamiento de la información a lo largo de todo su ciclo de vida: </w:t>
      </w:r>
      <w:r>
        <w:rPr>
          <w:b/>
          <w:bCs/>
        </w:rPr>
        <w:t xml:space="preserve">fase activa</w:t>
      </w:r>
      <w:r>
        <w:t xml:space="preserve"> (tramitación en curso), </w:t>
      </w:r>
      <w:r>
        <w:rPr>
          <w:b/>
          <w:bCs/>
        </w:rPr>
        <w:t xml:space="preserve">fase semiactiva</w:t>
      </w:r>
      <w:r>
        <w:t xml:space="preserve"> (procedimiento finalizado pero con relevancia administrativa o probatoria reciente) y </w:t>
      </w:r>
      <w:r>
        <w:rPr>
          <w:b/>
          <w:bCs/>
        </w:rPr>
        <w:t xml:space="preserve">fase inactiva</w:t>
      </w:r>
      <w:r>
        <w:t xml:space="preserve"> (documentación histórica, ya en archivo definitivo), asegurando siempre su conservación, disponibilidad y, en su caso, acceso público.</w:t>
      </w:r>
    </w:p>
    <w:p>
      <w:pPr>
        <w:pStyle w:val="Heading4"/>
        <w:spacing w:after="80" w:before="150"/>
      </w:pPr>
      <w:r>
        <w:t xml:space="preserve">Expedición de copias auténticas (art. 29)</w:t>
      </w:r>
    </w:p>
    <w:p>
      <w:pPr>
        <w:spacing w:after="120"/>
        <w:jc w:val="both"/>
      </w:pPr>
      <w:r>
        <w:t xml:space="preserve">Las </w:t>
      </w:r>
      <w:r>
        <w:rPr>
          <w:b/>
          <w:bCs/>
        </w:rPr>
        <w:t xml:space="preserve">copias auténticas</w:t>
      </w:r>
      <w:r>
        <w:t xml:space="preserve"> de documentos electrónicos pueden ser expedidas por:</w:t>
      </w:r>
    </w:p>
    <w:p>
      <w:pPr>
        <w:pStyle w:val="ListParagraph"/>
        <w:numPr>
          <w:ilvl w:val="0"/>
          <w:numId w:val="3"/>
        </w:numPr>
        <w:spacing w:after="60"/>
      </w:pPr>
      <w:r>
        <w:t xml:space="preserve">Las propias unidades tramitadoras del procedimiento.</w:t>
      </w:r>
    </w:p>
    <w:p>
      <w:pPr>
        <w:pStyle w:val="ListParagraph"/>
        <w:numPr>
          <w:ilvl w:val="0"/>
          <w:numId w:val="3"/>
        </w:numPr>
        <w:spacing w:after="60"/>
      </w:pPr>
      <w:r>
        <w:t xml:space="preserve">La Oficina de Registro.</w:t>
      </w:r>
    </w:p>
    <w:p>
      <w:pPr>
        <w:pStyle w:val="ListParagraph"/>
        <w:numPr>
          <w:ilvl w:val="0"/>
          <w:numId w:val="3"/>
        </w:numPr>
        <w:spacing w:after="60"/>
      </w:pPr>
      <w:r>
        <w:t xml:space="preserve">El Archivo General de la Universidad.</w:t>
      </w:r>
    </w:p>
    <w:p>
      <w:pPr>
        <w:spacing w:after="120"/>
        <w:jc w:val="both"/>
      </w:pPr>
      <w:r>
        <w:t xml:space="preserve">Además, la Sede Electrónica permite en muchos casos la </w:t>
      </w:r>
      <w:r>
        <w:rPr>
          <w:b/>
          <w:bCs/>
        </w:rPr>
        <w:t xml:space="preserve">descarga directa</w:t>
      </w:r>
      <w:r>
        <w:t xml:space="preserve"> de copias auténticas mediante código seguro de verificación (CSV).</w:t>
      </w:r>
    </w:p>
    <w:p>
      <w:pPr>
        <w:pStyle w:val="Heading4"/>
        <w:spacing w:after="80" w:before="150"/>
      </w:pPr>
      <w:r>
        <w:t xml:space="preserve">Archivo electrónico (art. 30)</w:t>
      </w:r>
    </w:p>
    <w:p>
      <w:pPr>
        <w:spacing w:after="120"/>
        <w:jc w:val="both"/>
      </w:pPr>
      <w:r>
        <w:t xml:space="preserve">La UAL mantiene un </w:t>
      </w:r>
      <w:r>
        <w:rPr>
          <w:b/>
          <w:bCs/>
        </w:rPr>
        <w:t xml:space="preserve">archivo electrónico único</w:t>
      </w:r>
      <w:r>
        <w:t xml:space="preserve"> de los documentos electrónicos correspondientes a procedimientos ya finalizados, lo que constituye la fase final del ciclo de vida documental descrito en el art. 28, dando cumplimiento al art. 17 de la Ley 39/2015 sobre archivo electrónico de documentos.</w:t>
      </w:r>
    </w:p>
    <w:p>
      <w:pPr>
        <w:spacing w:after="120"/>
        <w:jc w:val="both"/>
      </w:pPr>
      <w:r>
        <w:rPr>
          <w:b/>
          <w:bCs/>
        </w:rPr>
        <w:t xml:space="preserve">Ejemplo práctico</w:t>
      </w:r>
      <w:r>
        <w:t xml:space="preserve">: un expediente de contratación finalizado hace tres años ya no está en tramitación activa (no está en fase activa), pero puede seguir siendo relevante para una auditoría (fase semiactiva) hasta que, transcurrido el tiempo previsto, pase definitivamente al archivo electrónico único de la Universidad (fase inactiva, art. 30).</w:t>
      </w:r>
    </w:p>
    <w:p>
      <w:pPr>
        <w:pBdr>
          <w:bottom w:val="single" w:color="AAAAAA" w:sz="6" w:space="1"/>
        </w:pBdr>
        <w:spacing w:after="200"/>
      </w:pPr>
    </w:p>
    <w:p>
      <w:pPr>
        <w:pStyle w:val="Heading3"/>
        <w:spacing w:after="100" w:before="200"/>
      </w:pPr>
      <w:r>
        <w:t xml:space="preserve">8. Disposiciones adicionales, transitorias, derogatoria y finales</w:t>
      </w:r>
    </w:p>
    <w:p>
      <w:pPr>
        <w:pStyle w:val="ListParagraph"/>
        <w:numPr>
          <w:ilvl w:val="0"/>
          <w:numId w:val="3"/>
        </w:numPr>
        <w:spacing w:after="60"/>
      </w:pPr>
      <w:r>
        <w:rPr>
          <w:b/>
          <w:bCs/>
        </w:rPr>
        <w:t xml:space="preserve">Disposición adicional primera</w:t>
      </w:r>
      <w:r>
        <w:t xml:space="preserve">: la UAL garantiza </w:t>
      </w:r>
      <w:r>
        <w:rPr>
          <w:b/>
          <w:bCs/>
        </w:rPr>
        <w:t xml:space="preserve">asistencia presencial</w:t>
      </w:r>
      <w:r>
        <w:t xml:space="preserve"> a quienes lo necesiten en las Oficinas de Registro para la realización de trámites electrónicos, de forma que la digitalización no deje a nadie sin acceso efectivo a la Administración (coherente con el derecho de asistencia en el uso de medios electrónicos del art. 12 de la Ley 39/2015).</w:t>
      </w:r>
    </w:p>
    <w:p>
      <w:pPr>
        <w:pStyle w:val="ListParagraph"/>
        <w:numPr>
          <w:ilvl w:val="0"/>
          <w:numId w:val="3"/>
        </w:numPr>
        <w:spacing w:after="60"/>
      </w:pPr>
      <w:r>
        <w:rPr>
          <w:b/>
          <w:bCs/>
        </w:rPr>
        <w:t xml:space="preserve">Disposición adicional segunda</w:t>
      </w:r>
      <w:r>
        <w:t xml:space="preserve">: cláusula de </w:t>
      </w:r>
      <w:r>
        <w:rPr>
          <w:b/>
          <w:bCs/>
        </w:rPr>
        <w:t xml:space="preserve">neutralidad lingüística</w:t>
      </w:r>
      <w:r>
        <w:t xml:space="preserve"> o de género: las denominaciones en género masculino que se utilicen en el Reglamento se entienden aplicables a personas de ambos sexos.</w:t>
      </w:r>
    </w:p>
    <w:p>
      <w:pPr>
        <w:pStyle w:val="ListParagraph"/>
        <w:numPr>
          <w:ilvl w:val="0"/>
          <w:numId w:val="3"/>
        </w:numPr>
        <w:spacing w:after="60"/>
      </w:pPr>
      <w:r>
        <w:rPr>
          <w:b/>
          <w:bCs/>
        </w:rPr>
        <w:t xml:space="preserve">Disposiciones transitorias</w:t>
      </w:r>
      <w:r>
        <w:t xml:space="preserve">: prevén una </w:t>
      </w:r>
      <w:r>
        <w:rPr>
          <w:b/>
          <w:bCs/>
        </w:rPr>
        <w:t xml:space="preserve">implantación progresiva</w:t>
      </w:r>
      <w:r>
        <w:t xml:space="preserve"> del Reglamento, permitiendo expedientes híbridos (parte en papel, parte electrónicos) durante el periodo de transición, y digitalización paulatina de fondos documentales en papel.</w:t>
      </w:r>
    </w:p>
    <w:p>
      <w:pPr>
        <w:pStyle w:val="ListParagraph"/>
        <w:numPr>
          <w:ilvl w:val="0"/>
          <w:numId w:val="3"/>
        </w:numPr>
        <w:spacing w:after="60"/>
      </w:pPr>
      <w:r>
        <w:rPr>
          <w:b/>
          <w:bCs/>
        </w:rPr>
        <w:t xml:space="preserve">Disposición derogatoria</w:t>
      </w:r>
      <w:r>
        <w:t xml:space="preserve">: deroga expresamente la normativa interna anterior sobre registro de la Universidad (de 2013) y cualquier otra disposición de igual o inferior rango que se oponga a lo establecido en el nuevo Reglamento.</w:t>
      </w:r>
    </w:p>
    <w:p>
      <w:pPr>
        <w:pStyle w:val="ListParagraph"/>
        <w:numPr>
          <w:ilvl w:val="0"/>
          <w:numId w:val="3"/>
        </w:numPr>
        <w:spacing w:after="60"/>
      </w:pPr>
      <w:r>
        <w:rPr>
          <w:b/>
          <w:bCs/>
        </w:rPr>
        <w:t xml:space="preserve">Disposiciones finales</w:t>
      </w:r>
      <w:r>
        <w:t xml:space="preserve">: facultan a los órganos competentes de la Universidad para dictar las instrucciones necesarias para la aplicación del Reglamento, y fijan su </w:t>
      </w:r>
      <w:r>
        <w:rPr>
          <w:b/>
          <w:bCs/>
        </w:rPr>
        <w:t xml:space="preserve">entrada en vigor al día siguiente de su publicación en el BOJA</w:t>
      </w:r>
      <w:r>
        <w:t xml:space="preserve">.</w:t>
      </w:r>
    </w:p>
    <w:p>
      <w:pPr>
        <w:spacing w:after="120"/>
        <w:jc w:val="both"/>
      </w:pPr>
      <w:r>
        <w:t xml:space="preserve">⚠️ </w:t>
      </w:r>
      <w:r>
        <w:rPr>
          <w:b/>
          <w:bCs/>
        </w:rPr>
        <w:t xml:space="preserve">MUY PREGUNTADO EN EXAMEN</w:t>
      </w:r>
      <w:r>
        <w:t xml:space="preserve">: la fórmula de entrada en vigor "al día siguiente de su publicación en el BOJA" es una pregunta típica de cierre, igual que sucede con otras normas universitarias; conviene no confundirla con la fecha de aprobación por el Consejo de Gobierno/Rectorado (23 de febrero de 2021) ni con la fecha exacta de publicación (1 de marzo de 2021).</w:t>
      </w:r>
    </w:p>
    <w:p>
      <w:pPr>
        <w:pBdr>
          <w:bottom w:val="single" w:color="AAAAAA" w:sz="6" w:space="1"/>
        </w:pBdr>
        <w:spacing w:after="200"/>
      </w:pPr>
    </w:p>
    <w:p>
      <w:pPr>
        <w:pStyle w:val="Heading3"/>
        <w:spacing w:after="100" w:before="200"/>
      </w:pPr>
      <w:r>
        <w:t xml:space="preserve">9. Cómo conectar este tema con el Tema 1 (Ley 39/2015) en el examen</w:t>
      </w:r>
    </w:p>
    <w:p>
      <w:pPr>
        <w:spacing w:after="120"/>
        <w:jc w:val="both"/>
      </w:pPr>
      <w:r>
        <w:t xml:space="preserve">Para consolidar el estudio, resulta muy útil tener claro este cuadro mental de correspondencias, porque el examinador puede plantear preguntas cruzadas entre ambos temas:</w:t>
      </w:r>
    </w:p>
    <w:p>
      <w:pPr>
        <w:spacing w:after="120"/>
        <w:jc w:val="both"/>
      </w:pPr>
      <w:r>
        <w:t xml:space="preserve">| Concepto | Ley 39/2015 (Tema 1) | Reglamento UAL (Tema 23) |</w:t>
      </w:r>
    </w:p>
    <w:p>
      <w:pPr>
        <w:spacing w:after="120"/>
        <w:jc w:val="both"/>
      </w:pPr>
      <w:r>
        <w:t xml:space="preserve">|---|---|---|</w:t>
      </w:r>
    </w:p>
    <w:p>
      <w:pPr>
        <w:spacing w:after="120"/>
        <w:jc w:val="both"/>
      </w:pPr>
      <w:r>
        <w:t xml:space="preserve">| Sede electrónica | Art. 38 Ley 40/2015 (organización) / referencias en Ley 39/2015 | Arts. 3-8 |</w:t>
      </w:r>
    </w:p>
    <w:p>
      <w:pPr>
        <w:spacing w:after="120"/>
        <w:jc w:val="both"/>
      </w:pPr>
      <w:r>
        <w:t xml:space="preserve">| Registro electrónico | Art. 16 | Arts. 14-18 |</w:t>
      </w:r>
    </w:p>
    <w:p>
      <w:pPr>
        <w:spacing w:after="120"/>
        <w:jc w:val="both"/>
      </w:pPr>
      <w:r>
        <w:t xml:space="preserve">| Identificación y firma | Arts. 9-10 | Arts. 9-13 |</w:t>
      </w:r>
    </w:p>
    <w:p>
      <w:pPr>
        <w:spacing w:after="120"/>
        <w:jc w:val="both"/>
      </w:pPr>
      <w:r>
        <w:t xml:space="preserve">| Notificación: 10 días para entender rechazada | Art. 43 | Art. 21 |</w:t>
      </w:r>
    </w:p>
    <w:p>
      <w:pPr>
        <w:spacing w:after="120"/>
        <w:jc w:val="both"/>
      </w:pPr>
      <w:r>
        <w:t xml:space="preserve">| Obligados a relacionarse electrónicamente | Art. 14 | Art. 2 |</w:t>
      </w:r>
    </w:p>
    <w:p>
      <w:pPr>
        <w:spacing w:after="120"/>
        <w:jc w:val="both"/>
      </w:pPr>
      <w:r>
        <w:t xml:space="preserve">| Expediente electrónico e índice | Art. 70.2 | Art. 27 |</w:t>
      </w:r>
    </w:p>
    <w:p>
      <w:pPr>
        <w:spacing w:after="120"/>
        <w:jc w:val="both"/>
      </w:pPr>
      <w:r>
        <w:t xml:space="preserve">| Archivo electrónico | Art. 17 | Art. 30 |</w:t>
      </w:r>
    </w:p>
    <w:p>
      <w:pPr>
        <w:spacing w:after="120"/>
        <w:jc w:val="both"/>
      </w:pPr>
      <w:r>
        <w:t xml:space="preserve">Dominar este paralelismo te permite resolver con seguridad preguntas que mezclen ambos temas, algo muy habitual en los exámenes de la Escala Auxiliar Administrativa de la UAL.</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2026-08-16T11:56:54.112Z</dcterms:created>
  <dcterms:modified xsi:type="dcterms:W3CDTF">2026-08-16T11:56:54.112Z</dcterms:modified>
</cp:coreProperties>
</file>

<file path=docProps/custom.xml><?xml version="1.0" encoding="utf-8"?>
<Properties xmlns="http://schemas.openxmlformats.org/officeDocument/2006/custom-properties" xmlns:vt="http://schemas.openxmlformats.org/officeDocument/2006/docPropsVTypes"/>
</file>