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3. LO 3/2018 de Protección de Datos y Garantía de los Derechos Digitales</w:t>
      </w:r>
    </w:p>
    <w:p>
      <w:pPr>
        <w:pStyle w:val="Heading1"/>
        <w:spacing w:after="150" w:before="300"/>
      </w:pPr>
      <w:r>
        <w:t xml:space="preserve">Tema 3 — LO 3/2018, de 5 de diciembre, de Protección de Datos Personales y Garantía de los Derechos Digitales (LOPDGDD)</w:t>
      </w:r>
    </w:p>
    <w:p>
      <w:pPr>
        <w:pStyle w:val="Heading2"/>
        <w:spacing w:after="120" w:before="260"/>
      </w:pPr>
      <w:r>
        <w:t xml:space="preserve">Contexto general que hay que tener siempre presente</w:t>
      </w:r>
    </w:p>
    <w:p>
      <w:pPr>
        <w:spacing w:after="120"/>
        <w:jc w:val="both"/>
      </w:pPr>
      <w:r>
        <w:t xml:space="preserve">Antes de entrar en el articulado hay que entender </w:t>
      </w:r>
      <w:r>
        <w:rPr>
          <w:b/>
          <w:bCs/>
        </w:rPr>
        <w:t xml:space="preserve">por qué existe esta ley</w:t>
      </w:r>
      <w:r>
        <w:t xml:space="preserve"> y </w:t>
      </w:r>
      <w:r>
        <w:rPr>
          <w:b/>
          <w:bCs/>
        </w:rPr>
        <w:t xml:space="preserve">cómo se relaciona con el Reglamento (UE) 2016/679 (RGPD)</w:t>
      </w:r>
      <w:r>
        <w:t xml:space="preserve">, porque esta es la primera pregunta de examen casi segura.</w:t>
      </w:r>
    </w:p>
    <w:p>
      <w:pPr>
        <w:spacing w:after="120"/>
        <w:jc w:val="both"/>
      </w:pPr>
      <w:r>
        <w:t xml:space="preserve">El RGPD es un Reglamento europeo, y los Reglamentos europeos son </w:t>
      </w:r>
      <w:r>
        <w:rPr>
          <w:b/>
          <w:bCs/>
        </w:rPr>
        <w:t xml:space="preserve">directamente aplicables</w:t>
      </w:r>
      <w:r>
        <w:t xml:space="preserve"> en todos los Estados miembros sin necesidad de transponerlos (a diferencia de las Directivas). Entonces, ¿para qué se hizo la LOPDGDD si el RGPD ya se aplicaba desde el 25 de mayo de 2018? Por dos razones que el propio art. 1 recoge:</w:t>
      </w:r>
    </w:p>
    <w:p>
      <w:pPr>
        <w:pStyle w:val="ListParagraph"/>
        <w:numPr>
          <w:ilvl w:val="0"/>
          <w:numId w:val="2"/>
        </w:numPr>
        <w:spacing w:after="60"/>
      </w:pPr>
      <w:r>
        <w:rPr>
          <w:b/>
          <w:bCs/>
        </w:rPr>
        <w:t xml:space="preserve">Adaptar el ordenamiento jurídico español</w:t>
      </w:r>
      <w:r>
        <w:t xml:space="preserve"> al RGPD, porque el Reglamento deja a los Estados un margen para desarrollar ciertos aspectos (edad de consentimiento de los menores, categorías especiales de datos, régimen sancionador, autoridades de control, etc.). La LOPDGDD "completa" el RGPD en lo que este permite regular a cada país.</w:t>
      </w:r>
    </w:p>
    <w:p>
      <w:pPr>
        <w:pStyle w:val="ListParagraph"/>
        <w:numPr>
          <w:ilvl w:val="0"/>
          <w:numId w:val="2"/>
        </w:numPr>
        <w:spacing w:after="60"/>
      </w:pPr>
      <w:r>
        <w:rPr>
          <w:b/>
          <w:bCs/>
        </w:rPr>
        <w:t xml:space="preserve">Garantizar los derechos digitales de la ciudadanía</w:t>
      </w:r>
      <w:r>
        <w:t xml:space="preserve">, conforme al mandato del </w:t>
      </w:r>
      <w:r>
        <w:rPr>
          <w:b/>
          <w:bCs/>
        </w:rPr>
        <w:t xml:space="preserve">artículo 18.4 de la Constitución Española</w:t>
      </w:r>
      <w:r>
        <w:t xml:space="preserve">, que dice que "la ley limitará el uso de la informática para garantizar el honor y la intimidad personal y familiar de los ciudadanos y el pleno ejercicio de sus derechos". Esta segunda finalidad es la que da lugar al novedoso </w:t>
      </w:r>
      <w:r>
        <w:rPr>
          <w:b/>
          <w:bCs/>
        </w:rPr>
        <w:t xml:space="preserve">Título X</w:t>
      </w:r>
      <w:r>
        <w:t xml:space="preserve">, que no tiene equivalente en el RGPD: son derechos "nuevos", pensados para el entorno digital (neutralidad de red, desconexión digital, testamento digital...).</w:t>
      </w:r>
    </w:p>
    <w:p>
      <w:pPr>
        <w:spacing w:after="120"/>
        <w:jc w:val="both"/>
      </w:pPr>
      <w:r>
        <w:t xml:space="preserve">⚠️ </w:t>
      </w:r>
      <w:r>
        <w:rPr>
          <w:b/>
          <w:bCs/>
        </w:rPr>
        <w:t xml:space="preserve">MUY PREGUNTADO EN EXAMEN</w:t>
      </w:r>
      <w:r>
        <w:t xml:space="preserve">: la ley tiene rango de </w:t>
      </w:r>
      <w:r>
        <w:rPr>
          <w:b/>
          <w:bCs/>
        </w:rPr>
        <w:t xml:space="preserve">Ley Orgánica</w:t>
      </w:r>
      <w:r>
        <w:t xml:space="preserve"> (no ley ordinaria) porque desarrolla derechos fundamentales (art. 18.4 CE, en relación con el art. 81 CE que exige LO para el desarrollo de derechos fundamentales y libertades públicas).</w:t>
      </w:r>
    </w:p>
    <w:p>
      <w:pPr>
        <w:spacing w:after="120"/>
        <w:jc w:val="both"/>
      </w:pPr>
      <w:r>
        <w:t xml:space="preserve">La estructura completa de la ley (para ubicarnos, aunque el temario solo pida I, II, III, V y X) es: Título I (Disposiciones generales), Título II (Principios), Título III (Derechos de las personas), Título IV (Disposiciones aplicables a tratamientos concretos), Título V (Responsable y encargado del tratamiento), Título VI (Transferencias internacionales), Título VII (Autoridades de protección de datos), Título VIII (Procedimientos en caso de posible vulneración), Título IX (Régimen sancionador) y Título X (Garantía de los derechos digitales). En total 97 artículos más disposiciones adicionales, transitorias, derogatoria y finales.</w:t>
      </w:r>
    </w:p>
    <w:p>
      <w:pPr>
        <w:pBdr>
          <w:bottom w:val="single" w:color="AAAAAA" w:sz="6" w:space="1"/>
        </w:pBdr>
        <w:spacing w:after="200"/>
      </w:pPr>
    </w:p>
    <w:p>
      <w:pPr>
        <w:pStyle w:val="Heading2"/>
        <w:spacing w:after="120" w:before="260"/>
      </w:pPr>
      <w:r>
        <w:t xml:space="preserve">TÍTULO I. Disposiciones generales (arts. 1 a 3)</w:t>
      </w:r>
    </w:p>
    <w:p>
      <w:pPr>
        <w:pStyle w:val="Heading3"/>
        <w:spacing w:after="100" w:before="200"/>
      </w:pPr>
      <w:r>
        <w:t xml:space="preserve">Artículo 1. Objeto de la ley</w:t>
      </w:r>
    </w:p>
    <w:p>
      <w:pPr>
        <w:spacing w:after="120"/>
        <w:jc w:val="both"/>
      </w:pPr>
      <w:r>
        <w:t xml:space="preserve">Ya explicado arriba: doble finalidad (adaptación al RGPD + garantía de derechos digitales). Retenlo como la "frase resumen" de toda la ley.</w:t>
      </w:r>
    </w:p>
    <w:p>
      <w:pPr>
        <w:pStyle w:val="Heading3"/>
        <w:spacing w:after="100" w:before="200"/>
      </w:pPr>
      <w:r>
        <w:t xml:space="preserve">Artículo 2. Ámbito de aplicación</w:t>
      </w:r>
    </w:p>
    <w:p>
      <w:pPr>
        <w:spacing w:after="120"/>
        <w:jc w:val="both"/>
      </w:pPr>
      <w:r>
        <w:t xml:space="preserve">Este artículo marca </w:t>
      </w:r>
      <w:r>
        <w:rPr>
          <w:b/>
          <w:bCs/>
        </w:rPr>
        <w:t xml:space="preserve">qué se regula y qué queda fuera</w:t>
      </w:r>
      <w:r>
        <w:t xml:space="preserve">:</w:t>
      </w:r>
    </w:p>
    <w:p>
      <w:pPr>
        <w:pStyle w:val="ListParagraph"/>
        <w:numPr>
          <w:ilvl w:val="0"/>
          <w:numId w:val="3"/>
        </w:numPr>
        <w:spacing w:after="60"/>
      </w:pPr>
      <w:r>
        <w:t xml:space="preserve">Se aplica a todo tratamiento total o parcialmente automatizado de datos personales, y al tratamiento no automatizado cuando los datos estén contenidos o destinados a contenerse en un </w:t>
      </w:r>
      <w:r>
        <w:rPr>
          <w:b/>
          <w:bCs/>
        </w:rPr>
        <w:t xml:space="preserve">fichero</w:t>
      </w:r>
      <w:r>
        <w:t xml:space="preserve"> (concepto clave heredado de la LOPD de 1999 y del propio RGPD: "conjunto estructurado de datos personales").</w:t>
      </w:r>
    </w:p>
    <w:p>
      <w:pPr>
        <w:pStyle w:val="ListParagraph"/>
        <w:numPr>
          <w:ilvl w:val="0"/>
          <w:numId w:val="3"/>
        </w:numPr>
        <w:spacing w:after="60"/>
      </w:pPr>
      <w:r>
        <w:rPr>
          <w:b/>
          <w:bCs/>
        </w:rPr>
        <w:t xml:space="preserve">Quedan excluidos</w:t>
      </w:r>
      <w:r>
        <w:t xml:space="preserve"> de los Títulos I a IX (y de los arts. 89 a 94, que son de Título X sobre negociación colectiva y ciberacoso laboral):</w:t>
      </w:r>
    </w:p>
    <w:p>
      <w:pPr>
        <w:pStyle w:val="ListParagraph"/>
        <w:numPr>
          <w:ilvl w:val="1"/>
          <w:numId w:val="3"/>
        </w:numPr>
        <w:spacing w:after="60"/>
      </w:pPr>
      <w:r>
        <w:t xml:space="preserve">Los tratamientos excluidos del ámbito de aplicación del RGPD (art. 2.2 RGPD: actividades fuera del Derecho de la UE, política exterior/seguridad común, actividades exclusivamente personales o domésticas, prevención/persecución de infracciones penales).</w:t>
      </w:r>
    </w:p>
    <w:p>
      <w:pPr>
        <w:pStyle w:val="ListParagraph"/>
        <w:numPr>
          <w:ilvl w:val="1"/>
          <w:numId w:val="3"/>
        </w:numPr>
        <w:spacing w:after="60"/>
      </w:pPr>
      <w:r>
        <w:t xml:space="preserve">Los ficheros regulados por la legislación de régimen electoral.</w:t>
      </w:r>
    </w:p>
    <w:p>
      <w:pPr>
        <w:pStyle w:val="ListParagraph"/>
        <w:numPr>
          <w:ilvl w:val="1"/>
          <w:numId w:val="3"/>
        </w:numPr>
        <w:spacing w:after="60"/>
      </w:pPr>
      <w:r>
        <w:t xml:space="preserve">Los que sirvan a fines exclusivamente estadísticos amparados por la legislación estatal o autonómica de estadística pública.</w:t>
      </w:r>
    </w:p>
    <w:p>
      <w:pPr>
        <w:pStyle w:val="ListParagraph"/>
        <w:numPr>
          <w:ilvl w:val="1"/>
          <w:numId w:val="3"/>
        </w:numPr>
        <w:spacing w:after="60"/>
      </w:pPr>
      <w:r>
        <w:t xml:space="preserve">El tratamiento de imágenes y sonidos con fines de seguridad por las Fuerzas y Cuerpos de Seguridad.</w:t>
      </w:r>
    </w:p>
    <w:p>
      <w:pPr>
        <w:pStyle w:val="ListParagraph"/>
        <w:numPr>
          <w:ilvl w:val="1"/>
          <w:numId w:val="3"/>
        </w:numPr>
        <w:spacing w:after="60"/>
      </w:pPr>
      <w:r>
        <w:t xml:space="preserve">La materia clasificada.</w:t>
      </w:r>
    </w:p>
    <w:p>
      <w:pPr>
        <w:pStyle w:val="ListParagraph"/>
        <w:numPr>
          <w:ilvl w:val="1"/>
          <w:numId w:val="3"/>
        </w:numPr>
        <w:spacing w:after="60"/>
      </w:pPr>
      <w:r>
        <w:t xml:space="preserve">Los procedentes del Registro Civil, penados y penitenciario en determinados aspectos.</w:t>
      </w:r>
    </w:p>
    <w:p>
      <w:pPr>
        <w:spacing w:after="120"/>
        <w:jc w:val="both"/>
      </w:pPr>
      <w:r>
        <w:t xml:space="preserve">⚠️ </w:t>
      </w:r>
      <w:r>
        <w:rPr>
          <w:b/>
          <w:bCs/>
        </w:rPr>
        <w:t xml:space="preserve">MUY PREGUNTADO</w:t>
      </w:r>
      <w:r>
        <w:t xml:space="preserve">: distinguir que </w:t>
      </w:r>
      <w:r>
        <w:rPr>
          <w:b/>
          <w:bCs/>
        </w:rPr>
        <w:t xml:space="preserve">la exclusión NO es total</w:t>
      </w:r>
      <w:r>
        <w:t xml:space="preserve"> — el Título X en su capítulo laboral (arts. 87 a 91) y el art. 92 (ciberacoso) sí se aplican aunque el tratamiento esté fuera del ámbito de los Títulos I-IX; y que las actividades exclusivamente personales o domésticas (por ejemplo, tener el móvil con la agenda de contactos de amigos) quedan fuera de la ley.</w:t>
      </w:r>
    </w:p>
    <w:p>
      <w:pPr>
        <w:pStyle w:val="Heading3"/>
        <w:spacing w:after="100" w:before="200"/>
      </w:pPr>
      <w:r>
        <w:t xml:space="preserve">Artículo 3. Datos de las personas fallecidas</w:t>
      </w:r>
    </w:p>
    <w:p>
      <w:pPr>
        <w:spacing w:after="120"/>
        <w:jc w:val="both"/>
      </w:pPr>
      <w:r>
        <w:t xml:space="preserve">Regla importante porque conecta directamente con el art. 96 (testamento digital) del Título X, y en examen suelen cruzar ambos artículos.</w:t>
      </w:r>
    </w:p>
    <w:p>
      <w:pPr>
        <w:pStyle w:val="ListParagraph"/>
        <w:numPr>
          <w:ilvl w:val="0"/>
          <w:numId w:val="3"/>
        </w:numPr>
        <w:spacing w:after="60"/>
      </w:pPr>
      <w:r>
        <w:t xml:space="preserve">La protección de datos personales </w:t>
      </w:r>
      <w:r>
        <w:rPr>
          <w:b/>
          <w:bCs/>
        </w:rPr>
        <w:t xml:space="preserve">no se aplica a las personas fallecidas</w:t>
      </w:r>
      <w:r>
        <w:t xml:space="preserve">: los muertos no son "titulares de derechos" a efectos de esta ley (concepto clave: la protección de datos es un derecho de las personas físicas vivas).</w:t>
      </w:r>
    </w:p>
    <w:p>
      <w:pPr>
        <w:pStyle w:val="ListParagraph"/>
        <w:numPr>
          <w:ilvl w:val="0"/>
          <w:numId w:val="3"/>
        </w:numPr>
        <w:spacing w:after="60"/>
      </w:pPr>
      <w:r>
        <w:rPr>
          <w:b/>
          <w:bCs/>
        </w:rPr>
        <w:t xml:space="preserve">PERO</w:t>
      </w:r>
      <w:r>
        <w:t xml:space="preserve">: las personas vinculadas al fallecido por razones familiares o de hecho, así como sus herederos, </w:t>
      </w:r>
      <w:r>
        <w:rPr>
          <w:b/>
          <w:bCs/>
        </w:rPr>
        <w:t xml:space="preserve">podrán dirigirse al responsable o encargado del tratamiento</w:t>
      </w:r>
      <w:r>
        <w:t xml:space="preserve"> para solicitar:</w:t>
      </w:r>
    </w:p>
    <w:p>
      <w:pPr>
        <w:pStyle w:val="ListParagraph"/>
        <w:numPr>
          <w:ilvl w:val="1"/>
          <w:numId w:val="3"/>
        </w:numPr>
        <w:spacing w:after="60"/>
      </w:pPr>
      <w:r>
        <w:t xml:space="preserve">El </w:t>
      </w:r>
      <w:r>
        <w:rPr>
          <w:b/>
          <w:bCs/>
        </w:rPr>
        <w:t xml:space="preserve">acceso</w:t>
      </w:r>
      <w:r>
        <w:t xml:space="preserve"> a los datos personales del fallecido.</w:t>
      </w:r>
    </w:p>
    <w:p>
      <w:pPr>
        <w:pStyle w:val="ListParagraph"/>
        <w:numPr>
          <w:ilvl w:val="1"/>
          <w:numId w:val="3"/>
        </w:numPr>
        <w:spacing w:after="60"/>
      </w:pPr>
      <w:r>
        <w:t xml:space="preserve">Su </w:t>
      </w:r>
      <w:r>
        <w:rPr>
          <w:b/>
          <w:bCs/>
        </w:rPr>
        <w:t xml:space="preserve">rectificación</w:t>
      </w:r>
      <w:r>
        <w:t xml:space="preserve"> o </w:t>
      </w:r>
      <w:r>
        <w:rPr>
          <w:b/>
          <w:bCs/>
        </w:rPr>
        <w:t xml:space="preserve">supresión</w:t>
      </w:r>
      <w:r>
        <w:t xml:space="preserve">, en su caso acompañada de solicitud de olvido.</w:t>
      </w:r>
    </w:p>
    <w:p>
      <w:pPr>
        <w:pStyle w:val="ListParagraph"/>
        <w:numPr>
          <w:ilvl w:val="0"/>
          <w:numId w:val="3"/>
        </w:numPr>
        <w:spacing w:after="60"/>
      </w:pPr>
      <w:r>
        <w:t xml:space="preserve">Excepción: </w:t>
      </w:r>
      <w:r>
        <w:rPr>
          <w:b/>
          <w:bCs/>
        </w:rPr>
        <w:t xml:space="preserve">no procede</w:t>
      </w:r>
      <w:r>
        <w:t xml:space="preserve"> si el fallecido lo hubiera </w:t>
      </w:r>
      <w:r>
        <w:rPr>
          <w:b/>
          <w:bCs/>
        </w:rPr>
        <w:t xml:space="preserve">prohibido expresamente</w:t>
      </w:r>
      <w:r>
        <w:t xml:space="preserve"> o así lo establezca una ley. Esa prohibición no puede afectar a los herederos en lo relativo a datos de contenido patrimonial.</w:t>
      </w:r>
    </w:p>
    <w:p>
      <w:pPr>
        <w:pStyle w:val="ListParagraph"/>
        <w:numPr>
          <w:ilvl w:val="0"/>
          <w:numId w:val="3"/>
        </w:numPr>
        <w:spacing w:after="60"/>
      </w:pPr>
      <w:r>
        <w:t xml:space="preserve">Las personas o instituciones que el fallecido hubiera designado expresamente para ello también pueden ejercer estas facultades.</w:t>
      </w:r>
    </w:p>
    <w:p>
      <w:pPr>
        <w:pStyle w:val="ListParagraph"/>
        <w:numPr>
          <w:ilvl w:val="0"/>
          <w:numId w:val="3"/>
        </w:numPr>
        <w:spacing w:after="60"/>
      </w:pPr>
      <w:r>
        <w:t xml:space="preserve">Para menores fallecidos, también pueden actuar los representantes legales o, en el ámbito de sus competencias, el Ministerio Fiscal (pueden solicitar el acceso, rectificación o supresión) y, tratándose de personas con discapacidad, también quienes hayan sido designados para su apoyo.</w:t>
      </w:r>
    </w:p>
    <w:p>
      <w:pPr>
        <w:spacing w:after="120"/>
        <w:jc w:val="both"/>
      </w:pPr>
      <w:r>
        <w:t xml:space="preserve">⚠️ </w:t>
      </w:r>
      <w:r>
        <w:rPr>
          <w:b/>
          <w:bCs/>
        </w:rPr>
        <w:t xml:space="preserve">MUY PREGUNTADO</w:t>
      </w:r>
      <w:r>
        <w:t xml:space="preserve">: memorizar que </w:t>
      </w:r>
      <w:r>
        <w:rPr>
          <w:b/>
          <w:bCs/>
        </w:rPr>
        <w:t xml:space="preserve">NO es un "derecho ARCO del fallecido"</w:t>
      </w:r>
      <w:r>
        <w:t xml:space="preserve"> sino una facultad que la ley reconoce a *terceros vivos* (familiares, herederos o personas designadas), y que puede excluirse si el fallecido lo prohibió en vida.</w:t>
      </w:r>
    </w:p>
    <w:p>
      <w:pPr>
        <w:pBdr>
          <w:bottom w:val="single" w:color="AAAAAA" w:sz="6" w:space="1"/>
        </w:pBdr>
        <w:spacing w:after="200"/>
      </w:pPr>
    </w:p>
    <w:p>
      <w:pPr>
        <w:pStyle w:val="Heading2"/>
        <w:spacing w:after="120" w:before="260"/>
      </w:pPr>
      <w:r>
        <w:t xml:space="preserve">TÍTULO II. Principios de protección de datos (arts. 4 a 10)</w:t>
      </w:r>
    </w:p>
    <w:p>
      <w:pPr>
        <w:spacing w:after="120"/>
        <w:jc w:val="both"/>
      </w:pPr>
      <w:r>
        <w:t xml:space="preserve">Este título desarrolla, matiza o completa los principios generales del RGPD (art. 5 y ss. RGPD: licitud, lealtad, transparencia, minimización, exactitud, limitación del plazo, integridad y confidencialidad).</w:t>
      </w:r>
    </w:p>
    <w:p>
      <w:pPr>
        <w:pStyle w:val="Heading3"/>
        <w:spacing w:after="100" w:before="200"/>
      </w:pPr>
      <w:r>
        <w:t xml:space="preserve">Artículo 4. Exactitud de los datos</w:t>
      </w:r>
    </w:p>
    <w:p>
      <w:pPr>
        <w:spacing w:after="120"/>
        <w:jc w:val="both"/>
      </w:pPr>
      <w:r>
        <w:t xml:space="preserve">Traduce el principio de exactitud del RGPD a reglas prácticas de responsabilidad:</w:t>
      </w:r>
    </w:p>
    <w:p>
      <w:pPr>
        <w:pStyle w:val="ListParagraph"/>
        <w:numPr>
          <w:ilvl w:val="0"/>
          <w:numId w:val="3"/>
        </w:numPr>
        <w:spacing w:after="60"/>
      </w:pPr>
      <w:r>
        <w:t xml:space="preserve">Cuando los datos hayan sido </w:t>
      </w:r>
      <w:r>
        <w:rPr>
          <w:b/>
          <w:bCs/>
        </w:rPr>
        <w:t xml:space="preserve">obtenidos directamente del afectado</w:t>
      </w:r>
      <w:r>
        <w:t xml:space="preserve">, el responsable queda exonerado de responsabilidad por inexactitud si dichos datos son actualizados sin dilación ante cualquier modificación de que tenga conocimiento.</w:t>
      </w:r>
    </w:p>
    <w:p>
      <w:pPr>
        <w:pStyle w:val="ListParagraph"/>
        <w:numPr>
          <w:ilvl w:val="0"/>
          <w:numId w:val="3"/>
        </w:numPr>
        <w:spacing w:after="60"/>
      </w:pPr>
      <w:r>
        <w:t xml:space="preserve">Si los datos han sido obtenidos de un </w:t>
      </w:r>
      <w:r>
        <w:rPr>
          <w:b/>
          <w:bCs/>
        </w:rPr>
        <w:t xml:space="preserve">registro público</w:t>
      </w:r>
      <w:r>
        <w:t xml:space="preserve"> de manera indirecta, el responsable queda exonerado si actualiza el dato sin dilación desde que tiene constancia de la rectificación o cancelación en el registro de origen.</w:t>
      </w:r>
    </w:p>
    <w:p>
      <w:pPr>
        <w:spacing w:after="120"/>
        <w:jc w:val="both"/>
      </w:pPr>
      <w:r>
        <w:rPr>
          <w:b/>
          <w:bCs/>
        </w:rPr>
        <w:t xml:space="preserve">Idea para el examen</w:t>
      </w:r>
      <w:r>
        <w:t xml:space="preserve">: la ley traslada la carga de la exactitud al momento y fuente de la obtención de los datos, exonerando al responsable diligente.</w:t>
      </w:r>
    </w:p>
    <w:p>
      <w:pPr>
        <w:pStyle w:val="Heading3"/>
        <w:spacing w:after="100" w:before="200"/>
      </w:pPr>
      <w:r>
        <w:t xml:space="preserve">Artículo 5. Deber de confidencialidad</w:t>
      </w:r>
    </w:p>
    <w:p>
      <w:pPr>
        <w:pStyle w:val="ListParagraph"/>
        <w:numPr>
          <w:ilvl w:val="0"/>
          <w:numId w:val="3"/>
        </w:numPr>
        <w:spacing w:after="60"/>
      </w:pPr>
      <w:r>
        <w:t xml:space="preserve">El responsable y el encargado del tratamiento, y </w:t>
      </w:r>
      <w:r>
        <w:rPr>
          <w:b/>
          <w:bCs/>
        </w:rPr>
        <w:t xml:space="preserve">todas las personas que intervengan en cualquier fase del tratamiento</w:t>
      </w:r>
      <w:r>
        <w:t xml:space="preserve">, están sujetos al </w:t>
      </w:r>
      <w:r>
        <w:rPr>
          <w:b/>
          <w:bCs/>
        </w:rPr>
        <w:t xml:space="preserve">deber de confidencialidad</w:t>
      </w:r>
      <w:r>
        <w:t xml:space="preserve"> del art. 5.1.f) del RGPD (obligación de secreto respecto a los datos).</w:t>
      </w:r>
    </w:p>
    <w:p>
      <w:pPr>
        <w:pStyle w:val="ListParagraph"/>
        <w:numPr>
          <w:ilvl w:val="0"/>
          <w:numId w:val="3"/>
        </w:numPr>
        <w:spacing w:after="60"/>
      </w:pPr>
      <w:r>
        <w:t xml:space="preserve">Esta obligación </w:t>
      </w:r>
      <w:r>
        <w:rPr>
          <w:b/>
          <w:bCs/>
        </w:rPr>
        <w:t xml:space="preserve">subsiste aun cuando haya finalizado la relación</w:t>
      </w:r>
      <w:r>
        <w:t xml:space="preserve"> del obligado con el responsable o encargado.</w:t>
      </w:r>
    </w:p>
    <w:p>
      <w:pPr>
        <w:spacing w:after="120"/>
        <w:jc w:val="both"/>
      </w:pPr>
      <w:r>
        <w:t xml:space="preserve">⚠️ </w:t>
      </w:r>
      <w:r>
        <w:rPr>
          <w:b/>
          <w:bCs/>
        </w:rPr>
        <w:t xml:space="preserve">MUY PREGUNTADO</w:t>
      </w:r>
      <w:r>
        <w:t xml:space="preserve">: no confundir con el antiguo "deber de secreto" de la LOPD de 1999 (que era una obligación autónoma y expresamente sancionable). La LOPDGDD lo reconduce al deber de confidencialidad ya integrado en el RGPD, pero </w:t>
      </w:r>
      <w:r>
        <w:rPr>
          <w:b/>
          <w:bCs/>
        </w:rPr>
        <w:t xml:space="preserve">mantiene</w:t>
      </w:r>
      <w:r>
        <w:t xml:space="preserve"> que la obligación </w:t>
      </w:r>
      <w:r>
        <w:rPr>
          <w:b/>
          <w:bCs/>
        </w:rPr>
        <w:t xml:space="preserve">persiste tras finalizar la relación laboral/contractual</w:t>
      </w:r>
      <w:r>
        <w:t xml:space="preserve">.</w:t>
      </w:r>
    </w:p>
    <w:p>
      <w:pPr>
        <w:pStyle w:val="Heading3"/>
        <w:spacing w:after="100" w:before="200"/>
      </w:pPr>
      <w:r>
        <w:t xml:space="preserve">Artículo 6. Tratamiento basado en el consentimiento del afectado</w:t>
      </w:r>
    </w:p>
    <w:p>
      <w:pPr>
        <w:spacing w:after="120"/>
        <w:jc w:val="both"/>
      </w:pPr>
      <w:r>
        <w:t xml:space="preserve">Desarrolla qué se entiende por "consentimiento" válido en España (el RGPD lo define en su art. 4.11 y art. 7, la LOPDGDD lo concreta):</w:t>
      </w:r>
    </w:p>
    <w:p>
      <w:pPr>
        <w:pStyle w:val="ListParagraph"/>
        <w:numPr>
          <w:ilvl w:val="0"/>
          <w:numId w:val="3"/>
        </w:numPr>
        <w:spacing w:after="60"/>
      </w:pPr>
      <w:r>
        <w:t xml:space="preserve">El consentimiento debe manifestarse mediante un </w:t>
      </w:r>
      <w:r>
        <w:rPr>
          <w:b/>
          <w:bCs/>
        </w:rPr>
        <w:t xml:space="preserve">acto afirmativo claro</w:t>
      </w:r>
      <w:r>
        <w:t xml:space="preserve"> que refleje una manifestación de voluntad </w:t>
      </w:r>
      <w:r>
        <w:rPr>
          <w:b/>
          <w:bCs/>
        </w:rPr>
        <w:t xml:space="preserve">libre, específica, informada e inequívoca</w:t>
      </w:r>
      <w:r>
        <w:t xml:space="preserve">.</w:t>
      </w:r>
    </w:p>
    <w:p>
      <w:pPr>
        <w:pStyle w:val="ListParagraph"/>
        <w:numPr>
          <w:ilvl w:val="0"/>
          <w:numId w:val="3"/>
        </w:numPr>
        <w:spacing w:after="60"/>
      </w:pPr>
      <w:r>
        <w:t xml:space="preserve">Se admite recabarlo por </w:t>
      </w:r>
      <w:r>
        <w:rPr>
          <w:b/>
          <w:bCs/>
        </w:rPr>
        <w:t xml:space="preserve">cualquier medio</w:t>
      </w:r>
      <w:r>
        <w:t xml:space="preserve"> —incluida vía electrónica— siempre que quede constancia.</w:t>
      </w:r>
    </w:p>
    <w:p>
      <w:pPr>
        <w:pStyle w:val="ListParagraph"/>
        <w:numPr>
          <w:ilvl w:val="0"/>
          <w:numId w:val="3"/>
        </w:numPr>
        <w:spacing w:after="60"/>
      </w:pPr>
      <w:r>
        <w:rPr>
          <w:b/>
          <w:bCs/>
        </w:rPr>
        <w:t xml:space="preserve">No puede deducirse del silencio, la inactividad o las casillas premarcadas.</w:t>
      </w:r>
    </w:p>
    <w:p>
      <w:pPr>
        <w:pStyle w:val="ListParagraph"/>
        <w:numPr>
          <w:ilvl w:val="0"/>
          <w:numId w:val="3"/>
        </w:numPr>
        <w:spacing w:after="60"/>
      </w:pPr>
      <w:r>
        <w:t xml:space="preserve">Si el tratamiento tiene </w:t>
      </w:r>
      <w:r>
        <w:rPr>
          <w:b/>
          <w:bCs/>
        </w:rPr>
        <w:t xml:space="preserve">varias finalidades</w:t>
      </w:r>
      <w:r>
        <w:t xml:space="preserve">, el consentimiento debe constar </w:t>
      </w:r>
      <w:r>
        <w:rPr>
          <w:b/>
          <w:bCs/>
        </w:rPr>
        <w:t xml:space="preserve">específicamente para cada una de ellas</w:t>
      </w:r>
      <w:r>
        <w:t xml:space="preserve">.</w:t>
      </w:r>
    </w:p>
    <w:p>
      <w:pPr>
        <w:spacing w:after="120"/>
        <w:jc w:val="both"/>
      </w:pPr>
      <w:r>
        <w:t xml:space="preserve">⚠️ </w:t>
      </w:r>
      <w:r>
        <w:rPr>
          <w:b/>
          <w:bCs/>
        </w:rPr>
        <w:t xml:space="preserve">MUY PREGUNTADO</w:t>
      </w:r>
      <w:r>
        <w:t xml:space="preserve">: la frase clave que suele aparecer literal en preguntas de test es que </w:t>
      </w:r>
      <w:r>
        <w:rPr>
          <w:b/>
          <w:bCs/>
        </w:rPr>
        <w:t xml:space="preserve">queda excluido el "consentimiento tácito"</w:t>
      </w:r>
      <w:r>
        <w:t xml:space="preserve">: no vale el silencio ni las casillas premarcadas.</w:t>
      </w:r>
    </w:p>
    <w:p>
      <w:pPr>
        <w:pStyle w:val="Heading3"/>
        <w:spacing w:after="100" w:before="200"/>
      </w:pPr>
      <w:r>
        <w:t xml:space="preserve">Artículo 7. Consentimiento de los menores de edad</w:t>
      </w:r>
    </w:p>
    <w:p>
      <w:pPr>
        <w:spacing w:after="120"/>
        <w:jc w:val="both"/>
      </w:pPr>
      <w:r>
        <w:t xml:space="preserve">Uno de los artículos estrella del temario, casi siempre presente en el examen.</w:t>
      </w:r>
    </w:p>
    <w:p>
      <w:pPr>
        <w:pStyle w:val="ListParagraph"/>
        <w:numPr>
          <w:ilvl w:val="0"/>
          <w:numId w:val="3"/>
        </w:numPr>
        <w:spacing w:after="60"/>
      </w:pPr>
      <w:r>
        <w:rPr>
          <w:b/>
          <w:bCs/>
        </w:rPr>
        <w:t xml:space="preserve">Regla general</w:t>
      </w:r>
      <w:r>
        <w:t xml:space="preserve">: el tratamiento de datos de un </w:t>
      </w:r>
      <w:r>
        <w:rPr>
          <w:b/>
          <w:bCs/>
        </w:rPr>
        <w:t xml:space="preserve">menor de edad</w:t>
      </w:r>
      <w:r>
        <w:t xml:space="preserve"> podrá fundarse en su </w:t>
      </w:r>
      <w:r>
        <w:rPr>
          <w:b/>
          <w:bCs/>
        </w:rPr>
        <w:t xml:space="preserve">consentimiento propio</w:t>
      </w:r>
      <w:r>
        <w:t xml:space="preserve"> cuando sea </w:t>
      </w:r>
      <w:r>
        <w:rPr>
          <w:b/>
          <w:bCs/>
        </w:rPr>
        <w:t xml:space="preserve">mayor de 14 años</w:t>
      </w:r>
      <w:r>
        <w:t xml:space="preserve">, salvo en los casos en que la ley exija la asistencia de los titulares de la patria potestad o tutela para la celebración del acto o negocio jurídico en cuyo contexto se recaba el consentimiento (ejemplo: un menor de 15 años no puede prestar por sí solo el consentimiento para un contrato que requiera asistencia paterna, aunque sí para un servicio de la sociedad de la información).</w:t>
      </w:r>
    </w:p>
    <w:p>
      <w:pPr>
        <w:pStyle w:val="ListParagraph"/>
        <w:numPr>
          <w:ilvl w:val="0"/>
          <w:numId w:val="3"/>
        </w:numPr>
        <w:spacing w:after="60"/>
      </w:pPr>
      <w:r>
        <w:rPr>
          <w:b/>
          <w:bCs/>
        </w:rPr>
        <w:t xml:space="preserve">Por debajo de 14 años</w:t>
      </w:r>
      <w:r>
        <w:t xml:space="preserve">: el tratamiento solo será lícito si consta el consentimiento de los padres o tutores.</w:t>
      </w:r>
    </w:p>
    <w:p>
      <w:pPr>
        <w:spacing w:after="120"/>
        <w:jc w:val="both"/>
      </w:pPr>
      <w:r>
        <w:t xml:space="preserve">⚠️ </w:t>
      </w:r>
      <w:r>
        <w:rPr>
          <w:b/>
          <w:bCs/>
        </w:rPr>
        <w:t xml:space="preserve">MUY PREGUNTADO</w:t>
      </w:r>
      <w:r>
        <w:t xml:space="preserve">: el umbral es </w:t>
      </w:r>
      <w:r>
        <w:rPr>
          <w:b/>
          <w:bCs/>
        </w:rPr>
        <w:t xml:space="preserve">14 años</w:t>
      </w:r>
      <w:r>
        <w:t xml:space="preserve"> (a diferencia del RGPD, que fija con carácter general 16 años pero </w:t>
      </w:r>
      <w:r>
        <w:rPr>
          <w:b/>
          <w:bCs/>
        </w:rPr>
        <w:t xml:space="preserve">permite a los Estados rebajarlo hasta un mínimo de 13</w:t>
      </w:r>
      <w:r>
        <w:t xml:space="preserve">; España optó por 14). Es la edad "trampa" típica de test: te dan 13, 15, 16 y 18 como distractores.</w:t>
      </w:r>
    </w:p>
    <w:p>
      <w:pPr>
        <w:pStyle w:val="Heading3"/>
        <w:spacing w:after="100" w:before="200"/>
      </w:pPr>
      <w:r>
        <w:t xml:space="preserve">Artículo 8. Tratamiento de datos por obligación legal, interés público o ejercicio de poderes públicos</w:t>
      </w:r>
    </w:p>
    <w:p>
      <w:pPr>
        <w:pStyle w:val="ListParagraph"/>
        <w:numPr>
          <w:ilvl w:val="0"/>
          <w:numId w:val="3"/>
        </w:numPr>
        <w:spacing w:after="60"/>
      </w:pPr>
      <w:r>
        <w:t xml:space="preserve">El tratamiento amparado en estas bases jurídicas (art. 6.1.c) y e) RGPD) solo se considerará lícito cuando derive de una </w:t>
      </w:r>
      <w:r>
        <w:rPr>
          <w:b/>
          <w:bCs/>
        </w:rPr>
        <w:t xml:space="preserve">competencia atribuida por una norma con rango de ley</w:t>
      </w:r>
      <w:r>
        <w:t xml:space="preserve"> o del Derecho de la Unión Europea.</w:t>
      </w:r>
    </w:p>
    <w:p>
      <w:pPr>
        <w:pStyle w:val="ListParagraph"/>
        <w:numPr>
          <w:ilvl w:val="0"/>
          <w:numId w:val="3"/>
        </w:numPr>
        <w:spacing w:after="60"/>
      </w:pPr>
      <w:r>
        <w:t xml:space="preserve">Menciona expresamente que se consideran incluidas en este supuesto, entre otras: aquellas actuaciones precisas para el mantenimiento del orden público y la seguridad ciudadana, así como el ejercicio de competencias reconocidas a las Administraciones Públicas.</w:t>
      </w:r>
    </w:p>
    <w:p>
      <w:pPr>
        <w:spacing w:after="120"/>
        <w:jc w:val="both"/>
      </w:pPr>
      <w:r>
        <w:rPr>
          <w:b/>
          <w:bCs/>
        </w:rPr>
        <w:t xml:space="preserve">Idea de examen</w:t>
      </w:r>
      <w:r>
        <w:t xml:space="preserve">: el "interés público" nunca puede ser una excusa genérica; </w:t>
      </w:r>
      <w:r>
        <w:rPr>
          <w:b/>
          <w:bCs/>
        </w:rPr>
        <w:t xml:space="preserve">siempre necesita cobertura legal expresa</w:t>
      </w:r>
      <w:r>
        <w:t xml:space="preserve">, no basta un reglamento o una orden interna.</w:t>
      </w:r>
    </w:p>
    <w:p>
      <w:pPr>
        <w:pStyle w:val="Heading3"/>
        <w:spacing w:after="100" w:before="200"/>
      </w:pPr>
      <w:r>
        <w:t xml:space="preserve">Artículo 9. Categorías especiales de datos</w:t>
      </w:r>
    </w:p>
    <w:p>
      <w:pPr>
        <w:spacing w:after="120"/>
        <w:jc w:val="both"/>
      </w:pPr>
      <w:r>
        <w:t xml:space="preserve">Desarrolla el art. 9 RGPD (datos sensibles: ideología, afiliación sindical, religión, creencias, origen racial o étnico, salud, orientación sexual, datos genéticos y biométricos).</w:t>
      </w:r>
    </w:p>
    <w:p>
      <w:pPr>
        <w:pStyle w:val="ListParagraph"/>
        <w:numPr>
          <w:ilvl w:val="0"/>
          <w:numId w:val="3"/>
        </w:numPr>
        <w:spacing w:after="60"/>
      </w:pPr>
      <w:r>
        <w:t xml:space="preserve">Regla estrella: </w:t>
      </w:r>
      <w:r>
        <w:rPr>
          <w:b/>
          <w:bCs/>
        </w:rPr>
        <w:t xml:space="preserve">"El solo consentimiento del afectado no bastará para levantar la prohibición del tratamiento de datos"</w:t>
      </w:r>
      <w:r>
        <w:t xml:space="preserve"> cuando la finalidad principal del tratamiento sea identificar la ideología, afiliación sindical, religión, orientación sexual, creencias u origen racial o étnico del afectado.</w:t>
      </w:r>
    </w:p>
    <w:p>
      <w:pPr>
        <w:pStyle w:val="ListParagraph"/>
        <w:numPr>
          <w:ilvl w:val="0"/>
          <w:numId w:val="3"/>
        </w:numPr>
        <w:spacing w:after="60"/>
      </w:pPr>
      <w:r>
        <w:t xml:space="preserve">Sin embargo, se admite el tratamiento de datos amparados por otras excepciones del RGPD (por ejemplo: datos de afiliación política, sindical, religiosa o de creencias manejados por los propios partidos, sindicatos, iglesias y asociaciones para sus fines).</w:t>
      </w:r>
    </w:p>
    <w:p>
      <w:pPr>
        <w:pStyle w:val="ListParagraph"/>
        <w:numPr>
          <w:ilvl w:val="0"/>
          <w:numId w:val="3"/>
        </w:numPr>
        <w:spacing w:after="60"/>
      </w:pPr>
      <w:r>
        <w:t xml:space="preserve">Hay una previsión específica sobre </w:t>
      </w:r>
      <w:r>
        <w:rPr>
          <w:b/>
          <w:bCs/>
        </w:rPr>
        <w:t xml:space="preserve">partidos políticos, sindicatos, fundaciones y asociaciones sin ánimo de lucro</w:t>
      </w:r>
      <w:r>
        <w:t xml:space="preserve"> con finalidad política, filosófica, religiosa o sindical: pueden tratar datos de sus miembros y de personas que mantengan contactos regulares.</w:t>
      </w:r>
    </w:p>
    <w:p>
      <w:pPr>
        <w:pStyle w:val="ListParagraph"/>
        <w:numPr>
          <w:ilvl w:val="0"/>
          <w:numId w:val="3"/>
        </w:numPr>
        <w:spacing w:after="60"/>
      </w:pPr>
      <w:r>
        <w:t xml:space="preserve">Se permite el uso de datos de partidos políticos para actividades electorales, dentro del marco de la legislación electoral (tratamiento de datos con fines de propaganda electoral, con las debidas garantías).</w:t>
      </w:r>
    </w:p>
    <w:p>
      <w:pPr>
        <w:spacing w:after="120"/>
        <w:jc w:val="both"/>
      </w:pPr>
      <w:r>
        <w:t xml:space="preserve">⚠️ </w:t>
      </w:r>
      <w:r>
        <w:rPr>
          <w:b/>
          <w:bCs/>
        </w:rPr>
        <w:t xml:space="preserve">MUY PREGUNTADO</w:t>
      </w:r>
      <w:r>
        <w:t xml:space="preserve">: retener literalmente que el </w:t>
      </w:r>
      <w:r>
        <w:rPr>
          <w:b/>
          <w:bCs/>
        </w:rPr>
        <w:t xml:space="preserve">consentimiento por sí solo NO es suficiente</w:t>
      </w:r>
      <w:r>
        <w:t xml:space="preserve"> para tratar datos sensibles cuando la finalidad </w:t>
      </w:r>
      <w:r>
        <w:rPr>
          <w:b/>
          <w:bCs/>
        </w:rPr>
        <w:t xml:space="preserve">principal</w:t>
      </w:r>
      <w:r>
        <w:t xml:space="preserve"> sea precisamente identificar esa categoría especial de dato; hace falta una base adicional (interés público esencial, consentimiento explícito reforzado, obligaciones en el ámbito laboral y de seguridad social, etc., conforme al art. 9.2 RGPD).</w:t>
      </w:r>
    </w:p>
    <w:p>
      <w:pPr>
        <w:pStyle w:val="Heading3"/>
        <w:spacing w:after="100" w:before="200"/>
      </w:pPr>
      <w:r>
        <w:t xml:space="preserve">Artículo 10. Tratamiento de datos de naturaleza penal</w:t>
      </w:r>
    </w:p>
    <w:p>
      <w:pPr>
        <w:pStyle w:val="ListParagraph"/>
        <w:numPr>
          <w:ilvl w:val="0"/>
          <w:numId w:val="3"/>
        </w:numPr>
        <w:spacing w:after="60"/>
      </w:pPr>
      <w:r>
        <w:t xml:space="preserve">El tratamiento de datos relativos a </w:t>
      </w:r>
      <w:r>
        <w:rPr>
          <w:b/>
          <w:bCs/>
        </w:rPr>
        <w:t xml:space="preserve">condenas e infracciones penales</w:t>
      </w:r>
      <w:r>
        <w:t xml:space="preserve">, o medidas de seguridad asociadas, solo puede realizarse cuando esté amparado en una </w:t>
      </w:r>
      <w:r>
        <w:rPr>
          <w:b/>
          <w:bCs/>
        </w:rPr>
        <w:t xml:space="preserve">norma de Derecho de la Unión Europea, en esta ley orgánica o en otras normas de rango legal</w:t>
      </w:r>
      <w:r>
        <w:t xml:space="preserve">, o bajo el control de la autoridad pública, en los términos del RGPD.</w:t>
      </w:r>
    </w:p>
    <w:p>
      <w:pPr>
        <w:pStyle w:val="ListParagraph"/>
        <w:numPr>
          <w:ilvl w:val="0"/>
          <w:numId w:val="3"/>
        </w:numPr>
        <w:spacing w:after="60"/>
      </w:pPr>
      <w:r>
        <w:t xml:space="preserve">Excepción práctica típica de examen: se permite llevar un </w:t>
      </w:r>
      <w:r>
        <w:rPr>
          <w:b/>
          <w:bCs/>
        </w:rPr>
        <w:t xml:space="preserve">registro de estas circunstancias a los abogados y procuradores</w:t>
      </w:r>
      <w:r>
        <w:t xml:space="preserve"> con la finalidad de recoger la información facilitada por sus clientes para el ejercicio de sus funciones.</w:t>
      </w:r>
    </w:p>
    <w:p>
      <w:pPr>
        <w:pBdr>
          <w:bottom w:val="single" w:color="AAAAAA" w:sz="6" w:space="1"/>
        </w:pBdr>
        <w:spacing w:after="200"/>
      </w:pPr>
    </w:p>
    <w:p>
      <w:pPr>
        <w:pStyle w:val="Heading2"/>
        <w:spacing w:after="120" w:before="260"/>
      </w:pPr>
      <w:r>
        <w:t xml:space="preserve">TÍTULO III. Derechos de las personas (arts. 11 a 18)</w:t>
      </w:r>
    </w:p>
    <w:p>
      <w:pPr>
        <w:spacing w:after="120"/>
        <w:jc w:val="both"/>
      </w:pPr>
      <w:r>
        <w:t xml:space="preserve">Este es el título más "práctico" de todo el temario: aquí es donde el examen suele plantear casos ("un ciudadano solicita...", "una empresa recibe una solicitud de..."). Se divide en dos capítulos: Capítulo I (Transparencia e información, art. 11) y Capítulo II (Ejercicio de los derechos, arts. 12 a 18).</w:t>
      </w:r>
    </w:p>
    <w:p>
      <w:pPr>
        <w:pStyle w:val="Heading3"/>
        <w:spacing w:after="100" w:before="200"/>
      </w:pPr>
      <w:r>
        <w:t xml:space="preserve">Artículo 11. Transparencia e información al afectado (Capítulo I)</w:t>
      </w:r>
    </w:p>
    <w:p>
      <w:pPr>
        <w:spacing w:after="120"/>
        <w:jc w:val="both"/>
      </w:pPr>
      <w:r>
        <w:t xml:space="preserve">Introduce la técnica de la </w:t>
      </w:r>
      <w:r>
        <w:rPr>
          <w:b/>
          <w:bCs/>
        </w:rPr>
        <w:t xml:space="preserve">"información por capas" (layered information)</w:t>
      </w:r>
      <w:r>
        <w:t xml:space="preserve">:</w:t>
      </w:r>
    </w:p>
    <w:p>
      <w:pPr>
        <w:pStyle w:val="ListParagraph"/>
        <w:numPr>
          <w:ilvl w:val="0"/>
          <w:numId w:val="3"/>
        </w:numPr>
        <w:spacing w:after="60"/>
      </w:pPr>
      <w:r>
        <w:t xml:space="preserve">El deber de información del art. 13 y 14 RGPD (informar al interesado en el momento de recogida de datos) se puede cumplir facilitando la información </w:t>
      </w:r>
      <w:r>
        <w:rPr>
          <w:b/>
          <w:bCs/>
        </w:rPr>
        <w:t xml:space="preserve">básica</w:t>
      </w:r>
      <w:r>
        <w:t xml:space="preserve"> en el propio momento de la recogida (identidad del responsable, finalidad, posibilidad de ejercer derechos), e </w:t>
      </w:r>
      <w:r>
        <w:rPr>
          <w:b/>
          <w:bCs/>
        </w:rPr>
        <w:t xml:space="preserve">indicando una dirección electrónica u otro medio</w:t>
      </w:r>
      <w:r>
        <w:t xml:space="preserve"> que permita acceder de forma sencilla e inmediata a la restante información.</w:t>
      </w:r>
    </w:p>
    <w:p>
      <w:pPr>
        <w:pStyle w:val="ListParagraph"/>
        <w:numPr>
          <w:ilvl w:val="0"/>
          <w:numId w:val="3"/>
        </w:numPr>
        <w:spacing w:after="60"/>
      </w:pPr>
      <w:r>
        <w:t xml:space="preserve">Cuando los datos no se hayan obtenido del afectado, la información básica debe facilitarse </w:t>
      </w:r>
      <w:r>
        <w:rPr>
          <w:b/>
          <w:bCs/>
        </w:rPr>
        <w:t xml:space="preserve">al mismo tiempo</w:t>
      </w:r>
      <w:r>
        <w:t xml:space="preserve"> que se procede al registro de los datos, dentro del plazo máximo de </w:t>
      </w:r>
      <w:r>
        <w:rPr>
          <w:b/>
          <w:bCs/>
        </w:rPr>
        <w:t xml:space="preserve">un mes</w:t>
      </w:r>
      <w:r>
        <w:t xml:space="preserve"> (esto viene del propio RGPD, art. 14.3.a).</w:t>
      </w:r>
    </w:p>
    <w:p>
      <w:pPr>
        <w:spacing w:after="120"/>
        <w:jc w:val="both"/>
      </w:pPr>
      <w:r>
        <w:rPr>
          <w:b/>
          <w:bCs/>
        </w:rPr>
        <w:t xml:space="preserve">Idea clave</w:t>
      </w:r>
      <w:r>
        <w:t xml:space="preserve">: es una técnica de "aviso corto + enlace a política de privacidad completa", muy habitual en formularios web (por ejemplo: "Responsable: XX. Finalidad: YY. Más información en [enlace]").</w:t>
      </w:r>
    </w:p>
    <w:p>
      <w:pPr>
        <w:pStyle w:val="Heading3"/>
        <w:spacing w:after="100" w:before="200"/>
      </w:pPr>
      <w:r>
        <w:t xml:space="preserve">Artículo 12. Disposiciones generales sobre el ejercicio de los derechos (Capítulo II)</w:t>
      </w:r>
    </w:p>
    <w:p>
      <w:pPr>
        <w:spacing w:after="120"/>
        <w:jc w:val="both"/>
      </w:pPr>
      <w:r>
        <w:t xml:space="preserve">Reglas comunes a todos los derechos ARCO-POL (Acceso, Rectificación, Cancelación/supresión, Oposición, Portabilidad, Limitación):</w:t>
      </w:r>
    </w:p>
    <w:p>
      <w:pPr>
        <w:pStyle w:val="ListParagraph"/>
        <w:numPr>
          <w:ilvl w:val="0"/>
          <w:numId w:val="3"/>
        </w:numPr>
        <w:spacing w:after="60"/>
      </w:pPr>
      <w:r>
        <w:t xml:space="preserve">Los derechos pueden ejercerse </w:t>
      </w:r>
      <w:r>
        <w:rPr>
          <w:b/>
          <w:bCs/>
        </w:rPr>
        <w:t xml:space="preserve">directamente o mediante representante legal o voluntario</w:t>
      </w:r>
      <w:r>
        <w:t xml:space="preserve">.</w:t>
      </w:r>
    </w:p>
    <w:p>
      <w:pPr>
        <w:pStyle w:val="ListParagraph"/>
        <w:numPr>
          <w:ilvl w:val="0"/>
          <w:numId w:val="3"/>
        </w:numPr>
        <w:spacing w:after="60"/>
      </w:pPr>
      <w:r>
        <w:t xml:space="preserve">El responsable debe </w:t>
      </w:r>
      <w:r>
        <w:rPr>
          <w:b/>
          <w:bCs/>
        </w:rPr>
        <w:t xml:space="preserve">informar al afectado sobre los medios</w:t>
      </w:r>
      <w:r>
        <w:t xml:space="preserve"> que pone a su disposición para ejercitar cada derecho (dirección electrónica, formularios...). Estos medios deben ser </w:t>
      </w:r>
      <w:r>
        <w:rPr>
          <w:b/>
          <w:bCs/>
        </w:rPr>
        <w:t xml:space="preserve">accesibles</w:t>
      </w:r>
      <w:r>
        <w:t xml:space="preserve">, en particular para personas con discapacidad.</w:t>
      </w:r>
    </w:p>
    <w:p>
      <w:pPr>
        <w:pStyle w:val="ListParagraph"/>
        <w:numPr>
          <w:ilvl w:val="0"/>
          <w:numId w:val="3"/>
        </w:numPr>
        <w:spacing w:after="60"/>
      </w:pPr>
      <w:r>
        <w:t xml:space="preserve">Cuando el responsable disponga de </w:t>
      </w:r>
      <w:r>
        <w:rPr>
          <w:b/>
          <w:bCs/>
        </w:rPr>
        <w:t xml:space="preserve">medios de identificación electrónica</w:t>
      </w:r>
      <w:r>
        <w:t xml:space="preserve"> admitidos por las Administraciones Públicas, o utilice sistemas de identificación como firma electrónica o certificado digital contemplados en la normativa, estos podrán ser empleados para acreditar la identidad del afectado.</w:t>
      </w:r>
    </w:p>
    <w:p>
      <w:pPr>
        <w:pStyle w:val="ListParagraph"/>
        <w:numPr>
          <w:ilvl w:val="0"/>
          <w:numId w:val="3"/>
        </w:numPr>
        <w:spacing w:after="60"/>
      </w:pPr>
      <w:r>
        <w:t xml:space="preserve">Cuando la solicitud se formule a través de </w:t>
      </w:r>
      <w:r>
        <w:rPr>
          <w:b/>
          <w:bCs/>
        </w:rPr>
        <w:t xml:space="preserve">medios electrónicos</w:t>
      </w:r>
      <w:r>
        <w:t xml:space="preserve">, si la ley exige la firma del interesado, se entenderá cumplida si se utiliza un sistema de identificación equivalente.</w:t>
      </w:r>
    </w:p>
    <w:p>
      <w:pPr>
        <w:spacing w:after="120"/>
        <w:jc w:val="both"/>
      </w:pPr>
      <w:r>
        <w:t xml:space="preserve">⚠️ </w:t>
      </w:r>
      <w:r>
        <w:rPr>
          <w:b/>
          <w:bCs/>
        </w:rPr>
        <w:t xml:space="preserve">MUY PREGUNTADO</w:t>
      </w:r>
      <w:r>
        <w:t xml:space="preserve">: el plazo general para resolver los derechos ARCO no está en la LOPDGDD, sino que remite al RGPD (art. 12.3 RGPD): </w:t>
      </w:r>
      <w:r>
        <w:rPr>
          <w:b/>
          <w:bCs/>
        </w:rPr>
        <w:t xml:space="preserve">un mes desde la recepción de la solicitud</w:t>
      </w:r>
      <w:r>
        <w:t xml:space="preserve">, ampliable a </w:t>
      </w:r>
      <w:r>
        <w:rPr>
          <w:b/>
          <w:bCs/>
        </w:rPr>
        <w:t xml:space="preserve">dos meses más</w:t>
      </w:r>
      <w:r>
        <w:t xml:space="preserve"> (hasta 3 en total) cuando sea necesario, teniendo en cuenta la complejidad y el número de solicitudes, debiendo informar al interesado de la prórroga y de los motivos en el plazo de un mes.</w:t>
      </w:r>
    </w:p>
    <w:p>
      <w:pPr>
        <w:pStyle w:val="Heading3"/>
        <w:spacing w:after="100" w:before="200"/>
      </w:pPr>
      <w:r>
        <w:t xml:space="preserve">Artículo 13. Derecho de acceso</w:t>
      </w:r>
    </w:p>
    <w:p>
      <w:pPr>
        <w:pStyle w:val="ListParagraph"/>
        <w:numPr>
          <w:ilvl w:val="0"/>
          <w:numId w:val="3"/>
        </w:numPr>
        <w:spacing w:after="60"/>
      </w:pPr>
      <w:r>
        <w:t xml:space="preserve">El interesado tiene derecho a obtener del responsable confirmación de si se están tratando o no sus datos y, en tal caso, acceso a los mismos y a la información asociada (finalidades, destinatarios, plazo de conservación, origen, etc., según art. 15 RGPD).</w:t>
      </w:r>
    </w:p>
    <w:p>
      <w:pPr>
        <w:pStyle w:val="ListParagraph"/>
        <w:numPr>
          <w:ilvl w:val="0"/>
          <w:numId w:val="3"/>
        </w:numPr>
        <w:spacing w:after="60"/>
      </w:pPr>
      <w:r>
        <w:t xml:space="preserve">Novedad práctica de la LOPDGDD: se entiende </w:t>
      </w:r>
      <w:r>
        <w:rPr>
          <w:b/>
          <w:bCs/>
        </w:rPr>
        <w:t xml:space="preserve">satisfecho el derecho de acceso</w:t>
      </w:r>
      <w:r>
        <w:t xml:space="preserve"> si el responsable facilita al afectado un </w:t>
      </w:r>
      <w:r>
        <w:rPr>
          <w:b/>
          <w:bCs/>
        </w:rPr>
        <w:t xml:space="preserve">sistema de acceso remoto, directo y seguro</w:t>
      </w:r>
      <w:r>
        <w:t xml:space="preserve"> a los datos personales que garantice, de modo permanente, el acceso a la totalidad de ellos (ejemplo: portal del paciente en un hospital, área de cliente de un banco). Esto evita que la empresa tenga que responder individualmente carta por carta si ya tiene ese sistema disponible.</w:t>
      </w:r>
    </w:p>
    <w:p>
      <w:pPr>
        <w:pStyle w:val="Heading3"/>
        <w:spacing w:after="100" w:before="200"/>
      </w:pPr>
      <w:r>
        <w:t xml:space="preserve">Artículo 14. Derecho de rectificación</w:t>
      </w:r>
    </w:p>
    <w:p>
      <w:pPr>
        <w:pStyle w:val="ListParagraph"/>
        <w:numPr>
          <w:ilvl w:val="0"/>
          <w:numId w:val="3"/>
        </w:numPr>
        <w:spacing w:after="60"/>
      </w:pPr>
      <w:r>
        <w:t xml:space="preserve">El afectado tiene derecho a que se rectifiquen los datos inexactos que le conciernan.</w:t>
      </w:r>
    </w:p>
    <w:p>
      <w:pPr>
        <w:pStyle w:val="ListParagraph"/>
        <w:numPr>
          <w:ilvl w:val="0"/>
          <w:numId w:val="3"/>
        </w:numPr>
        <w:spacing w:after="60"/>
      </w:pPr>
      <w:r>
        <w:rPr>
          <w:b/>
          <w:bCs/>
        </w:rPr>
        <w:t xml:space="preserve">Procedimiento</w:t>
      </w:r>
      <w:r>
        <w:t xml:space="preserve">: al ejercer el derecho, el afectado debe </w:t>
      </w:r>
      <w:r>
        <w:rPr>
          <w:b/>
          <w:bCs/>
        </w:rPr>
        <w:t xml:space="preserve">indicar en su solicitud a qué datos se refiere</w:t>
      </w:r>
      <w:r>
        <w:t xml:space="preserve"> y </w:t>
      </w:r>
      <w:r>
        <w:rPr>
          <w:b/>
          <w:bCs/>
        </w:rPr>
        <w:t xml:space="preserve">la corrección que haya de realizarse</w:t>
      </w:r>
      <w:r>
        <w:t xml:space="preserve">, debiendo ir acompañada, cuando sea preciso, de la documentación justificativa de la inexactitud o del carácter incompleto de los datos objeto de tratamiento.</w:t>
      </w:r>
    </w:p>
    <w:p>
      <w:pPr>
        <w:spacing w:after="120"/>
        <w:jc w:val="both"/>
      </w:pPr>
      <w:r>
        <w:rPr>
          <w:b/>
          <w:bCs/>
        </w:rPr>
        <w:t xml:space="preserve">Ejemplo práctico</w:t>
      </w:r>
      <w:r>
        <w:t xml:space="preserve">: un ciudadano detecta que su domicilio en el padrón municipal es erróneo: debe presentar la solicitud señalando el dato erróneo, el dato correcto, y aportar (por ejemplo) un contrato de alquiler o escritura que lo acredite.</w:t>
      </w:r>
    </w:p>
    <w:p>
      <w:pPr>
        <w:pStyle w:val="Heading3"/>
        <w:spacing w:after="100" w:before="200"/>
      </w:pPr>
      <w:r>
        <w:t xml:space="preserve">Artículo 15. Derecho de supresión ("derecho al olvido" en su vertiente general)</w:t>
      </w:r>
    </w:p>
    <w:p>
      <w:pPr>
        <w:pStyle w:val="ListParagraph"/>
        <w:numPr>
          <w:ilvl w:val="0"/>
          <w:numId w:val="3"/>
        </w:numPr>
        <w:spacing w:after="60"/>
      </w:pPr>
      <w:r>
        <w:t xml:space="preserve">Remite en cuanto a su régimen al </w:t>
      </w:r>
      <w:r>
        <w:rPr>
          <w:b/>
          <w:bCs/>
        </w:rPr>
        <w:t xml:space="preserve">art. 17 RGPD</w:t>
      </w:r>
      <w:r>
        <w:t xml:space="preserve"> ("derecho al olvido").</w:t>
      </w:r>
    </w:p>
    <w:p>
      <w:pPr>
        <w:pStyle w:val="ListParagraph"/>
        <w:numPr>
          <w:ilvl w:val="0"/>
          <w:numId w:val="3"/>
        </w:numPr>
        <w:spacing w:after="60"/>
      </w:pPr>
      <w:r>
        <w:t xml:space="preserve">Especialidad importante: cuando el afectado haya ejercido su </w:t>
      </w:r>
      <w:r>
        <w:rPr>
          <w:b/>
          <w:bCs/>
        </w:rPr>
        <w:t xml:space="preserve">derecho de oposición</w:t>
      </w:r>
      <w:r>
        <w:t xml:space="preserve"> al tratamiento con fines de mercadotecnia directa (publicidad), el responsable </w:t>
      </w:r>
      <w:r>
        <w:rPr>
          <w:b/>
          <w:bCs/>
        </w:rPr>
        <w:t xml:space="preserve">podrá mantener bloqueados</w:t>
      </w:r>
      <w:r>
        <w:t xml:space="preserve"> los datos imprescindibles para identificar al afectado, con el único fin de </w:t>
      </w:r>
      <w:r>
        <w:rPr>
          <w:b/>
          <w:bCs/>
        </w:rPr>
        <w:t xml:space="preserve">evitar que en el futuro reciba nuevos envíos</w:t>
      </w:r>
      <w:r>
        <w:t xml:space="preserve"> con esas finalidades.</w:t>
      </w:r>
    </w:p>
    <w:p>
      <w:pPr>
        <w:spacing w:after="120"/>
        <w:jc w:val="both"/>
      </w:pPr>
      <w:r>
        <w:t xml:space="preserve">⚠️ </w:t>
      </w:r>
      <w:r>
        <w:rPr>
          <w:b/>
          <w:bCs/>
        </w:rPr>
        <w:t xml:space="preserve">MUY PREGUNTADO</w:t>
      </w:r>
      <w:r>
        <w:t xml:space="preserve">: distinguir "supresión" de "bloqueo" — el bloqueo no es un derecho autónomo del interesado en este artículo, sino una </w:t>
      </w:r>
      <w:r>
        <w:rPr>
          <w:b/>
          <w:bCs/>
        </w:rPr>
        <w:t xml:space="preserve">facultad del responsable</w:t>
      </w:r>
      <w:r>
        <w:t xml:space="preserve"> para no volver a molestar al que ya se opuso, sin tener que borrar por completo su identificación.</w:t>
      </w:r>
    </w:p>
    <w:p>
      <w:pPr>
        <w:pStyle w:val="Heading3"/>
        <w:spacing w:after="100" w:before="200"/>
      </w:pPr>
      <w:r>
        <w:t xml:space="preserve">Artículo 16. Derecho a la limitación del tratamiento</w:t>
      </w:r>
    </w:p>
    <w:p>
      <w:pPr>
        <w:pStyle w:val="ListParagraph"/>
        <w:numPr>
          <w:ilvl w:val="0"/>
          <w:numId w:val="3"/>
        </w:numPr>
        <w:spacing w:after="60"/>
      </w:pPr>
      <w:r>
        <w:t xml:space="preserve">Remite igualmente al régimen del </w:t>
      </w:r>
      <w:r>
        <w:rPr>
          <w:b/>
          <w:bCs/>
        </w:rPr>
        <w:t xml:space="preserve">art. 18 RGPD</w:t>
      </w:r>
      <w:r>
        <w:t xml:space="preserve">.</w:t>
      </w:r>
    </w:p>
    <w:p>
      <w:pPr>
        <w:pStyle w:val="ListParagraph"/>
        <w:numPr>
          <w:ilvl w:val="0"/>
          <w:numId w:val="3"/>
        </w:numPr>
        <w:spacing w:after="60"/>
      </w:pPr>
      <w:r>
        <w:t xml:space="preserve">Especialidad: cuando el afectado haya solicitado la </w:t>
      </w:r>
      <w:r>
        <w:rPr>
          <w:b/>
          <w:bCs/>
        </w:rPr>
        <w:t xml:space="preserve">rectificación o supresión</w:t>
      </w:r>
      <w:r>
        <w:t xml:space="preserve"> de sus datos, o se haya opuesto al tratamiento, el responsable podrá conservar bloqueados los datos durante el </w:t>
      </w:r>
      <w:r>
        <w:rPr>
          <w:b/>
          <w:bCs/>
        </w:rPr>
        <w:t xml:space="preserve">plazo en el que pudieran derivarse responsabilidades</w:t>
      </w:r>
      <w:r>
        <w:t xml:space="preserve"> de su relación con el afectado. Una vez transcurrido ese plazo deberá procederse a su supresión.</w:t>
      </w:r>
    </w:p>
    <w:p>
      <w:pPr>
        <w:pStyle w:val="ListParagraph"/>
        <w:numPr>
          <w:ilvl w:val="0"/>
          <w:numId w:val="3"/>
        </w:numPr>
        <w:spacing w:after="60"/>
      </w:pPr>
      <w:r>
        <w:t xml:space="preserve">La </w:t>
      </w:r>
      <w:r>
        <w:rPr>
          <w:b/>
          <w:bCs/>
        </w:rPr>
        <w:t xml:space="preserve">limitación del tratamiento</w:t>
      </w:r>
      <w:r>
        <w:t xml:space="preserve"> debe constar de forma clara en los sistemas de información del responsable, con indicación de la persona a la que se atribuye.</w:t>
      </w:r>
    </w:p>
    <w:p>
      <w:pPr>
        <w:pStyle w:val="Heading3"/>
        <w:spacing w:after="100" w:before="200"/>
      </w:pPr>
      <w:r>
        <w:t xml:space="preserve">Artículo 17. Derecho a la portabilidad</w:t>
      </w:r>
    </w:p>
    <w:p>
      <w:pPr>
        <w:pStyle w:val="ListParagraph"/>
        <w:numPr>
          <w:ilvl w:val="0"/>
          <w:numId w:val="3"/>
        </w:numPr>
        <w:spacing w:after="60"/>
      </w:pPr>
      <w:r>
        <w:t xml:space="preserve">Se remite al régimen del </w:t>
      </w:r>
      <w:r>
        <w:rPr>
          <w:b/>
          <w:bCs/>
        </w:rPr>
        <w:t xml:space="preserve">art. 20 RGPD</w:t>
      </w:r>
      <w:r>
        <w:t xml:space="preserve">: derecho a recibir los datos que uno mismo ha facilitado en un formato estructurado, de uso común y lectura mecánica, y a transmitirlos a otro responsable.</w:t>
      </w:r>
    </w:p>
    <w:p>
      <w:pPr>
        <w:pStyle w:val="ListParagraph"/>
        <w:numPr>
          <w:ilvl w:val="0"/>
          <w:numId w:val="3"/>
        </w:numPr>
        <w:spacing w:after="60"/>
      </w:pPr>
      <w:r>
        <w:t xml:space="preserve">Solo aplica a datos tratados </w:t>
      </w:r>
      <w:r>
        <w:rPr>
          <w:b/>
          <w:bCs/>
        </w:rPr>
        <w:t xml:space="preserve">por medios automatizados</w:t>
      </w:r>
      <w:r>
        <w:t xml:space="preserve">, en base al </w:t>
      </w:r>
      <w:r>
        <w:rPr>
          <w:b/>
          <w:bCs/>
        </w:rPr>
        <w:t xml:space="preserve">consentimiento</w:t>
      </w:r>
      <w:r>
        <w:t xml:space="preserve"> o a la ejecución de un </w:t>
      </w:r>
      <w:r>
        <w:rPr>
          <w:b/>
          <w:bCs/>
        </w:rPr>
        <w:t xml:space="preserve">contrato</w:t>
      </w:r>
      <w:r>
        <w:t xml:space="preserve">.</w:t>
      </w:r>
    </w:p>
    <w:p>
      <w:pPr>
        <w:pStyle w:val="Heading3"/>
        <w:spacing w:after="100" w:before="200"/>
      </w:pPr>
      <w:r>
        <w:t xml:space="preserve">Artículo 18. Derecho de oposición</w:t>
      </w:r>
    </w:p>
    <w:p>
      <w:pPr>
        <w:pStyle w:val="ListParagraph"/>
        <w:numPr>
          <w:ilvl w:val="0"/>
          <w:numId w:val="3"/>
        </w:numPr>
        <w:spacing w:after="60"/>
      </w:pPr>
      <w:r>
        <w:t xml:space="preserve">Regula la oposición a un tratamiento, incluida la elaboración de perfiles, así como la oposición a decisiones individuales automatizadas, remitiéndose al régimen general del </w:t>
      </w:r>
      <w:r>
        <w:rPr>
          <w:b/>
          <w:bCs/>
        </w:rPr>
        <w:t xml:space="preserve">art. 21 RGPD</w:t>
      </w:r>
      <w:r>
        <w:t xml:space="preserve"> (derecho a oponerse por motivos relacionados con su situación particular; en marketing directo la oposición es siempre absoluta, sin necesidad de justificar motivo).</w:t>
      </w:r>
    </w:p>
    <w:p>
      <w:pPr>
        <w:pStyle w:val="ListParagraph"/>
        <w:numPr>
          <w:ilvl w:val="0"/>
          <w:numId w:val="3"/>
        </w:numPr>
        <w:spacing w:after="60"/>
      </w:pPr>
      <w:r>
        <w:t xml:space="preserve">Menciona expresamente que las Administraciones Públicas </w:t>
      </w:r>
      <w:r>
        <w:rPr>
          <w:b/>
          <w:bCs/>
        </w:rPr>
        <w:t xml:space="preserve">solo podrán adoptar decisiones basadas únicamente en un tratamiento automatizado de datos</w:t>
      </w:r>
      <w:r>
        <w:t xml:space="preserve">, incluida la elaboración de perfiles, cuando una norma con rango de ley así lo prevea o cuando ello sea necesario para la celebración o ejecución de un contrato a petición del interesado.</w:t>
      </w:r>
    </w:p>
    <w:p>
      <w:pPr>
        <w:spacing w:after="120"/>
        <w:jc w:val="both"/>
      </w:pPr>
      <w:r>
        <w:t xml:space="preserve">⚠️ </w:t>
      </w:r>
      <w:r>
        <w:rPr>
          <w:b/>
          <w:bCs/>
        </w:rPr>
        <w:t xml:space="preserve">MUY PREGUNTADO — Cuadro resumen de los derechos ARCO-POL</w:t>
      </w:r>
      <w:r>
        <w:t xml:space="preserve"> (memorizar la correspondencia artículo–derecho, es de las preguntas más repetidas en oposiciones):</w:t>
      </w:r>
    </w:p>
    <w:p>
      <w:pPr>
        <w:spacing w:after="120"/>
        <w:jc w:val="both"/>
      </w:pPr>
      <w:r>
        <w:t xml:space="preserve">| Derecho | Artículo LOPDGDD | Artículo RGPD |</w:t>
      </w:r>
    </w:p>
    <w:p>
      <w:pPr>
        <w:spacing w:after="120"/>
        <w:jc w:val="both"/>
      </w:pPr>
      <w:r>
        <w:t xml:space="preserve">|---|---|---|</w:t>
      </w:r>
    </w:p>
    <w:p>
      <w:pPr>
        <w:spacing w:after="120"/>
        <w:jc w:val="both"/>
      </w:pPr>
      <w:r>
        <w:t xml:space="preserve">| Acceso | Art. 13 | Art. 15 |</w:t>
      </w:r>
    </w:p>
    <w:p>
      <w:pPr>
        <w:spacing w:after="120"/>
        <w:jc w:val="both"/>
      </w:pPr>
      <w:r>
        <w:t xml:space="preserve">| Rectificación | Art. 14 | Art. 16 |</w:t>
      </w:r>
    </w:p>
    <w:p>
      <w:pPr>
        <w:spacing w:after="120"/>
        <w:jc w:val="both"/>
      </w:pPr>
      <w:r>
        <w:t xml:space="preserve">| Supresión (olvido) | Art. 15 | Art. 17 |</w:t>
      </w:r>
    </w:p>
    <w:p>
      <w:pPr>
        <w:spacing w:after="120"/>
        <w:jc w:val="both"/>
      </w:pPr>
      <w:r>
        <w:t xml:space="preserve">| Limitación del tratamiento | Art. 16 | Art. 18 |</w:t>
      </w:r>
    </w:p>
    <w:p>
      <w:pPr>
        <w:spacing w:after="120"/>
        <w:jc w:val="both"/>
      </w:pPr>
      <w:r>
        <w:t xml:space="preserve">| Portabilidad | Art. 17 | Art. 20 |</w:t>
      </w:r>
    </w:p>
    <w:p>
      <w:pPr>
        <w:spacing w:after="120"/>
        <w:jc w:val="both"/>
      </w:pPr>
      <w:r>
        <w:t xml:space="preserve">| Oposición | Art. 18 | Art. 21 |</w:t>
      </w:r>
    </w:p>
    <w:p>
      <w:pPr>
        <w:pBdr>
          <w:bottom w:val="single" w:color="AAAAAA" w:sz="6" w:space="1"/>
        </w:pBdr>
        <w:spacing w:after="200"/>
      </w:pPr>
    </w:p>
    <w:p>
      <w:pPr>
        <w:pStyle w:val="Heading2"/>
        <w:spacing w:after="120" w:before="260"/>
      </w:pPr>
      <w:r>
        <w:t xml:space="preserve">TÍTULO V. Responsable y encargado del tratamiento (arts. 28 a 39)</w:t>
      </w:r>
    </w:p>
    <w:p>
      <w:pPr>
        <w:spacing w:after="120"/>
        <w:jc w:val="both"/>
      </w:pPr>
      <w:r>
        <w:t xml:space="preserve">Se estructura en </w:t>
      </w:r>
      <w:r>
        <w:rPr>
          <w:b/>
          <w:bCs/>
        </w:rPr>
        <w:t xml:space="preserve">cuatro capítulos</w:t>
      </w:r>
      <w:r>
        <w:t xml:space="preserve">: Capítulo I (Disposiciones generales. Medidas de responsabilidad activa, arts. 28-32), Capítulo II (Encargado del tratamiento, art. 33), Capítulo III (Delegado de protección de datos, arts. 34-37) y Capítulo IV (Mecanismos de autorregulación y certificación, arts. 38-39).</w:t>
      </w:r>
    </w:p>
    <w:p>
      <w:pPr>
        <w:pStyle w:val="Heading3"/>
        <w:spacing w:after="100" w:before="200"/>
      </w:pPr>
      <w:r>
        <w:t xml:space="preserve">Idea previa: el principio de "responsabilidad proactiva" (accountability)</w:t>
      </w:r>
    </w:p>
    <w:p>
      <w:pPr>
        <w:spacing w:after="120"/>
        <w:jc w:val="both"/>
      </w:pPr>
      <w:r>
        <w:t xml:space="preserve">Todo este título desarrolla el principio de </w:t>
      </w:r>
      <w:r>
        <w:rPr>
          <w:b/>
          <w:bCs/>
        </w:rPr>
        <w:t xml:space="preserve">responsabilidad activa</w:t>
      </w:r>
      <w:r>
        <w:t xml:space="preserve"> del art. 5.2 y 24 RGPD: el responsable ya no se limita a "cumplir la ley", sino que debe </w:t>
      </w:r>
      <w:r>
        <w:rPr>
          <w:b/>
          <w:bCs/>
        </w:rPr>
        <w:t xml:space="preserve">poder demostrar</w:t>
      </w:r>
      <w:r>
        <w:t xml:space="preserve"> que cumple, mediante medidas técnicas y organizativas apropiadas, análisis de riesgos, políticas de protección de datos, registros de actividades, etc. Este cambio de paradigma (de un control "a posteriori" a uno "preventivo y demostrable") es un concepto muy preguntado en test conceptual.</w:t>
      </w:r>
    </w:p>
    <w:p>
      <w:pPr>
        <w:pStyle w:val="Heading3"/>
        <w:spacing w:after="100" w:before="200"/>
      </w:pPr>
      <w:r>
        <w:t xml:space="preserve">Artículo 28. Obligaciones generales del responsable y encargado del tratamiento</w:t>
      </w:r>
    </w:p>
    <w:p>
      <w:pPr>
        <w:pStyle w:val="ListParagraph"/>
        <w:numPr>
          <w:ilvl w:val="0"/>
          <w:numId w:val="3"/>
        </w:numPr>
        <w:spacing w:after="60"/>
      </w:pPr>
      <w:r>
        <w:t xml:space="preserve">Responsable y encargado determinarán las medidas técnicas y organizativas apropiadas conforme a los arts. 24 y 25 RGPD, valorando en particular si procede realizar una </w:t>
      </w:r>
      <w:r>
        <w:rPr>
          <w:b/>
          <w:bCs/>
        </w:rPr>
        <w:t xml:space="preserve">evaluación de impacto</w:t>
      </w:r>
      <w:r>
        <w:t xml:space="preserve"> (art. 35 RGPD) y una consulta previa a la autoridad de control (art. 36 RGPD).</w:t>
      </w:r>
    </w:p>
    <w:p>
      <w:pPr>
        <w:pStyle w:val="ListParagraph"/>
        <w:numPr>
          <w:ilvl w:val="0"/>
          <w:numId w:val="3"/>
        </w:numPr>
        <w:spacing w:after="60"/>
      </w:pPr>
      <w:r>
        <w:t xml:space="preserve">El artículo da un listado orientativo de </w:t>
      </w:r>
      <w:r>
        <w:rPr>
          <w:b/>
          <w:bCs/>
        </w:rPr>
        <w:t xml:space="preserve">factores de riesgo agravado</w:t>
      </w:r>
      <w:r>
        <w:t xml:space="preserve"> a valorar: posibilidad de discriminación, usurpación de identidad, fraude financiero, pérdida de confidencialidad, tratamiento de categorías especiales de datos con carácter no meramente incidental, elaboración de perfiles, datos de menores o personas especialmente vulnerables, tratamiento masivo de datos, transferencias internacionales a países sin nivel adecuado de protección, entre otros.</w:t>
      </w:r>
    </w:p>
    <w:p>
      <w:pPr>
        <w:spacing w:after="120"/>
        <w:jc w:val="both"/>
      </w:pPr>
      <w:r>
        <w:rPr>
          <w:b/>
          <w:bCs/>
        </w:rPr>
        <w:t xml:space="preserve">Idea de examen</w:t>
      </w:r>
      <w:r>
        <w:t xml:space="preserve">: no hay una lista cerrada y automática de "cuándo hay que hacer una evaluación de impacto"; es el propio responsable quien debe </w:t>
      </w:r>
      <w:r>
        <w:rPr>
          <w:b/>
          <w:bCs/>
        </w:rPr>
        <w:t xml:space="preserve">valorarlo</w:t>
      </w:r>
      <w:r>
        <w:t xml:space="preserve"> atendiendo a estos criterios de riesgo (aunque el RGPD, a través de las listas de la AEPD, complementa esta valoración con supuestos concretos).</w:t>
      </w:r>
    </w:p>
    <w:p>
      <w:pPr>
        <w:pStyle w:val="Heading3"/>
        <w:spacing w:after="100" w:before="200"/>
      </w:pPr>
      <w:r>
        <w:t xml:space="preserve">Artículo 29. Supuestos de corresponsabilidad en el tratamiento</w:t>
      </w:r>
    </w:p>
    <w:p>
      <w:pPr>
        <w:spacing w:after="120"/>
        <w:jc w:val="both"/>
      </w:pPr>
      <w:r>
        <w:t xml:space="preserve">Regula, en desarrollo del art. 26 RGPD, cómo se reparten obligaciones cuando </w:t>
      </w:r>
      <w:r>
        <w:rPr>
          <w:b/>
          <w:bCs/>
        </w:rPr>
        <w:t xml:space="preserve">dos o más responsables determinan conjuntamente</w:t>
      </w:r>
      <w:r>
        <w:t xml:space="preserve"> los fines y medios del tratamiento (corresponsables). Deben fijar de manera transparente, mediante acuerdo interno, sus respectivas responsabilidades.</w:t>
      </w:r>
    </w:p>
    <w:p>
      <w:pPr>
        <w:pStyle w:val="Heading3"/>
        <w:spacing w:after="100" w:before="200"/>
      </w:pPr>
      <w:r>
        <w:t xml:space="preserve">Artículo 30. Representantes de los responsables o encargados no establecidos en la Unión Europea</w:t>
      </w:r>
    </w:p>
    <w:p>
      <w:pPr>
        <w:spacing w:after="120"/>
        <w:jc w:val="both"/>
      </w:pPr>
      <w:r>
        <w:t xml:space="preserve">Cuando el RGPD exija (art. 27 RGPD) que un responsable o encargado establecido fuera de la UE designe un representante en un Estado miembro donde se encuentren los interesados afectados, ese representante deberá estar establecido en alguno de los Estados miembros donde se encuentren dichos afectados.</w:t>
      </w:r>
    </w:p>
    <w:p>
      <w:pPr>
        <w:pStyle w:val="Heading3"/>
        <w:spacing w:after="100" w:before="200"/>
      </w:pPr>
      <w:r>
        <w:t xml:space="preserve">Artículo 31. Registro de actividades de tratamiento</w:t>
      </w:r>
    </w:p>
    <w:p>
      <w:pPr>
        <w:spacing w:after="120"/>
        <w:jc w:val="both"/>
      </w:pPr>
      <w:r>
        <w:t xml:space="preserve">Desarrolla el art. 30 RGPD: obligación (con las excepciones que fija el propio RGPD para entidades de menos de 250 empleados, salvo determinados supuestos de riesgo) de llevar un </w:t>
      </w:r>
      <w:r>
        <w:rPr>
          <w:b/>
          <w:bCs/>
        </w:rPr>
        <w:t xml:space="preserve">registro</w:t>
      </w:r>
      <w:r>
        <w:t xml:space="preserve"> interno con la descripción de las finalidades, categorías de interesados y datos, destinatarios, plazos de supresión previstos y, en su caso, medidas de seguridad.</w:t>
      </w:r>
    </w:p>
    <w:p>
      <w:pPr>
        <w:spacing w:after="120"/>
        <w:jc w:val="both"/>
      </w:pPr>
      <w:r>
        <w:rPr>
          <w:b/>
          <w:bCs/>
        </w:rPr>
        <w:t xml:space="preserve">Ejemplo de examen</w:t>
      </w:r>
      <w:r>
        <w:t xml:space="preserve">: es el documento que sustituyó a la antigua </w:t>
      </w:r>
      <w:r>
        <w:rPr>
          <w:b/>
          <w:bCs/>
        </w:rPr>
        <w:t xml:space="preserve">inscripción de ficheros ante la AEPD</w:t>
      </w:r>
      <w:r>
        <w:t xml:space="preserve"> que existía con la LOPD de 1999 (ya derogada) — con el RGPD ya </w:t>
      </w:r>
      <w:r>
        <w:rPr>
          <w:b/>
          <w:bCs/>
        </w:rPr>
        <w:t xml:space="preserve">no hay que inscribir los ficheros</w:t>
      </w:r>
      <w:r>
        <w:t xml:space="preserve">, sino llevar este registro interno de actividades de tratamiento.</w:t>
      </w:r>
    </w:p>
    <w:p>
      <w:pPr>
        <w:pStyle w:val="Heading3"/>
        <w:spacing w:after="100" w:before="200"/>
      </w:pPr>
      <w:r>
        <w:t xml:space="preserve">Artículo 32. Bloqueo de los datos</w:t>
      </w:r>
    </w:p>
    <w:p>
      <w:pPr>
        <w:pStyle w:val="ListParagraph"/>
        <w:numPr>
          <w:ilvl w:val="0"/>
          <w:numId w:val="3"/>
        </w:numPr>
        <w:spacing w:after="60"/>
      </w:pPr>
      <w:r>
        <w:t xml:space="preserve">Regla técnica transversal: cuando proceda el bloqueo de datos previsto en el RGPD y esta ley (por ejemplo, tras una solicitud de supresión que deba conservarse por posibles responsabilidades), el responsable debe </w:t>
      </w:r>
      <w:r>
        <w:rPr>
          <w:b/>
          <w:bCs/>
        </w:rPr>
        <w:t xml:space="preserve">identificar</w:t>
      </w:r>
      <w:r>
        <w:t xml:space="preserve"> los datos y </w:t>
      </w:r>
      <w:r>
        <w:rPr>
          <w:b/>
          <w:bCs/>
        </w:rPr>
        <w:t xml:space="preserve">restringir su tratamiento</w:t>
      </w:r>
      <w:r>
        <w:t xml:space="preserve">, impidiendo su acceso salvo para la puesta a disposición de jueces, tribunales, Ministerio Fiscal o Administraciones Públicas competentes, exclusivamente para exigir posibles responsabilidades derivadas del tratamiento, durante el plazo de prescripción de estas.</w:t>
      </w:r>
    </w:p>
    <w:p>
      <w:pPr>
        <w:pStyle w:val="ListParagraph"/>
        <w:numPr>
          <w:ilvl w:val="0"/>
          <w:numId w:val="3"/>
        </w:numPr>
        <w:spacing w:after="60"/>
      </w:pPr>
      <w:r>
        <w:t xml:space="preserve">Transcurrido ese plazo, se debe proceder a la </w:t>
      </w:r>
      <w:r>
        <w:rPr>
          <w:b/>
          <w:bCs/>
        </w:rPr>
        <w:t xml:space="preserve">destrucción</w:t>
      </w:r>
      <w:r>
        <w:t xml:space="preserve"> de los datos.</w:t>
      </w:r>
    </w:p>
    <w:p>
      <w:pPr>
        <w:pStyle w:val="Heading3"/>
        <w:spacing w:after="100" w:before="200"/>
      </w:pPr>
      <w:r>
        <w:t xml:space="preserve">Artículo 33. Encargado del tratamiento (Capítulo II)</w:t>
      </w:r>
    </w:p>
    <w:p>
      <w:pPr>
        <w:spacing w:after="120"/>
        <w:jc w:val="both"/>
      </w:pPr>
      <w:r>
        <w:t xml:space="preserve">Concepto clave: el </w:t>
      </w:r>
      <w:r>
        <w:rPr>
          <w:b/>
          <w:bCs/>
        </w:rPr>
        <w:t xml:space="preserve">encargado</w:t>
      </w:r>
      <w:r>
        <w:t xml:space="preserve"> es quien trata datos </w:t>
      </w:r>
      <w:r>
        <w:rPr>
          <w:b/>
          <w:bCs/>
        </w:rPr>
        <w:t xml:space="preserve">por cuenta del responsable</w:t>
      </w:r>
      <w:r>
        <w:t xml:space="preserve">, en virtud de un contrato o acto jurídico (art. 28 RGPD).</w:t>
      </w:r>
    </w:p>
    <w:p>
      <w:pPr>
        <w:pStyle w:val="ListParagraph"/>
        <w:numPr>
          <w:ilvl w:val="0"/>
          <w:numId w:val="3"/>
        </w:numPr>
        <w:spacing w:after="60"/>
      </w:pPr>
      <w:r>
        <w:t xml:space="preserve">El acceso del encargado a los datos necesarios para prestar un servicio al responsable </w:t>
      </w:r>
      <w:r>
        <w:rPr>
          <w:b/>
          <w:bCs/>
        </w:rPr>
        <w:t xml:space="preserve">no se considera comunicación de datos</w:t>
      </w:r>
      <w:r>
        <w:t xml:space="preserve"> a terceros, siempre que se respete lo establecido en la normativa.</w:t>
      </w:r>
    </w:p>
    <w:p>
      <w:pPr>
        <w:pStyle w:val="ListParagraph"/>
        <w:numPr>
          <w:ilvl w:val="0"/>
          <w:numId w:val="3"/>
        </w:numPr>
        <w:spacing w:after="60"/>
      </w:pPr>
      <w:r>
        <w:t xml:space="preserve">Quien establezca relaciones con los afectados en </w:t>
      </w:r>
      <w:r>
        <w:rPr>
          <w:b/>
          <w:bCs/>
        </w:rPr>
        <w:t xml:space="preserve">nombre propio</w:t>
      </w:r>
      <w:r>
        <w:t xml:space="preserve"> (por ejemplo, deciden ellos las finalidades) tendrá la consideración de </w:t>
      </w:r>
      <w:r>
        <w:rPr>
          <w:b/>
          <w:bCs/>
        </w:rPr>
        <w:t xml:space="preserve">responsable</w:t>
      </w:r>
      <w:r>
        <w:t xml:space="preserve">, no de encargado, aunque hayan firmado un contrato que le llame "encargado". Del mismo modo, si el encargado destina los datos a </w:t>
      </w:r>
      <w:r>
        <w:rPr>
          <w:b/>
          <w:bCs/>
        </w:rPr>
        <w:t xml:space="preserve">finalidades propias</w:t>
      </w:r>
      <w:r>
        <w:t xml:space="preserve"> distintas del servicio contratado, se convierte en responsable de ese tratamiento.</w:t>
      </w:r>
    </w:p>
    <w:p>
      <w:pPr>
        <w:pStyle w:val="ListParagraph"/>
        <w:numPr>
          <w:ilvl w:val="0"/>
          <w:numId w:val="3"/>
        </w:numPr>
        <w:spacing w:after="60"/>
      </w:pPr>
      <w:r>
        <w:t xml:space="preserve">Al finalizar la prestación del servicio, el responsable determinará si los datos deben ser </w:t>
      </w:r>
      <w:r>
        <w:rPr>
          <w:b/>
          <w:bCs/>
        </w:rPr>
        <w:t xml:space="preserve">destruidos, devueltos o entregados a un nuevo encargado</w:t>
      </w:r>
      <w:r>
        <w:t xml:space="preserve">. No procederá la destrucción cuando exista una previsión legal que exija la conservación (por ejemplo, obligaciones fiscales o de posibles responsabilidades).</w:t>
      </w:r>
    </w:p>
    <w:p>
      <w:pPr>
        <w:pStyle w:val="ListParagraph"/>
        <w:numPr>
          <w:ilvl w:val="0"/>
          <w:numId w:val="3"/>
        </w:numPr>
        <w:spacing w:after="60"/>
      </w:pPr>
      <w:r>
        <w:t xml:space="preserve">El encargado podrá </w:t>
      </w:r>
      <w:r>
        <w:rPr>
          <w:b/>
          <w:bCs/>
        </w:rPr>
        <w:t xml:space="preserve">conservar los datos bloqueados</w:t>
      </w:r>
      <w:r>
        <w:t xml:space="preserve"> mientras puedan derivarse responsabilidades de su relación con el responsable.</w:t>
      </w:r>
    </w:p>
    <w:p>
      <w:pPr>
        <w:spacing w:after="120"/>
        <w:jc w:val="both"/>
      </w:pPr>
      <w:r>
        <w:t xml:space="preserve">⚠️ </w:t>
      </w:r>
      <w:r>
        <w:rPr>
          <w:b/>
          <w:bCs/>
        </w:rPr>
        <w:t xml:space="preserve">MUY PREGUNTADO</w:t>
      </w:r>
      <w:r>
        <w:t xml:space="preserve">: la diferencia entre responsable y encargado es la </w:t>
      </w:r>
      <w:r>
        <w:rPr>
          <w:b/>
          <w:bCs/>
        </w:rPr>
        <w:t xml:space="preserve">capacidad de decidir los fines y medios del tratamiento</w:t>
      </w:r>
      <w:r>
        <w:t xml:space="preserve">; el encargado nunca puede usar los datos para "lo que le convenga", si lo hace pasa a ser responsable de esa parte del tratamiento (con toda la responsabilidad que ello conlleva).</w:t>
      </w:r>
    </w:p>
    <w:p>
      <w:pPr>
        <w:pStyle w:val="Heading3"/>
        <w:spacing w:after="100" w:before="200"/>
      </w:pPr>
      <w:r>
        <w:t xml:space="preserve">Artículo 34. Designación de un delegado de protección de datos (DPO) (Capítulo III)</w:t>
      </w:r>
    </w:p>
    <w:p>
      <w:pPr>
        <w:spacing w:after="120"/>
        <w:jc w:val="both"/>
      </w:pPr>
      <w:r>
        <w:t xml:space="preserve">Otro de los artículos más preguntados del temario, junto con el art. 7.</w:t>
      </w:r>
    </w:p>
    <w:p>
      <w:pPr>
        <w:pStyle w:val="ListParagraph"/>
        <w:numPr>
          <w:ilvl w:val="0"/>
          <w:numId w:val="3"/>
        </w:numPr>
        <w:spacing w:after="60"/>
      </w:pPr>
      <w:r>
        <w:t xml:space="preserve">Además de los supuestos ya previstos en el art. 37 RGPD (organismos públicos; actividades principales que exijan observación habitual y sistemática de interesados a gran escala; tratamiento a gran escala de categorías especiales de datos), la LOPDGDD </w:t>
      </w:r>
      <w:r>
        <w:rPr>
          <w:b/>
          <w:bCs/>
        </w:rPr>
        <w:t xml:space="preserve">añade una lista propia de entidades para las que la designación es obligatoria</w:t>
      </w:r>
      <w:r>
        <w:t xml:space="preserve">, entre otras:</w:t>
      </w:r>
    </w:p>
    <w:p>
      <w:pPr>
        <w:pStyle w:val="ListParagraph"/>
        <w:numPr>
          <w:ilvl w:val="1"/>
          <w:numId w:val="3"/>
        </w:numPr>
        <w:spacing w:after="60"/>
      </w:pPr>
      <w:r>
        <w:t xml:space="preserve">Colegios profesionales y consejos generales de colegios profesionales.</w:t>
      </w:r>
    </w:p>
    <w:p>
      <w:pPr>
        <w:pStyle w:val="ListParagraph"/>
        <w:numPr>
          <w:ilvl w:val="1"/>
          <w:numId w:val="3"/>
        </w:numPr>
        <w:spacing w:after="60"/>
      </w:pPr>
      <w:r>
        <w:t xml:space="preserve">Centros docentes que ofrezcan enseñanzas reguladas en la Ley Orgánica de Educación, y universidades públicas y privadas.</w:t>
      </w:r>
    </w:p>
    <w:p>
      <w:pPr>
        <w:pStyle w:val="ListParagraph"/>
        <w:numPr>
          <w:ilvl w:val="1"/>
          <w:numId w:val="3"/>
        </w:numPr>
        <w:spacing w:after="60"/>
      </w:pPr>
      <w:r>
        <w:t xml:space="preserve">Entidades que exploten redes y presten servicios de comunicaciones electrónicas, cuando traten habitual y sistemáticamente datos personales a gran escala.</w:t>
      </w:r>
    </w:p>
    <w:p>
      <w:pPr>
        <w:pStyle w:val="ListParagraph"/>
        <w:numPr>
          <w:ilvl w:val="1"/>
          <w:numId w:val="3"/>
        </w:numPr>
        <w:spacing w:after="60"/>
      </w:pPr>
      <w:r>
        <w:t xml:space="preserve">Prestadores de servicios de la sociedad de la información cuando elaboren perfiles de los usuarios a gran escala.</w:t>
      </w:r>
    </w:p>
    <w:p>
      <w:pPr>
        <w:pStyle w:val="ListParagraph"/>
        <w:numPr>
          <w:ilvl w:val="1"/>
          <w:numId w:val="3"/>
        </w:numPr>
        <w:spacing w:after="60"/>
      </w:pPr>
      <w:r>
        <w:t xml:space="preserve">Entidades incluidas en el art. 1 de la Ley 10/2014 de ordenación, supervisión y solvencia de entidades de crédito.</w:t>
      </w:r>
    </w:p>
    <w:p>
      <w:pPr>
        <w:pStyle w:val="ListParagraph"/>
        <w:numPr>
          <w:ilvl w:val="1"/>
          <w:numId w:val="3"/>
        </w:numPr>
        <w:spacing w:after="60"/>
      </w:pPr>
      <w:r>
        <w:t xml:space="preserve">Establecimientos financieros de crédito.</w:t>
      </w:r>
    </w:p>
    <w:p>
      <w:pPr>
        <w:pStyle w:val="ListParagraph"/>
        <w:numPr>
          <w:ilvl w:val="1"/>
          <w:numId w:val="3"/>
        </w:numPr>
        <w:spacing w:after="60"/>
      </w:pPr>
      <w:r>
        <w:t xml:space="preserve">Entidades aseguradoras y reaseguradoras.</w:t>
      </w:r>
    </w:p>
    <w:p>
      <w:pPr>
        <w:pStyle w:val="ListParagraph"/>
        <w:numPr>
          <w:ilvl w:val="1"/>
          <w:numId w:val="3"/>
        </w:numPr>
        <w:spacing w:after="60"/>
      </w:pPr>
      <w:r>
        <w:t xml:space="preserve">Empresas de servicios de inversión.</w:t>
      </w:r>
    </w:p>
    <w:p>
      <w:pPr>
        <w:pStyle w:val="ListParagraph"/>
        <w:numPr>
          <w:ilvl w:val="1"/>
          <w:numId w:val="3"/>
        </w:numPr>
        <w:spacing w:after="60"/>
      </w:pPr>
      <w:r>
        <w:t xml:space="preserve">Distribuidoras y comercializadoras de energía eléctrica y de gas natural.</w:t>
      </w:r>
    </w:p>
    <w:p>
      <w:pPr>
        <w:pStyle w:val="ListParagraph"/>
        <w:numPr>
          <w:ilvl w:val="1"/>
          <w:numId w:val="3"/>
        </w:numPr>
        <w:spacing w:after="60"/>
      </w:pPr>
      <w:r>
        <w:t xml:space="preserve">Entidades responsables de ficheros comunes de solvencia patrimonial y crédito, o de gestión de sistemas de exclusión publicitaria.</w:t>
      </w:r>
    </w:p>
    <w:p>
      <w:pPr>
        <w:pStyle w:val="ListParagraph"/>
        <w:numPr>
          <w:ilvl w:val="1"/>
          <w:numId w:val="3"/>
        </w:numPr>
        <w:spacing w:after="60"/>
      </w:pPr>
      <w:r>
        <w:t xml:space="preserve">Entidades que desarrollen actividades de publicidad y prospección comercial a gran escala.</w:t>
      </w:r>
    </w:p>
    <w:p>
      <w:pPr>
        <w:pStyle w:val="ListParagraph"/>
        <w:numPr>
          <w:ilvl w:val="1"/>
          <w:numId w:val="3"/>
        </w:numPr>
        <w:spacing w:after="60"/>
      </w:pPr>
      <w:r>
        <w:t xml:space="preserve">Centros sanitarios legalmente obligados al mantenimiento de las historias clínicas.</w:t>
      </w:r>
    </w:p>
    <w:p>
      <w:pPr>
        <w:pStyle w:val="ListParagraph"/>
        <w:numPr>
          <w:ilvl w:val="1"/>
          <w:numId w:val="3"/>
        </w:numPr>
        <w:spacing w:after="60"/>
      </w:pPr>
      <w:r>
        <w:t xml:space="preserve">Entidades cuya actividad principal consista en la elaboración de perfiles a gran escala.</w:t>
      </w:r>
    </w:p>
    <w:p>
      <w:pPr>
        <w:pStyle w:val="ListParagraph"/>
        <w:numPr>
          <w:ilvl w:val="1"/>
          <w:numId w:val="3"/>
        </w:numPr>
        <w:spacing w:after="60"/>
      </w:pPr>
      <w:r>
        <w:t xml:space="preserve">Federaciones deportivas cuando traten datos de menores de edad.</w:t>
      </w:r>
    </w:p>
    <w:p>
      <w:pPr>
        <w:pStyle w:val="ListParagraph"/>
        <w:numPr>
          <w:ilvl w:val="0"/>
          <w:numId w:val="3"/>
        </w:numPr>
        <w:spacing w:after="60"/>
      </w:pPr>
      <w:r>
        <w:t xml:space="preserve">Otros responsables y encargados </w:t>
      </w:r>
      <w:r>
        <w:rPr>
          <w:b/>
          <w:bCs/>
        </w:rPr>
        <w:t xml:space="preserve">pueden nombrarlo voluntariamente</w:t>
      </w:r>
      <w:r>
        <w:t xml:space="preserve">, aunque no estén obligados.</w:t>
      </w:r>
    </w:p>
    <w:p>
      <w:pPr>
        <w:pStyle w:val="ListParagraph"/>
        <w:numPr>
          <w:ilvl w:val="0"/>
          <w:numId w:val="3"/>
        </w:numPr>
        <w:spacing w:after="60"/>
      </w:pPr>
      <w:r>
        <w:t xml:space="preserve">El responsable o encargado debe </w:t>
      </w:r>
      <w:r>
        <w:rPr>
          <w:b/>
          <w:bCs/>
        </w:rPr>
        <w:t xml:space="preserve">comunicar</w:t>
      </w:r>
      <w:r>
        <w:t xml:space="preserve"> a la Agencia Española de Protección de Datos (o autoridad autonómica) las designaciones, nombramientos y ceses de los delegados </w:t>
      </w:r>
      <w:r>
        <w:rPr>
          <w:b/>
          <w:bCs/>
        </w:rPr>
        <w:t xml:space="preserve">en el plazo de 10 días</w:t>
      </w:r>
      <w:r>
        <w:t xml:space="preserve">.</w:t>
      </w:r>
    </w:p>
    <w:p>
      <w:pPr>
        <w:pStyle w:val="ListParagraph"/>
        <w:numPr>
          <w:ilvl w:val="0"/>
          <w:numId w:val="3"/>
        </w:numPr>
        <w:spacing w:after="60"/>
      </w:pPr>
      <w:r>
        <w:t xml:space="preserve">Las autoridades de control mantienen una </w:t>
      </w:r>
      <w:r>
        <w:rPr>
          <w:b/>
          <w:bCs/>
        </w:rPr>
        <w:t xml:space="preserve">lista pública</w:t>
      </w:r>
      <w:r>
        <w:t xml:space="preserve"> actualizada de delegados.</w:t>
      </w:r>
    </w:p>
    <w:p>
      <w:pPr>
        <w:pStyle w:val="ListParagraph"/>
        <w:numPr>
          <w:ilvl w:val="0"/>
          <w:numId w:val="3"/>
        </w:numPr>
        <w:spacing w:after="60"/>
      </w:pPr>
      <w:r>
        <w:t xml:space="preserve">El puesto de DPO puede ejercerse con dedicación total o parcial, y puede ser interno o externo (prestación de servicios).</w:t>
      </w:r>
    </w:p>
    <w:p>
      <w:pPr>
        <w:spacing w:after="120"/>
        <w:jc w:val="both"/>
      </w:pPr>
      <w:r>
        <w:t xml:space="preserve">⚠️ </w:t>
      </w:r>
      <w:r>
        <w:rPr>
          <w:b/>
          <w:bCs/>
        </w:rPr>
        <w:t xml:space="preserve">MUY PREGUNTADO</w:t>
      </w:r>
      <w:r>
        <w:t xml:space="preserve">: fijar el </w:t>
      </w:r>
      <w:r>
        <w:rPr>
          <w:b/>
          <w:bCs/>
        </w:rPr>
        <w:t xml:space="preserve">plazo de 10 días</w:t>
      </w:r>
      <w:r>
        <w:t xml:space="preserve"> para comunicar la designación a la AEPD.</w:t>
      </w:r>
    </w:p>
    <w:p>
      <w:pPr>
        <w:pStyle w:val="Heading3"/>
        <w:spacing w:after="100" w:before="200"/>
      </w:pPr>
      <w:r>
        <w:t xml:space="preserve">Artículo 35. Cualificación del delegado de protección de datos</w:t>
      </w:r>
    </w:p>
    <w:p>
      <w:pPr>
        <w:pStyle w:val="ListParagraph"/>
        <w:numPr>
          <w:ilvl w:val="0"/>
          <w:numId w:val="3"/>
        </w:numPr>
        <w:spacing w:after="60"/>
      </w:pPr>
      <w:r>
        <w:t xml:space="preserve">Debe contar con conocimientos especializados en Derecho y en la práctica en materia de protección de datos, que podrán acreditarse mediante certificación (por ejemplo, esquemas de certificación reconocidos oficialmente por la AEPD, aunque la certificación no es obligatoria, solo un mecanismo válido de acreditación).</w:t>
      </w:r>
    </w:p>
    <w:p>
      <w:pPr>
        <w:pStyle w:val="Heading3"/>
        <w:spacing w:after="100" w:before="200"/>
      </w:pPr>
      <w:r>
        <w:t xml:space="preserve">Artículo 36. Posición del delegado de protección de datos</w:t>
      </w:r>
    </w:p>
    <w:p>
      <w:pPr>
        <w:pStyle w:val="ListParagraph"/>
        <w:numPr>
          <w:ilvl w:val="0"/>
          <w:numId w:val="3"/>
        </w:numPr>
        <w:spacing w:after="60"/>
      </w:pPr>
      <w:r>
        <w:t xml:space="preserve">Actúa como </w:t>
      </w:r>
      <w:r>
        <w:rPr>
          <w:b/>
          <w:bCs/>
        </w:rPr>
        <w:t xml:space="preserve">interlocutor</w:t>
      </w:r>
      <w:r>
        <w:t xml:space="preserve"> del responsable/encargado ante las autoridades de control, y como punto de contacto para los interesados.</w:t>
      </w:r>
    </w:p>
    <w:p>
      <w:pPr>
        <w:pStyle w:val="ListParagraph"/>
        <w:numPr>
          <w:ilvl w:val="0"/>
          <w:numId w:val="3"/>
        </w:numPr>
        <w:spacing w:after="60"/>
      </w:pPr>
      <w:r>
        <w:rPr>
          <w:b/>
          <w:bCs/>
        </w:rPr>
        <w:t xml:space="preserve">Garantía de independencia (muy examinable)</w:t>
      </w:r>
      <w:r>
        <w:t xml:space="preserve">: cuando el delegado forme parte del personal del responsable o encargado, </w:t>
      </w:r>
      <w:r>
        <w:rPr>
          <w:b/>
          <w:bCs/>
        </w:rPr>
        <w:t xml:space="preserve">no podrá ser removido ni sancionado por desempeñar sus funciones, salvo que incurriera en dolo o negligencia grave</w:t>
      </w:r>
      <w:r>
        <w:t xml:space="preserve"> en su ejercicio.</w:t>
      </w:r>
    </w:p>
    <w:p>
      <w:pPr>
        <w:pStyle w:val="ListParagraph"/>
        <w:numPr>
          <w:ilvl w:val="0"/>
          <w:numId w:val="3"/>
        </w:numPr>
        <w:spacing w:after="60"/>
      </w:pPr>
      <w:r>
        <w:t xml:space="preserve">Debe tener acceso a los datos personales y a los procesos de tratamiento necesarios para el desempeño de sus funciones, sin que se le pueda oponer el deber de confidencialidad frente a él.</w:t>
      </w:r>
    </w:p>
    <w:p>
      <w:pPr>
        <w:pStyle w:val="ListParagraph"/>
        <w:numPr>
          <w:ilvl w:val="0"/>
          <w:numId w:val="3"/>
        </w:numPr>
        <w:spacing w:after="60"/>
      </w:pPr>
      <w:r>
        <w:t xml:space="preserve">El delegado debe </w:t>
      </w:r>
      <w:r>
        <w:rPr>
          <w:b/>
          <w:bCs/>
        </w:rPr>
        <w:t xml:space="preserve">documentar y comunicar</w:t>
      </w:r>
      <w:r>
        <w:t xml:space="preserve"> al órgano superior de gobierno del responsable o encargado las vulneraciones de seguridad que hayan podido producirse.</w:t>
      </w:r>
    </w:p>
    <w:p>
      <w:pPr>
        <w:spacing w:after="120"/>
        <w:jc w:val="both"/>
      </w:pPr>
      <w:r>
        <w:t xml:space="preserve">⚠️ </w:t>
      </w:r>
      <w:r>
        <w:rPr>
          <w:b/>
          <w:bCs/>
        </w:rPr>
        <w:t xml:space="preserve">MUY PREGUNTADO</w:t>
      </w:r>
      <w:r>
        <w:t xml:space="preserve">: la garantía de "</w:t>
      </w:r>
      <w:r>
        <w:rPr>
          <w:b/>
          <w:bCs/>
        </w:rPr>
        <w:t xml:space="preserve">inamovilidad relativa</w:t>
      </w:r>
      <w:r>
        <w:t xml:space="preserve">" (no despido/sanción salvo dolo o negligencia grave) es el rasgo distintivo de esta figura, comparable en espíritu a otras figuras de "garantía de independencia" del ordenamiento (como los representantes de los trabajadores).</w:t>
      </w:r>
    </w:p>
    <w:p>
      <w:pPr>
        <w:pStyle w:val="Heading3"/>
        <w:spacing w:after="100" w:before="200"/>
      </w:pPr>
      <w:r>
        <w:t xml:space="preserve">Artículo 37. Intervención del delegado de protección de datos en caso de reclamación ante las autoridades de control</w:t>
      </w:r>
    </w:p>
    <w:p>
      <w:pPr>
        <w:spacing w:after="120"/>
        <w:jc w:val="both"/>
      </w:pPr>
      <w:r>
        <w:t xml:space="preserve">Regula un mecanismo de </w:t>
      </w:r>
      <w:r>
        <w:rPr>
          <w:b/>
          <w:bCs/>
        </w:rPr>
        <w:t xml:space="preserve">reclamación previa "extrajudicial" o prejudicial</w:t>
      </w:r>
      <w:r>
        <w:t xml:space="preserve"> ante el DPO, pensado para descongestionar a la AEPD:</w:t>
      </w:r>
    </w:p>
    <w:p>
      <w:pPr>
        <w:pStyle w:val="ListParagraph"/>
        <w:numPr>
          <w:ilvl w:val="0"/>
          <w:numId w:val="3"/>
        </w:numPr>
        <w:spacing w:after="60"/>
      </w:pPr>
      <w:r>
        <w:rPr>
          <w:b/>
          <w:bCs/>
        </w:rPr>
        <w:t xml:space="preserve">Paso 1</w:t>
      </w:r>
      <w:r>
        <w:t xml:space="preserve">: el afectado puede, con carácter potestativo y previo a presentar una reclamación ante la autoridad de control competente, dirigirse al delegado de protección de datos de la entidad correspondiente.</w:t>
      </w:r>
    </w:p>
    <w:p>
      <w:pPr>
        <w:pStyle w:val="ListParagraph"/>
        <w:numPr>
          <w:ilvl w:val="0"/>
          <w:numId w:val="3"/>
        </w:numPr>
        <w:spacing w:after="60"/>
      </w:pPr>
      <w:r>
        <w:t xml:space="preserve">El delegado debe </w:t>
      </w:r>
      <w:r>
        <w:rPr>
          <w:b/>
          <w:bCs/>
        </w:rPr>
        <w:t xml:space="preserve">responder en el plazo máximo de 2 meses</w:t>
      </w:r>
      <w:r>
        <w:t xml:space="preserve">.</w:t>
      </w:r>
    </w:p>
    <w:p>
      <w:pPr>
        <w:pStyle w:val="ListParagraph"/>
        <w:numPr>
          <w:ilvl w:val="0"/>
          <w:numId w:val="3"/>
        </w:numPr>
        <w:spacing w:after="60"/>
      </w:pPr>
      <w:r>
        <w:rPr>
          <w:b/>
          <w:bCs/>
        </w:rPr>
        <w:t xml:space="preserve">Paso 2</w:t>
      </w:r>
      <w:r>
        <w:t xml:space="preserve">: si el interesado presenta la reclamación directamente ante la autoridad de control (AEPD), esta puede optar por trasladarla al delegado de protección de datos del responsable/encargado, otorgándole un </w:t>
      </w:r>
      <w:r>
        <w:rPr>
          <w:b/>
          <w:bCs/>
        </w:rPr>
        <w:t xml:space="preserve">plazo de 1 mes</w:t>
      </w:r>
      <w:r>
        <w:t xml:space="preserve"> para contestar.</w:t>
      </w:r>
    </w:p>
    <w:p>
      <w:pPr>
        <w:pStyle w:val="ListParagraph"/>
        <w:numPr>
          <w:ilvl w:val="0"/>
          <w:numId w:val="3"/>
        </w:numPr>
        <w:spacing w:after="60"/>
      </w:pPr>
      <w:r>
        <w:t xml:space="preserve">Si el delegado </w:t>
      </w:r>
      <w:r>
        <w:rPr>
          <w:b/>
          <w:bCs/>
        </w:rPr>
        <w:t xml:space="preserve">no contesta en plazo</w:t>
      </w:r>
      <w:r>
        <w:t xml:space="preserve"> (1 mes), o el interesado no queda satisfecho, se continúa la tramitación del procedimiento conforme al Título VIII de la propia ley (procedimientos en caso de posible vulneración de la normativa).</w:t>
      </w:r>
    </w:p>
    <w:p>
      <w:pPr>
        <w:spacing w:after="120"/>
        <w:jc w:val="both"/>
      </w:pPr>
      <w:r>
        <w:t xml:space="preserve">⚠️ </w:t>
      </w:r>
      <w:r>
        <w:rPr>
          <w:b/>
          <w:bCs/>
        </w:rPr>
        <w:t xml:space="preserve">MUY PREGUNTADO — cuadro de plazos del DPO</w:t>
      </w:r>
      <w:r>
        <w:t xml:space="preserve"> (muy típico de test con trampa entre 1 y 2 meses):</w:t>
      </w:r>
    </w:p>
    <w:p>
      <w:pPr>
        <w:spacing w:after="120"/>
        <w:jc w:val="both"/>
      </w:pPr>
      <w:r>
        <w:t xml:space="preserve">| Situación | Plazo |</w:t>
      </w:r>
    </w:p>
    <w:p>
      <w:pPr>
        <w:spacing w:after="120"/>
        <w:jc w:val="both"/>
      </w:pPr>
      <w:r>
        <w:t xml:space="preserve">|---|---|</w:t>
      </w:r>
    </w:p>
    <w:p>
      <w:pPr>
        <w:spacing w:after="120"/>
        <w:jc w:val="both"/>
      </w:pPr>
      <w:r>
        <w:t xml:space="preserve">| Comunicación de la designación del DPO a la autoridad de control | 10 días |</w:t>
      </w:r>
    </w:p>
    <w:p>
      <w:pPr>
        <w:spacing w:after="120"/>
        <w:jc w:val="both"/>
      </w:pPr>
      <w:r>
        <w:t xml:space="preserve">| Respuesta del DPO cuando el afectado acude directamente a él (reclamación previa voluntaria) | 2 meses |</w:t>
      </w:r>
    </w:p>
    <w:p>
      <w:pPr>
        <w:spacing w:after="120"/>
        <w:jc w:val="both"/>
      </w:pPr>
      <w:r>
        <w:t xml:space="preserve">| Respuesta del DPO cuando la AEPD le traslada la reclamación | 1 mes |</w:t>
      </w:r>
    </w:p>
    <w:p>
      <w:pPr>
        <w:pStyle w:val="Heading3"/>
        <w:spacing w:after="100" w:before="200"/>
      </w:pPr>
      <w:r>
        <w:t xml:space="preserve">Artículo 38. Códigos de conducta (Capítulo IV)</w:t>
      </w:r>
    </w:p>
    <w:p>
      <w:pPr>
        <w:pStyle w:val="ListParagraph"/>
        <w:numPr>
          <w:ilvl w:val="0"/>
          <w:numId w:val="3"/>
        </w:numPr>
        <w:spacing w:after="60"/>
      </w:pPr>
      <w:r>
        <w:t xml:space="preserve">Los responsables y encargados pueden </w:t>
      </w:r>
      <w:r>
        <w:rPr>
          <w:b/>
          <w:bCs/>
        </w:rPr>
        <w:t xml:space="preserve">adherirse voluntariamente a códigos de conducta</w:t>
      </w:r>
      <w:r>
        <w:t xml:space="preserve"> (art. 40 RGPD), elaborados por asociaciones u organismos representativos de un sector, que concreten la aplicación del RGPD (por ejemplo, en la forma de recabar consentimiento, plazos de conservación, medidas de seguridad sectoriales).</w:t>
      </w:r>
    </w:p>
    <w:p>
      <w:pPr>
        <w:pStyle w:val="ListParagraph"/>
        <w:numPr>
          <w:ilvl w:val="0"/>
          <w:numId w:val="3"/>
        </w:numPr>
        <w:spacing w:after="60"/>
      </w:pPr>
      <w:r>
        <w:t xml:space="preserve">Quien elabore un código debe comunicarlo a la autoridad de control competente, que valorará su conformidad con el RGPD.</w:t>
      </w:r>
    </w:p>
    <w:p>
      <w:pPr>
        <w:pStyle w:val="ListParagraph"/>
        <w:numPr>
          <w:ilvl w:val="0"/>
          <w:numId w:val="3"/>
        </w:numPr>
        <w:spacing w:after="60"/>
      </w:pPr>
      <w:r>
        <w:t xml:space="preserve">La adhesión a códigos de conducta puede facilitar la </w:t>
      </w:r>
      <w:r>
        <w:rPr>
          <w:b/>
          <w:bCs/>
        </w:rPr>
        <w:t xml:space="preserve">resolución extrajudicial de conflictos</w:t>
      </w:r>
      <w:r>
        <w:t xml:space="preserve">.</w:t>
      </w:r>
    </w:p>
    <w:p>
      <w:pPr>
        <w:pStyle w:val="Heading3"/>
        <w:spacing w:after="100" w:before="200"/>
      </w:pPr>
      <w:r>
        <w:t xml:space="preserve">Artículo 39. Acreditación de instituciones de certificación</w:t>
      </w:r>
    </w:p>
    <w:p>
      <w:pPr>
        <w:spacing w:after="120"/>
        <w:jc w:val="both"/>
      </w:pPr>
      <w:r>
        <w:t xml:space="preserve">Regula los requisitos para que las instituciones que emiten </w:t>
      </w:r>
      <w:r>
        <w:rPr>
          <w:b/>
          <w:bCs/>
        </w:rPr>
        <w:t xml:space="preserve">certificaciones</w:t>
      </w:r>
      <w:r>
        <w:t xml:space="preserve"> en materia de protección de datos estén válidamente </w:t>
      </w:r>
      <w:r>
        <w:rPr>
          <w:b/>
          <w:bCs/>
        </w:rPr>
        <w:t xml:space="preserve">acreditadas</w:t>
      </w:r>
      <w:r>
        <w:t xml:space="preserve"> (por la Entidad Nacional de Acreditación —ENAC— u organismo equivalente), y la obligación de comunicar a la AEPD los esquemas de certificación empleados. La AEPD mantiene un registro público de instituciones y esquemas acreditados.</w:t>
      </w:r>
    </w:p>
    <w:p>
      <w:pPr>
        <w:pBdr>
          <w:bottom w:val="single" w:color="AAAAAA" w:sz="6" w:space="1"/>
        </w:pBdr>
        <w:spacing w:after="200"/>
      </w:pPr>
    </w:p>
    <w:p>
      <w:pPr>
        <w:pStyle w:val="Heading2"/>
        <w:spacing w:after="120" w:before="260"/>
      </w:pPr>
      <w:r>
        <w:t xml:space="preserve">TÍTULO X. Garantía de los derechos digitales (arts. 79 a 97)</w:t>
      </w:r>
    </w:p>
    <w:p>
      <w:pPr>
        <w:spacing w:after="120"/>
        <w:jc w:val="both"/>
      </w:pPr>
      <w:r>
        <w:t xml:space="preserve">Es el título </w:t>
      </w:r>
      <w:r>
        <w:rPr>
          <w:b/>
          <w:bCs/>
        </w:rPr>
        <w:t xml:space="preserve">más extenso y más "novedoso"</w:t>
      </w:r>
      <w:r>
        <w:t xml:space="preserve"> del temario, sin equivalente directo en el RGPD: son derechos de creación puramente española, conectados con el art. 18.4 CE. Al ser 19 artículos, es también estadísticamente el título con más peso en el test (proporcionalmente, hasta un 40% de las preguntas de este bloque). No tiene capítulos formales diferenciados en el índice oficial, pero conviene agruparlo temáticamente para estudiarlo mejor.</w:t>
      </w:r>
    </w:p>
    <w:p>
      <w:pPr>
        <w:pStyle w:val="Heading3"/>
        <w:spacing w:after="100" w:before="200"/>
      </w:pPr>
      <w:r>
        <w:t xml:space="preserve">Bloque A: Derechos digitales generales (arts. 79-86)</w:t>
      </w:r>
    </w:p>
    <w:p>
      <w:pPr>
        <w:spacing w:after="120"/>
        <w:jc w:val="both"/>
      </w:pPr>
      <w:r>
        <w:rPr>
          <w:b/>
          <w:bCs/>
        </w:rPr>
        <w:t xml:space="preserve">Art. 79. Los derechos en la era digital.</w:t>
      </w:r>
      <w:r>
        <w:t xml:space="preserve"> Norma de apertura: los derechos digitales reconocidos en este título son </w:t>
      </w:r>
      <w:r>
        <w:rPr>
          <w:b/>
          <w:bCs/>
        </w:rPr>
        <w:t xml:space="preserve">manifestación de los derechos constitucionalizados</w:t>
      </w:r>
      <w:r>
        <w:t xml:space="preserve"> (dignidad, intimidad, libertad de expresión...) en el nuevo entorno tecnológico. Los poderes públicos deben garantizar y promover políticas que hagan real y efectivo el ejercicio de estos derechos, con especial atención a los colectivos más vulnerables.</w:t>
      </w:r>
    </w:p>
    <w:p>
      <w:pPr>
        <w:spacing w:after="120"/>
        <w:jc w:val="both"/>
      </w:pPr>
      <w:r>
        <w:rPr>
          <w:b/>
          <w:bCs/>
        </w:rPr>
        <w:t xml:space="preserve">Art. 80. Derecho a la neutralidad de Internet.</w:t>
      </w:r>
      <w:r>
        <w:t xml:space="preserve"> Los usuarios tienen derecho a la neutralidad de la red: los proveedores de servicios de acceso a internet deben ofrecer una oferta transparente, sin discriminación por los contenidos, aplicaciones o servicios utilizados, dentro del respeto al Reglamento (UE) 2015/2120 (por el que se establecen medidas en relación con el acceso a una internet abierta). ⚠️ </w:t>
      </w:r>
      <w:r>
        <w:rPr>
          <w:b/>
          <w:bCs/>
        </w:rPr>
        <w:t xml:space="preserve">Ejemplo de test</w:t>
      </w:r>
      <w:r>
        <w:t xml:space="preserve">: una operadora no puede ralentizar deliberadamente el tráfico de un servicio de streaming competidor.</w:t>
      </w:r>
    </w:p>
    <w:p>
      <w:pPr>
        <w:spacing w:after="120"/>
        <w:jc w:val="both"/>
      </w:pPr>
      <w:r>
        <w:rPr>
          <w:b/>
          <w:bCs/>
        </w:rPr>
        <w:t xml:space="preserve">Art. 81. Derecho de acceso universal a Internet.</w:t>
      </w:r>
      <w:r>
        <w:t xml:space="preserve"> Reconoce el derecho a acceder a Internet, con independencia del lugar del territorio en el que se encuentre el usuario, y ordena a los poderes públicos promover mecanismos que faciliten un </w:t>
      </w:r>
      <w:r>
        <w:rPr>
          <w:b/>
          <w:bCs/>
        </w:rPr>
        <w:t xml:space="preserve">acceso de calidad</w:t>
      </w:r>
      <w:r>
        <w:t xml:space="preserve">, especialmente en zonas rurales.</w:t>
      </w:r>
    </w:p>
    <w:p>
      <w:pPr>
        <w:spacing w:after="120"/>
        <w:jc w:val="both"/>
      </w:pPr>
      <w:r>
        <w:rPr>
          <w:b/>
          <w:bCs/>
        </w:rPr>
        <w:t xml:space="preserve">Art. 82. Derecho a la seguridad digital.</w:t>
      </w:r>
      <w:r>
        <w:t xml:space="preserve"> Los usuarios tienen derecho a la seguridad de las comunicaciones que transmitan y reciban a través de internet, así como a la seguridad de los sistemas de información utilizados. Los poderes públicos deben promover programas específicos de formación y protección.</w:t>
      </w:r>
    </w:p>
    <w:p>
      <w:pPr>
        <w:spacing w:after="120"/>
        <w:jc w:val="both"/>
      </w:pPr>
      <w:r>
        <w:rPr>
          <w:b/>
          <w:bCs/>
        </w:rPr>
        <w:t xml:space="preserve">Art. 83. Derecho a la educación digital.</w:t>
      </w:r>
      <w:r>
        <w:t xml:space="preserve"> El sistema educativo debe garantizar la plena inserción del alumnado en la sociedad digital y el aprendizaje de un uso de los medios digitales que sea </w:t>
      </w:r>
      <w:r>
        <w:rPr>
          <w:b/>
          <w:bCs/>
        </w:rPr>
        <w:t xml:space="preserve">seguro y respetuoso con la dignidad humana</w:t>
      </w:r>
      <w:r>
        <w:t xml:space="preserve">, con los derechos constitucionales y con especial atención al respeto a la intimidad y protección de datos de los menores.</w:t>
      </w:r>
    </w:p>
    <w:p>
      <w:pPr>
        <w:spacing w:after="120"/>
        <w:jc w:val="both"/>
      </w:pPr>
      <w:r>
        <w:rPr>
          <w:b/>
          <w:bCs/>
        </w:rPr>
        <w:t xml:space="preserve">Art. 84. Protección de los menores en Internet.</w:t>
      </w:r>
      <w:r>
        <w:t xml:space="preserve"> Padres, tutores o responsables legales, y centros educativos, deben contribuir a que los menores hagan un </w:t>
      </w:r>
      <w:r>
        <w:rPr>
          <w:b/>
          <w:bCs/>
        </w:rPr>
        <w:t xml:space="preserve">uso equilibrado y responsable</w:t>
      </w:r>
      <w:r>
        <w:t xml:space="preserve"> de los dispositivos digitales y de internet, y deben adoptar medidas para proteger a los menores frente a contenidos que puedan perjudicar su desarrollo (violencia, pornografía, etc.) y frente al ciberacoso.</w:t>
      </w:r>
    </w:p>
    <w:p>
      <w:pPr>
        <w:spacing w:after="120"/>
        <w:jc w:val="both"/>
      </w:pPr>
      <w:r>
        <w:rPr>
          <w:b/>
          <w:bCs/>
        </w:rPr>
        <w:t xml:space="preserve">Art. 85. Derecho de rectificación en Internet.</w:t>
      </w:r>
      <w:r>
        <w:t xml:space="preserve"> Toda persona tiene derecho a la </w:t>
      </w:r>
      <w:r>
        <w:rPr>
          <w:b/>
          <w:bCs/>
        </w:rPr>
        <w:t xml:space="preserve">rectificación</w:t>
      </w:r>
      <w:r>
        <w:t xml:space="preserve"> de la información inexacta que sobre ella se difunda a través de servicios de la sociedad de la información, de forma análoga a como se ejerce en medios de comunicación tradicionales (Ley Orgánica del Derecho de Rectificación, LO 2/1984).</w:t>
      </w:r>
    </w:p>
    <w:p>
      <w:pPr>
        <w:spacing w:after="120"/>
        <w:jc w:val="both"/>
      </w:pPr>
      <w:r>
        <w:rPr>
          <w:b/>
          <w:bCs/>
        </w:rPr>
        <w:t xml:space="preserve">Art. 86. Derecho a la actualización de informaciones en medios de comunicación digitales.</w:t>
      </w:r>
      <w:r>
        <w:t xml:space="preserve"> Los responsables de los medios de comunicación digitales deberán mantener </w:t>
      </w:r>
      <w:r>
        <w:rPr>
          <w:b/>
          <w:bCs/>
        </w:rPr>
        <w:t xml:space="preserve">actualizadas sus hemerotecas digitales</w:t>
      </w:r>
      <w:r>
        <w:t xml:space="preserve"> conforme a criterios objetivos de calidad periodística, sin menoscabo de la libertad de expresión, incluyendo la posibilidad de añadir "avisos" que contextualicen o actualicen informaciones antiguas, en lugar de eliminarlas sin más.</w:t>
      </w:r>
    </w:p>
    <w:p>
      <w:pPr>
        <w:pStyle w:val="Heading3"/>
        <w:spacing w:after="100" w:before="200"/>
      </w:pPr>
      <w:r>
        <w:t xml:space="preserve">Bloque B: Derechos digitales en el ámbito laboral (arts. 87-92)</w:t>
      </w:r>
    </w:p>
    <w:p>
      <w:pPr>
        <w:spacing w:after="120"/>
        <w:jc w:val="both"/>
      </w:pPr>
      <w:r>
        <w:t xml:space="preserve">Este bloque es muy examinable porque conecta con </w:t>
      </w:r>
      <w:r>
        <w:rPr>
          <w:b/>
          <w:bCs/>
        </w:rPr>
        <w:t xml:space="preserve">Derecho Laboral</w:t>
      </w:r>
      <w:r>
        <w:t xml:space="preserve"> (que a veces también entra en otros temas del temario de auxiliar administrativo), y porque el propio art. 2 remite expresamente a que estos artículos se aplican </w:t>
      </w:r>
      <w:r>
        <w:rPr>
          <w:b/>
          <w:bCs/>
        </w:rPr>
        <w:t xml:space="preserve">aunque el tratamiento esté fuera del ámbito general</w:t>
      </w:r>
      <w:r>
        <w:t xml:space="preserve"> de los Títulos I a IX.</w:t>
      </w:r>
    </w:p>
    <w:p>
      <w:pPr>
        <w:spacing w:after="120"/>
        <w:jc w:val="both"/>
      </w:pPr>
      <w:r>
        <w:rPr>
          <w:b/>
          <w:bCs/>
        </w:rPr>
        <w:t xml:space="preserve">Art. 87. Derecho a la intimidad y uso de dispositivos digitales en el ámbito laboral.</w:t>
      </w:r>
      <w:r>
        <w:t xml:space="preserve"> Los trabajadores y empleados públicos tienen derecho a la protección de su intimidad frente al uso de dispositivos digitales facilitados por el empleador (ordenadores, tablets, móviles corporativos). El empleador puede acceder a los contenidos derivados del uso de medios digitales que facilite a las personas trabajadoras a los solos efectos de controlar el cumplimiento de las obligaciones laborales o funcionariales y de garantizar la integridad de dichos dispositivos, siempre respetando el estándar mínimo de protección de la intimidad, y </w:t>
      </w:r>
      <w:r>
        <w:rPr>
          <w:b/>
          <w:bCs/>
        </w:rPr>
        <w:t xml:space="preserve">debiendo establecer criterios de utilización</w:t>
      </w:r>
      <w:r>
        <w:t xml:space="preserve"> que deben ser conocidos por los trabajadores (política de uso de dispositivos), con participación de los representantes de los trabajadores.</w:t>
      </w:r>
    </w:p>
    <w:p>
      <w:pPr>
        <w:spacing w:after="120"/>
        <w:jc w:val="both"/>
      </w:pPr>
      <w:r>
        <w:rPr>
          <w:b/>
          <w:bCs/>
        </w:rPr>
        <w:t xml:space="preserve">Art. 88. Derecho a la desconexión digital en el ámbito laboral.</w:t>
      </w:r>
      <w:r>
        <w:t xml:space="preserve"> ⚠️ </w:t>
      </w:r>
      <w:r>
        <w:rPr>
          <w:b/>
          <w:bCs/>
        </w:rPr>
        <w:t xml:space="preserve">MUY PREGUNTADO</w:t>
      </w:r>
      <w:r>
        <w:t xml:space="preserve">: los trabajadores y empleados públicos tienen derecho a la </w:t>
      </w:r>
      <w:r>
        <w:rPr>
          <w:b/>
          <w:bCs/>
        </w:rPr>
        <w:t xml:space="preserve">desconexión digital</w:t>
      </w:r>
      <w:r>
        <w:t xml:space="preserve"> a fin de garantizar, fuera del tiempo de trabajo legal o convencionalmente establecido, el respeto de su tiempo de descanso, permisos y vacaciones, así como de su intimidad personal y familiar. El empleador, previa audiencia de los representantes de los trabajadores, debe elaborar una </w:t>
      </w:r>
      <w:r>
        <w:rPr>
          <w:b/>
          <w:bCs/>
        </w:rPr>
        <w:t xml:space="preserve">política interna</w:t>
      </w:r>
      <w:r>
        <w:t xml:space="preserve"> dirigida a trabajadores (incluidos los que ocupan puestos directivos) definiendo las modalidades de ejercicio de este derecho y las acciones de formación y sensibilización sobre el uso razonable de las herramientas tecnológicas para evitar el riesgo de fatiga informática. Se menciona especialmente el derecho a la desconexión en supuestos de </w:t>
      </w:r>
      <w:r>
        <w:rPr>
          <w:b/>
          <w:bCs/>
        </w:rPr>
        <w:t xml:space="preserve">trabajo a distancia</w:t>
      </w:r>
      <w:r>
        <w:t xml:space="preserve">.</w:t>
      </w:r>
    </w:p>
    <w:p>
      <w:pPr>
        <w:spacing w:after="120"/>
        <w:jc w:val="both"/>
      </w:pPr>
      <w:r>
        <w:rPr>
          <w:b/>
          <w:bCs/>
        </w:rPr>
        <w:t xml:space="preserve">Art. 89. Derecho a la intimidad frente al uso de dispositivos de videovigilancia y de grabación de sonidos en el lugar de trabajo.</w:t>
      </w:r>
      <w:r>
        <w:t xml:space="preserve"> Los empleadores podrán tratar imágenes obtenidas mediante videocámaras para el ejercicio de las funciones de control de los trabajadores (art. 20.3 Estatuto de los Trabajadores), siempre que estas funciones se ejerzan dentro de su marco legal y con los límites inherentes. Deberán </w:t>
      </w:r>
      <w:r>
        <w:rPr>
          <w:b/>
          <w:bCs/>
        </w:rPr>
        <w:t xml:space="preserve">informar</w:t>
      </w:r>
      <w:r>
        <w:t xml:space="preserve"> de forma expresa, clara y concisa a los trabajadores o funcionarios y, en su caso, a sus representantes, de la existencia de esta medida. En el caso de que se haya captado la comisión flagrante de un acto ilícito, se entenderá cumplido el deber de informar cuando exista, al menos, el </w:t>
      </w:r>
      <w:r>
        <w:rPr>
          <w:b/>
          <w:bCs/>
        </w:rPr>
        <w:t xml:space="preserve">dispositivo informativo</w:t>
      </w:r>
      <w:r>
        <w:t xml:space="preserve"> genérico visible (el clásico cartel "zona videovigilada"). Prohibición: no se pueden instalar sistemas de grabación de sonidos ni de videovigilancia en lugares destinados al descanso o esparcimiento (vestuarios, aseos, comedores...).</w:t>
      </w:r>
    </w:p>
    <w:p>
      <w:pPr>
        <w:spacing w:after="120"/>
        <w:jc w:val="both"/>
      </w:pPr>
      <w:r>
        <w:rPr>
          <w:b/>
          <w:bCs/>
        </w:rPr>
        <w:t xml:space="preserve">Art. 90. Derecho a la intimidad ante la utilización de sistemas de geolocalización en el ámbito laboral.</w:t>
      </w:r>
      <w:r>
        <w:t xml:space="preserve"> Los empleadores podrán tratar datos obtenidos a través de sistemas de geolocalización para el ejercicio de sus funciones de control, en los mismos términos y límites del art. 89. Deben informar previa y </w:t>
      </w:r>
      <w:r>
        <w:rPr>
          <w:b/>
          <w:bCs/>
        </w:rPr>
        <w:t xml:space="preserve">expresamente</w:t>
      </w:r>
      <w:r>
        <w:t xml:space="preserve"> a los trabajadores y a sus representantes acerca de la existencia y características de estos dispositivos.</w:t>
      </w:r>
    </w:p>
    <w:p>
      <w:pPr>
        <w:spacing w:after="120"/>
        <w:jc w:val="both"/>
      </w:pPr>
      <w:r>
        <w:rPr>
          <w:b/>
          <w:bCs/>
        </w:rPr>
        <w:t xml:space="preserve">Art. 91. Derechos digitales en la negociación colectiva.</w:t>
      </w:r>
      <w:r>
        <w:t xml:space="preserve"> Los convenios colectivos podrán establecer garantías adicionales de los derechos y libertades relacionados con el tratamiento de datos personales, y </w:t>
      </w:r>
      <w:r>
        <w:rPr>
          <w:b/>
          <w:bCs/>
        </w:rPr>
        <w:t xml:space="preserve">obligaciones de transparencia</w:t>
      </w:r>
      <w:r>
        <w:t xml:space="preserve"> en los casos de utilización de sistemas de inteligencia artificial cuando afecten a la toma de decisiones que puedan incidir en los derechos de las personas trabajadoras.</w:t>
      </w:r>
    </w:p>
    <w:p>
      <w:pPr>
        <w:spacing w:after="120"/>
        <w:jc w:val="both"/>
      </w:pPr>
      <w:r>
        <w:rPr>
          <w:b/>
          <w:bCs/>
        </w:rPr>
        <w:t xml:space="preserve">Art. 92. Protección de los datos de los menores en Internet.</w:t>
      </w:r>
      <w:r>
        <w:t xml:space="preserve"> No confundir con el art. 84 (protección "física/educativa" de menores). Este artículo se refiere específicamente al </w:t>
      </w:r>
      <w:r>
        <w:rPr>
          <w:b/>
          <w:bCs/>
        </w:rPr>
        <w:t xml:space="preserve">tratamiento de datos</w:t>
      </w:r>
      <w:r>
        <w:t xml:space="preserve"> de menores: cuando se solicite el consentimiento de un menor para el tratamiento de sus datos con ocasión de la contratación de un servicio de la sociedad de la información, se le informará en un lenguaje claro y sencillo sobre los riesgos y consecuencias de facilitar sus propios datos y su tratamiento por terceros. La utilización o difusión de datos de menores en redes sociales y servicios equivalentes puede motivar la intervención del Ministerio Fiscal, a solicitud del propio menor o de cualquier persona interesada.</w:t>
      </w:r>
    </w:p>
    <w:p>
      <w:pPr>
        <w:pStyle w:val="Heading3"/>
        <w:spacing w:after="100" w:before="200"/>
      </w:pPr>
      <w:r>
        <w:t xml:space="preserve">Bloque C: Derecho al olvido, portabilidad social y testamento digital (arts. 93-97)</w:t>
      </w:r>
    </w:p>
    <w:p>
      <w:pPr>
        <w:spacing w:after="120"/>
        <w:jc w:val="both"/>
      </w:pPr>
      <w:r>
        <w:t xml:space="preserve">⚠️ </w:t>
      </w:r>
      <w:r>
        <w:rPr>
          <w:b/>
          <w:bCs/>
        </w:rPr>
        <w:t xml:space="preserve">MUY PREGUNTADO — bloque final, junto con arts. 7 y 34</w:t>
      </w:r>
      <w:r>
        <w:t xml:space="preserve">.</w:t>
      </w:r>
    </w:p>
    <w:p>
      <w:pPr>
        <w:spacing w:after="120"/>
        <w:jc w:val="both"/>
      </w:pPr>
      <w:r>
        <w:rPr>
          <w:b/>
          <w:bCs/>
        </w:rPr>
        <w:t xml:space="preserve">Art. 93. Derecho al olvido en búsquedas de internet.</w:t>
      </w:r>
      <w:r>
        <w:t xml:space="preserve"> Toda persona tiene derecho a que los motores de búsqueda en internet (buscadores como Google) </w:t>
      </w:r>
      <w:r>
        <w:rPr>
          <w:b/>
          <w:bCs/>
        </w:rPr>
        <w:t xml:space="preserve">eliminen de la lista de resultados</w:t>
      </w:r>
      <w:r>
        <w:t xml:space="preserve"> que se obtiene tras una búsqueda de su nombre los enlaces publicados que contengan información relativa a esa persona cuando resulten </w:t>
      </w:r>
      <w:r>
        <w:rPr>
          <w:b/>
          <w:bCs/>
        </w:rPr>
        <w:t xml:space="preserve">inadecuados, inexactos, no pertinentes, no actualizados o excesivos</w:t>
      </w:r>
      <w:r>
        <w:t xml:space="preserve">, o hayan devenido como tales por el transcurso del tiempo, teniendo en cuenta los fines para los que se recabaron o trataron, el tiempo transcurrido y la naturaleza e interés público de la información. Este derecho subsistirá aun cuando fuera lícita la conservación de la información publicada originalmente (el dato de origen puede seguir siendo legal, lo que se pide es que deje de aparecer en el buscador al escribir el nombre de la persona). Se debe ponderar frente al </w:t>
      </w:r>
      <w:r>
        <w:rPr>
          <w:b/>
          <w:bCs/>
        </w:rPr>
        <w:t xml:space="preserve">derecho a la información y libertad de expresión</w:t>
      </w:r>
      <w:r>
        <w:t xml:space="preserve">.</w:t>
      </w:r>
    </w:p>
    <w:p>
      <w:pPr>
        <w:spacing w:after="120"/>
        <w:jc w:val="both"/>
      </w:pPr>
      <w:r>
        <w:rPr>
          <w:b/>
          <w:bCs/>
        </w:rPr>
        <w:t xml:space="preserve">Art. 94. Derecho al olvido en servicios de redes sociales y servicios equivalentes.</w:t>
      </w:r>
      <w:r>
        <w:t xml:space="preserve"> Toda persona tiene derecho a que sean suprimidos, a su simple solicitud, los datos personales que hubiese facilitado para su publicación en </w:t>
      </w:r>
      <w:r>
        <w:rPr>
          <w:b/>
          <w:bCs/>
        </w:rPr>
        <w:t xml:space="preserve">redes sociales y servicios de la sociedad de la información equivalentes</w:t>
      </w:r>
      <w:r>
        <w:t xml:space="preserve">. Asimismo, tiene derecho a que sus datos se supriman cuando hayan sido facilitados por </w:t>
      </w:r>
      <w:r>
        <w:rPr>
          <w:b/>
          <w:bCs/>
        </w:rPr>
        <w:t xml:space="preserve">terceros</w:t>
      </w:r>
      <w:r>
        <w:t xml:space="preserve"> para su publicación en dichas plataformas, cuando fuera él mismo el titular de esos datos (ejemplo: alguien sube una foto tuya sin tu consentimiento y tú puedes pedir su retirada). Si los datos hubiesen sido cedidos o comunicados por el responsable de la red social a terceros, este debe adoptar las medidas razonables, teniendo en cuenta la tecnología disponible y el coste de su aplicación, para informar a los cesionarios de la solicitud de supresión.</w:t>
      </w:r>
    </w:p>
    <w:p>
      <w:pPr>
        <w:spacing w:after="120"/>
        <w:jc w:val="both"/>
      </w:pPr>
      <w:r>
        <w:rPr>
          <w:b/>
          <w:bCs/>
        </w:rPr>
        <w:t xml:space="preserve">Art. 95. Derecho de portabilidad en servicios de redes sociales y servicios equivalentes.</w:t>
      </w:r>
      <w:r>
        <w:t xml:space="preserve"> Los usuarios de redes sociales y de servicios de la sociedad de la información equivalentes tendrán derecho a recibir del prestador, previa solicitud, y siempre que sea técnicamente posible, una </w:t>
      </w:r>
      <w:r>
        <w:rPr>
          <w:b/>
          <w:bCs/>
        </w:rPr>
        <w:t xml:space="preserve">copia</w:t>
      </w:r>
      <w:r>
        <w:t xml:space="preserve"> de los datos personales que faciliten, en un formato estructurado, de uso común y lectura mecánica, y a transmitirlos a otro proveedor. Este derecho se ejercerá respecto de los contenidos que el propio usuario haya generado o que resulten de su propia actividad (fotos, mensajes propios) y no de datos generados por terceros.</w:t>
      </w:r>
    </w:p>
    <w:p>
      <w:pPr>
        <w:spacing w:after="120"/>
        <w:jc w:val="both"/>
      </w:pPr>
      <w:r>
        <w:rPr>
          <w:b/>
          <w:bCs/>
        </w:rPr>
        <w:t xml:space="preserve">Art. 96. Derecho al testamento digital.</w:t>
      </w:r>
      <w:r>
        <w:t xml:space="preserve"> ⚠️ Es el artículo "estrella" del temario, casi de aparición segura.</w:t>
      </w:r>
    </w:p>
    <w:p>
      <w:pPr>
        <w:pStyle w:val="ListParagraph"/>
        <w:numPr>
          <w:ilvl w:val="0"/>
          <w:numId w:val="3"/>
        </w:numPr>
        <w:spacing w:after="60"/>
      </w:pPr>
      <w:r>
        <w:t xml:space="preserve">Reconoce el derecho de las personas a </w:t>
      </w:r>
      <w:r>
        <w:rPr>
          <w:b/>
          <w:bCs/>
        </w:rPr>
        <w:t xml:space="preserve">dejar instrucciones</w:t>
      </w:r>
      <w:r>
        <w:t xml:space="preserve">, dirigidas al responsable del tratamiento o al prestador de servicios de la sociedad de la información, sobre el </w:t>
      </w:r>
      <w:r>
        <w:rPr>
          <w:b/>
          <w:bCs/>
        </w:rPr>
        <w:t xml:space="preserve">destino</w:t>
      </w:r>
      <w:r>
        <w:t xml:space="preserve"> de sus contenidos digitales y de la información de sus cuentas o perfiles almacenados, tras su fallecimiento (identidad digital: redes sociales, correo electrónico, servicios en la nube, etc.).</w:t>
      </w:r>
    </w:p>
    <w:p>
      <w:pPr>
        <w:pStyle w:val="ListParagraph"/>
        <w:numPr>
          <w:ilvl w:val="0"/>
          <w:numId w:val="3"/>
        </w:numPr>
        <w:spacing w:after="60"/>
      </w:pPr>
      <w:r>
        <w:t xml:space="preserve">Estas instrucciones </w:t>
      </w:r>
      <w:r>
        <w:rPr>
          <w:b/>
          <w:bCs/>
        </w:rPr>
        <w:t xml:space="preserve">pueden establecer</w:t>
      </w:r>
      <w:r>
        <w:t xml:space="preserve"> que dichos datos se comuniquen a las personas designadas, o bien que se proceda a su </w:t>
      </w:r>
      <w:r>
        <w:rPr>
          <w:b/>
          <w:bCs/>
        </w:rPr>
        <w:t xml:space="preserve">supresión</w:t>
      </w:r>
      <w:r>
        <w:t xml:space="preserve">.</w:t>
      </w:r>
    </w:p>
    <w:p>
      <w:pPr>
        <w:pStyle w:val="ListParagraph"/>
        <w:numPr>
          <w:ilvl w:val="0"/>
          <w:numId w:val="3"/>
        </w:numPr>
        <w:spacing w:after="60"/>
      </w:pPr>
      <w:r>
        <w:t xml:space="preserve">Salvo instrucción en contrario del fallecido, las personas vinculadas al fallecido por razones familiares o de hecho y sus herederos podrán solicitar el acceso a dichos contenidos, la aplicación de las instrucciones que el fallecido hubiera dejado o, en su defecto, la supresión de sus cuentas activas en redes sociales (conectando así con el art. 3 del Título I).</w:t>
      </w:r>
    </w:p>
    <w:p>
      <w:pPr>
        <w:pStyle w:val="ListParagraph"/>
        <w:numPr>
          <w:ilvl w:val="0"/>
          <w:numId w:val="3"/>
        </w:numPr>
        <w:spacing w:after="60"/>
      </w:pPr>
      <w:r>
        <w:t xml:space="preserve">Los prestadores de servicios que ofrezcan servicios de esta naturaleza deben </w:t>
      </w:r>
      <w:r>
        <w:rPr>
          <w:b/>
          <w:bCs/>
        </w:rPr>
        <w:t xml:space="preserve">publicar sus condiciones sobre acceso a los contenidos y aplicación de las instrucciones</w:t>
      </w:r>
      <w:r>
        <w:t xml:space="preserve">, comprometiéndose a su cumplimiento.</w:t>
      </w:r>
    </w:p>
    <w:p>
      <w:pPr>
        <w:pStyle w:val="ListParagraph"/>
        <w:numPr>
          <w:ilvl w:val="0"/>
          <w:numId w:val="3"/>
        </w:numPr>
        <w:spacing w:after="60"/>
      </w:pPr>
      <w:r>
        <w:t xml:space="preserve">Se prevé que, mediante </w:t>
      </w:r>
      <w:r>
        <w:rPr>
          <w:b/>
          <w:bCs/>
        </w:rPr>
        <w:t xml:space="preserve">real decreto</w:t>
      </w:r>
      <w:r>
        <w:t xml:space="preserve">, se puedan establecer los requisitos y condiciones adicionales para acreditar la validez y vigencia de estas instrucciones (por ejemplo, si se han hecho constar ante notario o en un documento de últimas voluntades digitales).</w:t>
      </w:r>
    </w:p>
    <w:p>
      <w:pPr>
        <w:spacing w:after="120"/>
        <w:jc w:val="both"/>
      </w:pPr>
      <w:r>
        <w:rPr>
          <w:b/>
          <w:bCs/>
        </w:rPr>
        <w:t xml:space="preserve">Diferencia clave para el examen</w:t>
      </w:r>
      <w:r>
        <w:t xml:space="preserve">: el "testamento digital" del art. 96 son instrucciones sobre </w:t>
      </w:r>
      <w:r>
        <w:rPr>
          <w:b/>
          <w:bCs/>
        </w:rPr>
        <w:t xml:space="preserve">contenidos y perfiles digitales de la propia identidad</w:t>
      </w:r>
      <w:r>
        <w:t xml:space="preserve"> (no es un testamento en sentido civil ni sustituye al Código Civil), mientras que el art. 3 (Título I) es la vía general de "acceso, rectificación o supresión de datos" de fallecidos aplicable a cualquier tipo de dato personal, no solo digital/online.</w:t>
      </w:r>
    </w:p>
    <w:p>
      <w:pPr>
        <w:spacing w:after="120"/>
        <w:jc w:val="both"/>
      </w:pPr>
      <w:r>
        <w:rPr>
          <w:b/>
          <w:bCs/>
        </w:rPr>
        <w:t xml:space="preserve">Art. 97. Políticas de impulso de los derechos digitales.</w:t>
      </w:r>
      <w:r>
        <w:t xml:space="preserve"> Cierra el título: encomienda a los poderes públicos el desarrollo de </w:t>
      </w:r>
      <w:r>
        <w:rPr>
          <w:b/>
          <w:bCs/>
        </w:rPr>
        <w:t xml:space="preserve">políticas activas</w:t>
      </w:r>
      <w:r>
        <w:t xml:space="preserve"> que hagan efectivos estos derechos digitales (planes, estrategias, formación), especialmente respecto a colectivos más vulnerables a la exclusión digital.</w:t>
      </w:r>
    </w:p>
    <w:p>
      <w:pPr>
        <w:pBdr>
          <w:bottom w:val="single" w:color="AAAAAA" w:sz="6" w:space="1"/>
        </w:pBdr>
        <w:spacing w:after="200"/>
      </w:pPr>
    </w:p>
    <w:p>
      <w:pPr>
        <w:pStyle w:val="Heading2"/>
        <w:spacing w:after="120" w:before="260"/>
      </w:pPr>
      <w:r>
        <w:t xml:space="preserve">Cuadro final de repaso rápido (chuleta de plazos y números para memorizar)</w:t>
      </w:r>
    </w:p>
    <w:p>
      <w:pPr>
        <w:spacing w:after="120"/>
        <w:jc w:val="both"/>
      </w:pPr>
      <w:r>
        <w:t xml:space="preserve">| Dato clave | Valor | Artículo |</w:t>
      </w:r>
    </w:p>
    <w:p>
      <w:pPr>
        <w:spacing w:after="120"/>
        <w:jc w:val="both"/>
      </w:pPr>
      <w:r>
        <w:t xml:space="preserve">|---|---|---|</w:t>
      </w:r>
    </w:p>
    <w:p>
      <w:pPr>
        <w:spacing w:after="120"/>
        <w:jc w:val="both"/>
      </w:pPr>
      <w:r>
        <w:t xml:space="preserve">| Edad de consentimiento propio de menores | 14 años | Art. 7 |</w:t>
      </w:r>
    </w:p>
    <w:p>
      <w:pPr>
        <w:spacing w:after="120"/>
        <w:jc w:val="both"/>
      </w:pPr>
      <w:r>
        <w:t xml:space="preserve">| Comunicación de la designación/cese del DPO a la AEPD | 10 días | Art. 34.3 |</w:t>
      </w:r>
    </w:p>
    <w:p>
      <w:pPr>
        <w:spacing w:after="120"/>
        <w:jc w:val="both"/>
      </w:pPr>
      <w:r>
        <w:t xml:space="preserve">| Respuesta del DPO a reclamación directa del afectado | 2 meses | Art. 37.1 |</w:t>
      </w:r>
    </w:p>
    <w:p>
      <w:pPr>
        <w:spacing w:after="120"/>
        <w:jc w:val="both"/>
      </w:pPr>
      <w:r>
        <w:t xml:space="preserve">| Respuesta del DPO cuando AEPD le traslada la reclamación | 1 mes | Art. 37.2 |</w:t>
      </w:r>
    </w:p>
    <w:p>
      <w:pPr>
        <w:spacing w:after="120"/>
        <w:jc w:val="both"/>
      </w:pPr>
      <w:r>
        <w:t xml:space="preserve">| Plazo general de respuesta a derechos ARCO-POL (vía RGPD) | 1 mes, prorrogable 2 meses más | Art. 12 LOPDGDD / 12.3 RGPD |</w:t>
      </w:r>
    </w:p>
    <w:p>
      <w:pPr>
        <w:spacing w:after="120"/>
        <w:jc w:val="both"/>
      </w:pPr>
      <w:r>
        <w:t xml:space="preserve">| Supresión de imágenes de videovigilancia | máx. 1 mes (72 h a disposición de autoridad si hay incidente) | Art. 22.3 (Título IV, contexto relacionado) |</w:t>
      </w:r>
    </w:p>
    <w:p>
      <w:pPr>
        <w:spacing w:after="120"/>
        <w:jc w:val="both"/>
      </w:pPr>
      <w:r>
        <w:t xml:space="preserve">| Rango de la ley | Ley Orgánica | — |</w:t>
      </w:r>
    </w:p>
    <w:p>
      <w:pPr>
        <w:spacing w:after="120"/>
        <w:jc w:val="both"/>
      </w:pPr>
      <w:r>
        <w:t xml:space="preserve">| Fundamento constitucional | Art. 18.4 CE | Art. 1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2026-08-16T10:17:07.557Z</dcterms:created>
  <dcterms:modified xsi:type="dcterms:W3CDTF">2026-08-16T10:17:07.558Z</dcterms:modified>
</cp:coreProperties>
</file>

<file path=docProps/custom.xml><?xml version="1.0" encoding="utf-8"?>
<Properties xmlns="http://schemas.openxmlformats.org/officeDocument/2006/custom-properties" xmlns:vt="http://schemas.openxmlformats.org/officeDocument/2006/docPropsVTypes"/>
</file>