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</w:t>
      </w:r>
    </w:p>
    <w:p>
      <w:pPr>
        <w:pStyle w:val="Author"/>
      </w:pPr>
      <w:r>
        <w:t xml:space="preserve">Robin</w:t>
      </w:r>
      <w:r>
        <w:t xml:space="preserve"> </w:t>
      </w:r>
      <w:r>
        <w:t xml:space="preserve">Baldeo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section"/>
      <w:bookmarkEnd w:id="21"/>
      <w:r>
        <w:t xml:space="preserve">2.4.1</w:t>
      </w:r>
    </w:p>
    <w:p>
      <w:pPr>
        <w:pStyle w:val="Heading2"/>
      </w:pPr>
      <w:bookmarkStart w:id="22" w:name="a"/>
      <w:bookmarkEnd w:id="22"/>
      <w:r>
        <w:t xml:space="preserve">(a)</w:t>
      </w:r>
    </w:p>
    <w:p>
      <w:pPr>
        <w:pStyle w:val="FirstParagraph"/>
      </w:pP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m:oMath>
        <m:f>
          <m:fPr>
            <m:type m:val="bar"/>
          </m:fPr>
          <m:num>
            <m:r>
              <m:t>n</m:t>
            </m:r>
          </m:num>
          <m:den>
            <m:r>
              <m:t>n</m:t>
            </m:r>
            <m:r>
              <m:t>+</m:t>
            </m:r>
            <m:r>
              <m:t>m</m:t>
            </m:r>
          </m:den>
        </m:f>
      </m:oMath>
      <w:r>
        <w:t xml:space="preserve"> </w:t>
      </w:r>
      <m:oMath>
        <m:r>
          <m:t>±</m:t>
        </m:r>
      </m:oMath>
      <w:r>
        <w:t xml:space="preserve"> </w:t>
      </w:r>
      <w:r>
        <w:t xml:space="preserve">1.96</w:t>
      </w:r>
      <w:r>
        <w:t xml:space="preserve"> </w:t>
      </w:r>
      <m:oMath>
        <m:r>
          <m:t>σ</m:t>
        </m:r>
      </m:oMath>
      <w:r>
        <w:t xml:space="preserve"> </w:t>
      </w:r>
      <m:oMath>
        <m:r>
          <m:t>(</m:t>
        </m:r>
        <m:r>
          <m:t>n</m:t>
        </m:r>
        <m:r>
          <m:t>+</m:t>
        </m:r>
        <m:r>
          <m:t>m</m:t>
        </m:r>
        <m:sSup>
          <m:e>
            <m:r>
              <m:t>)</m:t>
            </m:r>
          </m:e>
          <m:sup>
            <m:r>
              <m:t>−</m:t>
            </m:r>
            <m:r>
              <m:t>.5</m:t>
            </m:r>
          </m:sup>
        </m:sSup>
      </m:oMath>
    </w:p>
    <w:p>
      <w:pPr>
        <w:pStyle w:val="Heading2"/>
      </w:pPr>
      <w:bookmarkStart w:id="23" w:name="b"/>
      <w:bookmarkEnd w:id="23"/>
      <w:r>
        <w:t xml:space="preserve">(b)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#random numbers generated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#mean</w:t>
      </w:r>
      <w:r>
        <w:br w:type="textWrapping"/>
      </w:r>
      <w:r>
        <w:rPr>
          <w:rStyle w:val="NormalTok"/>
        </w:rPr>
        <w:t xml:space="preserve">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CommentTok"/>
        </w:rPr>
        <w:t xml:space="preserve">#variance</w:t>
      </w:r>
      <w:r>
        <w:br w:type="textWrapping"/>
      </w:r>
      <w:r>
        <w:rPr>
          <w:rStyle w:val="NormalTok"/>
        </w:rPr>
        <w:t xml:space="preserve">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#frequentist ci</w:t>
      </w:r>
      <w:r>
        <w:br w:type="textWrapping"/>
      </w:r>
      <w:r>
        <w:rPr>
          <w:rStyle w:val="CommentTok"/>
        </w:rPr>
        <w:t xml:space="preserve">#y-bar +/- (var/n)^.5</w:t>
      </w:r>
      <w:r>
        <w:br w:type="textWrapping"/>
      </w:r>
      <w:r>
        <w:br w:type="textWrapping"/>
      </w:r>
      <w:r>
        <w:rPr>
          <w:rStyle w:val="NormalTok"/>
        </w:rPr>
        <w:t xml:space="preserve">fLow&lt;-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me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br w:type="textWrapping"/>
      </w:r>
      <w:r>
        <w:br w:type="textWrapping"/>
      </w:r>
      <w:r>
        <w:rPr>
          <w:rStyle w:val="NormalTok"/>
        </w:rPr>
        <w:t xml:space="preserve">fHigh&lt;-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;fHigh</w:t>
      </w:r>
    </w:p>
    <w:p>
      <w:pPr>
        <w:pStyle w:val="SourceCode"/>
      </w:pPr>
      <w:r>
        <w:rPr>
          <w:rStyle w:val="VerbatimChar"/>
        </w:rPr>
        <w:t xml:space="preserve">## [1] 0.007754023</w:t>
      </w:r>
    </w:p>
    <w:p>
      <w:pPr>
        <w:pStyle w:val="SourceCode"/>
      </w:pPr>
      <w:r>
        <w:rPr>
          <w:rStyle w:val="CommentTok"/>
        </w:rPr>
        <w:t xml:space="preserve">#frequentist ci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(fLow, fHigh)</w:t>
      </w:r>
    </w:p>
    <w:p>
      <w:pPr>
        <w:pStyle w:val="SourceCode"/>
      </w:pPr>
      <w:r>
        <w:rPr>
          <w:rStyle w:val="VerbatimChar"/>
        </w:rPr>
        <w:t xml:space="preserve">##              fLow       fHigh</w:t>
      </w:r>
      <w:r>
        <w:br w:type="textWrapping"/>
      </w:r>
      <w:r>
        <w:rPr>
          <w:rStyle w:val="VerbatimChar"/>
        </w:rPr>
        <w:t xml:space="preserve">## [1,] -0.004631306 0.007754023</w:t>
      </w:r>
    </w:p>
    <w:p>
      <w:pPr>
        <w:pStyle w:val="SourceCode"/>
      </w:pPr>
      <w:r>
        <w:rPr>
          <w:rStyle w:val="CommentTok"/>
        </w:rPr>
        <w:t xml:space="preserve">#using formula from a with m = 0</w:t>
      </w:r>
      <w:r>
        <w:br w:type="textWrapping"/>
      </w:r>
      <w:r>
        <w:rPr>
          <w:rStyle w:val="NormalTok"/>
        </w:rPr>
        <w:t xml:space="preserve">bCi&lt;-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 w:type="textWrapping"/>
      </w:r>
      <w:r>
        <w:rPr>
          <w:rStyle w:val="NormalTok"/>
        </w:rPr>
        <w:t xml:space="preserve">  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  bm=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bv=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bv, </w:t>
      </w:r>
      <w:r>
        <w:rPr>
          <w:rStyle w:val="StringTok"/>
        </w:rPr>
        <w:t xml:space="preserve">"bHi"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#bayes ci</w:t>
      </w:r>
      <w:r>
        <w:br w:type="textWrapping"/>
      </w:r>
      <w:r>
        <w:rPr>
          <w:rStyle w:val="KeywordTok"/>
        </w:rPr>
        <w:t xml:space="preserve">bCi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bLow         bHi</w:t>
      </w:r>
      <w:r>
        <w:br w:type="textWrapping"/>
      </w:r>
      <w:r>
        <w:rPr>
          <w:rStyle w:val="VerbatimChar"/>
        </w:rPr>
        <w:t xml:space="preserve">## [1,] -0.004631306 0.007754023</w:t>
      </w:r>
    </w:p>
    <w:p>
      <w:pPr>
        <w:pStyle w:val="FirstParagraph"/>
      </w:pPr>
      <w:r>
        <w:t xml:space="preserve">We can achieve the frequentist confidence interval by using m = 0.As shown in the above simulation, when m = 0 the frequentist ci upper and lower bounds matches the upper and lower bounds after using the formula in part a.</w:t>
      </w:r>
    </w:p>
    <w:p>
      <w:pPr>
        <w:pStyle w:val="Heading3"/>
      </w:pPr>
      <w:bookmarkStart w:id="24" w:name="section-1"/>
      <w:bookmarkEnd w:id="24"/>
      <w:r>
        <w:t xml:space="preserve">2.4.5</w:t>
      </w:r>
    </w:p>
    <w:p>
      <w:pPr>
        <w:pStyle w:val="SourceCode"/>
      </w:pPr>
      <w:r>
        <w:rPr>
          <w:rStyle w:val="CommentTok"/>
        </w:rPr>
        <w:t xml:space="preserve">#function used to do simulation 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 c){</w:t>
      </w:r>
      <w:r>
        <w:br w:type="textWrapping"/>
      </w:r>
      <w:r>
        <w:rPr>
          <w:rStyle w:val="NormalTok"/>
        </w:rPr>
        <w:t xml:space="preserve">  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#plots</w:t>
      </w:r>
      <w:r>
        <w:br w:type="textWrapping"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pwalk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</w:t>
      </w:r>
      <w:r>
        <w:rPr>
          <w:rStyle w:val="NormalTok"/>
        </w:rPr>
        <w:t xml:space="preserve">(..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"wheat"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 ="</w:t>
      </w:r>
      <w:r>
        <w:rPr>
          <w:rStyle w:val="NormalTok"/>
        </w:rPr>
        <w:t xml:space="preserve">, 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FirstParagraph"/>
      </w:pPr>
      <w:r>
        <w:t xml:space="preserve">the final c = 1.13889, and since the histogram looks uniform I would say the prior is uninformative.</w:t>
      </w:r>
    </w:p>
    <w:p>
      <w:pPr>
        <w:pStyle w:val="Heading3"/>
      </w:pPr>
      <w:bookmarkStart w:id="26" w:name="section-2"/>
      <w:bookmarkEnd w:id="26"/>
      <w:r>
        <w:t xml:space="preserve">2.4.6</w:t>
      </w:r>
    </w:p>
    <w:p>
      <w:pPr>
        <w:pStyle w:val="Heading2"/>
      </w:pPr>
      <w:bookmarkStart w:id="27" w:name="a-1"/>
      <w:bookmarkEnd w:id="27"/>
      <w:r>
        <w:t xml:space="preserve">(a)</w:t>
      </w:r>
    </w:p>
    <w:p>
      <w:pPr>
        <w:pStyle w:val="SourceCode"/>
      </w:pPr>
      <w:r>
        <w:rPr>
          <w:rStyle w:val="CommentTok"/>
        </w:rPr>
        <w:t xml:space="preserve">#question 6</w:t>
      </w:r>
      <w:r>
        <w:br w:type="textWrapping"/>
      </w:r>
      <w:r>
        <w:br w:type="textWrapping"/>
      </w:r>
      <w:r>
        <w:rPr>
          <w:rStyle w:val="CommentTok"/>
        </w:rPr>
        <w:t xml:space="preserve">#y = 1.5 * 50 = 75</w:t>
      </w:r>
      <w:r>
        <w:br w:type="textWrapping"/>
      </w:r>
      <w:r>
        <w:rPr>
          <w:rStyle w:val="CommentTok"/>
        </w:rPr>
        <w:t xml:space="preserve">#n = 50</w:t>
      </w:r>
      <w:r>
        <w:br w:type="textWrapping"/>
      </w:r>
      <w:r>
        <w:br w:type="textWrapping"/>
      </w:r>
      <w:r>
        <w:rPr>
          <w:rStyle w:val="CommentTok"/>
        </w:rPr>
        <w:t xml:space="preserve">#function to plot</w:t>
      </w:r>
      <w:r>
        <w:br w:type="textWrapping"/>
      </w:r>
      <w:r>
        <w:rPr>
          <w:rStyle w:val="NormalTok"/>
        </w:rPr>
        <w:t xml:space="preserve">gammaPost&lt;-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b){</w:t>
      </w:r>
      <w:r>
        <w:br w:type="textWrapping"/>
      </w:r>
      <w:r>
        <w:rPr>
          <w:rStyle w:val="NormalTok"/>
        </w:rPr>
        <w:t xml:space="preserve">  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 with a ="</w:t>
      </w:r>
      <w:r>
        <w:rPr>
          <w:rStyle w:val="NormalTok"/>
        </w:rPr>
        <w:t xml:space="preserve">, a, </w:t>
      </w:r>
      <w:r>
        <w:rPr>
          <w:rStyle w:val="StringTok"/>
        </w:rPr>
        <w:t xml:space="preserve">"b="</w:t>
      </w:r>
      <w:r>
        <w:rPr>
          <w:rStyle w:val="NormalTok"/>
        </w:rPr>
        <w:t xml:space="preserve">, b))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 a,b),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#funcation for summary</w:t>
      </w:r>
      <w:r>
        <w:br w:type="textWrapping"/>
      </w:r>
      <w:r>
        <w:rPr>
          <w:rStyle w:val="NormalTok"/>
        </w:rPr>
        <w:t xml:space="preserve">postSum&lt;-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#ci</w:t>
      </w:r>
      <w:r>
        <w:br w:type="textWrapping"/>
      </w:r>
      <w:r>
        <w:rPr>
          <w:rStyle w:val="NormalTok"/>
        </w:rPr>
        <w:t xml:space="preserve">  ci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#mean</w:t>
      </w:r>
      <w:r>
        <w:br w:type="textWrapping"/>
      </w:r>
      <w:r>
        <w:rPr>
          <w:rStyle w:val="NormalTok"/>
        </w:rPr>
        <w:t xml:space="preserve">  mean=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#std</w:t>
      </w:r>
      <w:r>
        <w:br w:type="textWrapping"/>
      </w:r>
      <w:r>
        <w:rPr>
          <w:rStyle w:val="NormalTok"/>
        </w:rPr>
        <w:t xml:space="preserve">  std=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b, </w:t>
      </w:r>
      <w:r>
        <w:rPr>
          <w:rStyle w:val="StringTok"/>
        </w:rPr>
        <w:t xml:space="preserve">"lowCi"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"upperCi"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CommentTok"/>
        </w:rPr>
        <w:t xml:space="preserve"># a=b=.01</w:t>
      </w:r>
      <w:r>
        <w:br w:type="textWrapping"/>
      </w:r>
      <w:r>
        <w:rPr>
          <w:rStyle w:val="KeywordTok"/>
        </w:rPr>
        <w:t xml:space="preserve">gammaPost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postSum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a    b    lowCi  upperCi   mean      std</w:t>
      </w:r>
      <w:r>
        <w:br w:type="textWrapping"/>
      </w:r>
      <w:r>
        <w:rPr>
          <w:rStyle w:val="VerbatimChar"/>
        </w:rPr>
        <w:t xml:space="preserve">## 1 0.01 0.01 1.179787 1.857856 1.4999 0.173182</w:t>
      </w:r>
    </w:p>
    <w:p>
      <w:pPr>
        <w:pStyle w:val="Heading2"/>
      </w:pPr>
      <w:bookmarkStart w:id="29" w:name="b-1"/>
      <w:bookmarkEnd w:id="29"/>
      <w:r>
        <w:t xml:space="preserve">(b)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CommentTok"/>
        </w:rPr>
        <w:t xml:space="preserve"># a=b=.1</w:t>
      </w:r>
      <w:r>
        <w:br w:type="textWrapping"/>
      </w:r>
      <w:r>
        <w:rPr>
          <w:rStyle w:val="KeywordTok"/>
        </w:rPr>
        <w:t xml:space="preserve">gammaPost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postSum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a   b   lowCi  upperCi     mean       std</w:t>
      </w:r>
      <w:r>
        <w:br w:type="textWrapping"/>
      </w:r>
      <w:r>
        <w:rPr>
          <w:rStyle w:val="VerbatimChar"/>
        </w:rPr>
        <w:t xml:space="preserve">## 1 0.1 0.1 1.17926 1.856518 1.499002 0.1729746</w:t>
      </w:r>
    </w:p>
    <w:p>
      <w:pPr>
        <w:pStyle w:val="FirstParagraph"/>
      </w:pPr>
      <w:r>
        <w:t xml:space="preserve">When a=b=.1 it appears the posterior is not too sensitive to the prior. The summary statistics have not changed too much when compared to part(a)</w:t>
      </w:r>
    </w:p>
    <w:p>
      <w:pPr>
        <w:pStyle w:val="SourceCode"/>
      </w:pPr>
      <w:r>
        <w:rPr>
          <w:rStyle w:val="CommentTok"/>
        </w:rPr>
        <w:t xml:space="preserve"># a= b = 1</w:t>
      </w:r>
      <w:r>
        <w:br w:type="textWrapping"/>
      </w:r>
      <w:r>
        <w:rPr>
          <w:rStyle w:val="KeywordTok"/>
        </w:rPr>
        <w:t xml:space="preserve">gammaPost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postSum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 b    lowCi  upperCi     mean       std</w:t>
      </w:r>
      <w:r>
        <w:br w:type="textWrapping"/>
      </w:r>
      <w:r>
        <w:rPr>
          <w:rStyle w:val="VerbatimChar"/>
        </w:rPr>
        <w:t xml:space="preserve">## 1 1 1 1.174105 1.843395 1.490196 0.1709372</w:t>
      </w:r>
    </w:p>
    <w:p>
      <w:pPr>
        <w:pStyle w:val="FirstParagraph"/>
      </w:pPr>
      <w:r>
        <w:t xml:space="preserve">Comapred to a=b=.01 and a=b=.1, the summary has changed slightly. So it appears the posterior is slightly sensitive to the prior when a=b=1.</w:t>
      </w:r>
    </w:p>
    <w:p>
      <w:pPr>
        <w:pStyle w:val="Heading2"/>
      </w:pPr>
      <w:bookmarkStart w:id="32" w:name="c"/>
      <w:bookmarkEnd w:id="32"/>
      <w:r>
        <w:t xml:space="preserve">(c)</w:t>
      </w:r>
    </w:p>
    <w:p>
      <w:pPr>
        <w:numPr>
          <w:numId w:val="1001"/>
          <w:ilvl w:val="0"/>
        </w:numPr>
      </w:pPr>
      <w:r>
        <w:t xml:space="preserve">Gamma(.015, .01) gives an expectation of 1.5.</w:t>
      </w:r>
    </w:p>
    <w:p>
      <w:pPr>
        <w:numPr>
          <w:numId w:val="1001"/>
          <w:ilvl w:val="0"/>
        </w:numPr>
      </w:pPr>
      <w:r>
        <w:t xml:space="preserve">Gamma(.014, .01) gives an expectation of 1.4 which is within the 10% range of the mayo rate.</w:t>
      </w:r>
    </w:p>
    <w:p>
      <w:pPr>
        <w:numPr>
          <w:numId w:val="1001"/>
          <w:ilvl w:val="0"/>
        </w:numPr>
      </w:pPr>
      <w:r>
        <w:t xml:space="preserve">Uniform(0,1), gives a prior that is not a function of the mayo rate.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bf45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531">
    <w:nsid w:val="3922674f"/>
    <w:multiLevelType w:val="multilevel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</dc:title>
  <dc:creator>Robin Baldeo</dc:creator>
  <dcterms:created xsi:type="dcterms:W3CDTF">2019-02-18T18:12:52Z</dcterms:created>
  <dcterms:modified xsi:type="dcterms:W3CDTF">2019-02-18T18:12:52Z</dcterms:modified>
</cp:coreProperties>
</file>