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CBD5" w14:textId="77777777" w:rsidR="00ED6129" w:rsidRDefault="00000000">
      <w:pPr>
        <w:spacing w:after="60"/>
      </w:pPr>
      <w:r>
        <w:rPr>
          <w:rFonts w:ascii="Arial" w:eastAsia="Arial" w:hAnsi="Arial" w:cs="Arial"/>
          <w:b/>
          <w:bCs/>
          <w:sz w:val="28"/>
          <w:szCs w:val="28"/>
        </w:rPr>
        <w:t>Research note: the competing bids for Warner Bros. Discovery (WBD)</w:t>
      </w:r>
    </w:p>
    <w:p w14:paraId="5E1595F9" w14:textId="6CD8B29A" w:rsidR="00ED6129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Position at 27 February 2026</w:t>
      </w:r>
    </w:p>
    <w:p w14:paraId="7D276B5D" w14:textId="77777777" w:rsidR="00ED6129" w:rsidRDefault="00000000">
      <w:pPr>
        <w:keepNext/>
        <w:spacing w:before="120" w:after="5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Recommendation</w:t>
      </w:r>
    </w:p>
    <w:p w14:paraId="6C4EBCED" w14:textId="77777777" w:rsidR="00ED6129" w:rsidRDefault="00000000">
      <w:pPr>
        <w:spacing w:after="90" w:line="252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WBD should accept Paramount's $31.00 all-cash bid. </w:t>
      </w:r>
      <w:r>
        <w:rPr>
          <w:rFonts w:ascii="Arial" w:eastAsia="Arial" w:hAnsi="Arial" w:cs="Arial"/>
          <w:sz w:val="19"/>
          <w:szCs w:val="19"/>
        </w:rPr>
        <w:t>It is the higher price, it is simpler (no Discovery Global separation), and it moves more risk to the buyer. Netflix should not raise its offer.</w:t>
      </w:r>
    </w:p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00"/>
        <w:gridCol w:w="4300"/>
      </w:tblGrid>
      <w:tr w:rsidR="00ED6129" w14:paraId="08EEC03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B2D0C0" w14:textId="77777777" w:rsidR="00ED6129" w:rsidRDefault="00ED6129"/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FF2AF2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Paramount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1F4D8B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Netflix</w:t>
            </w:r>
          </w:p>
        </w:tc>
      </w:tr>
      <w:tr w:rsidR="00ED6129" w14:paraId="2ED5D46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50B4FA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Price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3BC11A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$31.00 cash; +$0.25/share per quarter ticking fee after 30 Sep 2026 [1]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6BB399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$27.75 cash (all-cash since Jan 2026); holders keep Discovery Global shares [2]</w:t>
            </w:r>
          </w:p>
        </w:tc>
      </w:tr>
      <w:tr w:rsidR="00ED6129" w14:paraId="18B29664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2CC8F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Scope / value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AE72ED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Whole company; EV ~$110bn, equity ~$81bn fully diluted [1]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BB3EF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Warner Bros. only, after separation; EV $82.7bn, equity $72.0bn [3]</w:t>
            </w:r>
          </w:p>
        </w:tc>
      </w:tr>
      <w:tr w:rsidR="00ED6129" w14:paraId="3D40862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04782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Fee if regulators block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3FD26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$7bn [4]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37A1E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$5.8bn [5]</w:t>
            </w:r>
          </w:p>
        </w:tc>
      </w:tr>
      <w:tr w:rsidR="00ED6129" w14:paraId="725A11C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682571" w14:textId="77777777" w:rsidR="00ED6129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$2.8bn Netflix break fee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149A1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Paid by Paramount for WBD [6]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2566A" w14:textId="77777777" w:rsidR="00ED6129" w:rsidRDefault="00000000">
            <w:r>
              <w:rPr>
                <w:rFonts w:ascii="Arial" w:eastAsia="Arial" w:hAnsi="Arial" w:cs="Arial"/>
                <w:sz w:val="17"/>
                <w:szCs w:val="17"/>
              </w:rPr>
              <w:t>Owed by WBD on a superior bid [6]</w:t>
            </w:r>
          </w:p>
        </w:tc>
      </w:tr>
    </w:tbl>
    <w:p w14:paraId="0469B187" w14:textId="77777777" w:rsidR="00ED6129" w:rsidRDefault="00000000">
      <w:pPr>
        <w:keepNext/>
        <w:spacing w:before="120" w:after="5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Why Paramount is stronger for WBD</w:t>
      </w:r>
    </w:p>
    <w:p w14:paraId="65CC499A" w14:textId="77777777" w:rsidR="00ED6129" w:rsidRDefault="00000000">
      <w:pPr>
        <w:spacing w:after="90" w:line="252" w:lineRule="auto"/>
      </w:pPr>
      <w:r>
        <w:rPr>
          <w:rFonts w:ascii="Arial" w:eastAsia="Arial" w:hAnsi="Arial" w:cs="Arial"/>
          <w:sz w:val="19"/>
          <w:szCs w:val="19"/>
        </w:rPr>
        <w:t>Cash for the whole company is easy to value, whereas Netflix's value depends on the separation and on how debt is split. Paramount also raised its regulatory fee to $7bn and covers the $2.8bn WBD owes Netflix. Main risks: regulatory approval, and financing of about $47bn of new equity and $54bn of debt commitments [1]. The ticking fee only partly offsets delay.</w:t>
      </w:r>
    </w:p>
    <w:p w14:paraId="693096AC" w14:textId="77777777" w:rsidR="00ED6129" w:rsidRDefault="00000000">
      <w:pPr>
        <w:keepNext/>
        <w:spacing w:before="120" w:after="5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Why Netflix should not match</w:t>
      </w:r>
    </w:p>
    <w:p w14:paraId="08113CBF" w14:textId="77777777" w:rsidR="00ED6129" w:rsidRDefault="00000000">
      <w:pPr>
        <w:spacing w:after="90" w:line="252" w:lineRule="auto"/>
      </w:pPr>
      <w:r>
        <w:rPr>
          <w:rFonts w:ascii="Arial" w:eastAsia="Arial" w:hAnsi="Arial" w:cs="Arial"/>
          <w:sz w:val="19"/>
          <w:szCs w:val="19"/>
        </w:rPr>
        <w:t>Matching adds $3.25 per share, about $8.1bn on ~2.48bn basic shares. Netflix's own case was $2–3bn of annual cost savings by year three [3]; at 10% that capitalises to $20–30bn before tax and integration costs, against a premium of $15.21 per share (~$37.7bn) over WBD's undisturbed $12.54 [7]. The case therefore depends on revenue synergies, the least certain kind, and bidders who win by out-estimating rivals risk the winner's curse. Walking away pays Netflix $2.8bn [6].</w:t>
      </w:r>
    </w:p>
    <w:p w14:paraId="18543352" w14:textId="77777777" w:rsidR="00ED6129" w:rsidRDefault="00000000">
      <w:pPr>
        <w:keepNext/>
        <w:spacing w:before="120" w:after="5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Market reaction</w:t>
      </w:r>
    </w:p>
    <w:p w14:paraId="714192A6" w14:textId="77777777" w:rsidR="00ED6129" w:rsidRDefault="00000000">
      <w:pPr>
        <w:spacing w:after="90" w:line="252" w:lineRule="auto"/>
      </w:pPr>
      <w:r>
        <w:rPr>
          <w:rFonts w:ascii="Arial" w:eastAsia="Arial" w:hAnsi="Arial" w:cs="Arial"/>
          <w:sz w:val="19"/>
          <w:szCs w:val="19"/>
        </w:rPr>
        <w:t>Netflix closed at $96.24 on 27 February, up 13.8% from $84.59 [8]; its shares had fallen when the bid was announced and again when the agreement was signed [9]. Its co-CEOs said that at the price needed to match, the deal was “no longer financially attractive” [10]. The $2.8bn fee is about $0.67 per share (~4.2bn shares, approximate), roughly 6% of the $11.65 gain, so most of the move is the market rewarding capital discipline and the avoided $82.7bn, debt-funded deal. This split is an inference, not an event study. Paramount rose nearly 21% [11], unusual for a winning bidder. A plausible reading is that Netflix's exit capped the price and signalled that $31.00 was within Paramount's synergy estimate (over $6bn a year [1]). At a 10% discount rate that is $60bn pre-tax against a $45.8bn premium; after 21% tax it is about $47bn, so integration costs could erase the gain.</w:t>
      </w:r>
    </w:p>
    <w:p w14:paraId="7BA3DD8B" w14:textId="77777777" w:rsidR="00ED6129" w:rsidRDefault="00000000">
      <w:pPr>
        <w:keepNext/>
        <w:spacing w:before="120" w:after="5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Basis of figures</w:t>
      </w:r>
    </w:p>
    <w:p w14:paraId="58770545" w14:textId="77777777" w:rsidR="00ED6129" w:rsidRDefault="00000000">
      <w:pPr>
        <w:spacing w:after="70" w:line="252" w:lineRule="auto"/>
      </w:pPr>
      <w:r>
        <w:rPr>
          <w:rFonts w:ascii="Arial" w:eastAsia="Arial" w:hAnsi="Arial" w:cs="Arial"/>
          <w:sz w:val="19"/>
          <w:szCs w:val="19"/>
        </w:rPr>
        <w:t>Share counts: all calculations use ~2.48bn basic shares, because the undisturbed market value ($12.54 × 2.48bn = $31.1bn) and Paramount's $76.9bn offer ($31.00 × 2.48bn) are on that basis. Reported equity values ($72.0bn, ~$81bn) are fully diluted and are not comparable with $31.1bn. Assumptions are mine: 10% discount rate, no phase-in, synergies as a perpetuity.</w:t>
      </w:r>
    </w:p>
    <w:p w14:paraId="6AFCCF8F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26154B21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248C6A5A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4A96C3E1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3F3D4F33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54751A53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5F2AC7A2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425AE629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1212586C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1FD69DB5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795771ED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5111D7FB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34E6AC12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59D05B2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4B6FE6F3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3F98A4F9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AC2180C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23E52828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EA97A06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040220B9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0EBF378B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3C29B978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1B6B48CF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AEA1C73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1A38CA4D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47AF998F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20D7A4BD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B7748E8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3A614E3B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06A2D7FB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4AC0B121" w14:textId="77777777" w:rsid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p w14:paraId="691217EF" w14:textId="30446418" w:rsidR="00ED6129" w:rsidRDefault="00000000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  <w:r>
        <w:rPr>
          <w:rFonts w:ascii="Arial" w:eastAsia="Arial" w:hAnsi="Arial" w:cs="Arial"/>
          <w:color w:val="444444"/>
          <w:sz w:val="14"/>
          <w:szCs w:val="14"/>
        </w:rPr>
        <w:t xml:space="preserve">Sources: </w:t>
      </w:r>
    </w:p>
    <w:p w14:paraId="56A29F38" w14:textId="77777777" w:rsid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</w:p>
    <w:p w14:paraId="0724DE98" w14:textId="00F874B9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Paramount (2026) Paramount to Acquire Warner Bros. Discovery to Form Next-Generation</w:t>
      </w:r>
    </w:p>
    <w:p w14:paraId="30CB60AA" w14:textId="54B908BB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Global Media and Entertainment Company. Available at: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https://www.paramount.com/press/paramount-to-acquire-warner-bros-discovery-to-form-</w:t>
      </w:r>
    </w:p>
    <w:p w14:paraId="0548309B" w14:textId="77777777" w:rsidR="00C8351E" w:rsidRDefault="00C8351E" w:rsidP="00C8351E">
      <w:pPr>
        <w:pStyle w:val="p2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next-generation-global-media-and-entertainment-company (Accessed: 22 March 2026).</w:t>
      </w:r>
    </w:p>
    <w:p w14:paraId="48DEF833" w14:textId="77777777" w:rsidR="00C8351E" w:rsidRPr="00C8351E" w:rsidRDefault="00C8351E" w:rsidP="00C8351E">
      <w:pPr>
        <w:pStyle w:val="p2"/>
        <w:rPr>
          <w:rFonts w:eastAsia="Arial"/>
          <w:color w:val="444444"/>
          <w:sz w:val="14"/>
          <w:szCs w:val="14"/>
        </w:rPr>
      </w:pPr>
    </w:p>
    <w:p w14:paraId="3D7D4B6D" w14:textId="7777777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Warner Bros. Discovery (2026a) DEFA14C. U.S. Securities and Exchange Commission.</w:t>
      </w:r>
    </w:p>
    <w:p w14:paraId="08143D7B" w14:textId="39BE922E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Available at: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https://www.sec.gov/Archives/edgar/data/2041610/000110465926016573/tm2533570-</w:t>
      </w:r>
    </w:p>
    <w:p w14:paraId="0B8756DA" w14:textId="77777777" w:rsid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55_def14c.htm (Accessed: 22 March 2026).</w:t>
      </w:r>
    </w:p>
    <w:p w14:paraId="568C3B4A" w14:textId="7777777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</w:p>
    <w:p w14:paraId="621BA164" w14:textId="7777777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Warner Bros. Discovery (2026b) Annual Report 2025. U.S. Securities and Exchange</w:t>
      </w:r>
    </w:p>
    <w:p w14:paraId="23D59B09" w14:textId="3516F009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Commission. Available at: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https://www.sec.gov/Archives/edgar/data/1437107/000143710726000020/wbd-</w:t>
      </w:r>
    </w:p>
    <w:p w14:paraId="54A967BC" w14:textId="77777777" w:rsid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20251231.htm (Accessed: 22 March 2026).</w:t>
      </w:r>
    </w:p>
    <w:p w14:paraId="16CEB96D" w14:textId="7777777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</w:p>
    <w:p w14:paraId="720CC758" w14:textId="659682A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Alexandridis, G., Fuller, K.P., Terhaar, L. and Travlos, N.G. (2013) 'Deal size, acquisition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premia and shareholder gains' , Journal of Corporate Finance , 20, pp. 1–13.</w:t>
      </w:r>
    </w:p>
    <w:p w14:paraId="4668C099" w14:textId="7981B9C7" w:rsidR="00C8351E" w:rsidRPr="00C8351E" w:rsidRDefault="00C8351E" w:rsidP="00C8351E">
      <w:pPr>
        <w:pStyle w:val="p1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Netflix (2025) Netflix to Acquire Warner Bros. Available at: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https://s22.q4cdn.com/959853165/files/doc_events/2025/Dec/05/Netflix-to-Acquire-Warner-</w:t>
      </w:r>
    </w:p>
    <w:p w14:paraId="3BB1925C" w14:textId="77777777" w:rsidR="00C8351E" w:rsidRDefault="00C8351E" w:rsidP="00C8351E">
      <w:pPr>
        <w:pStyle w:val="p2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Bros-Investor-Call-Transcript-docx.pdf (Accessed: 20 March 2026).</w:t>
      </w:r>
    </w:p>
    <w:p w14:paraId="09323A56" w14:textId="77777777" w:rsidR="00C8351E" w:rsidRPr="00C8351E" w:rsidRDefault="00C8351E" w:rsidP="00C8351E">
      <w:pPr>
        <w:pStyle w:val="p2"/>
        <w:rPr>
          <w:rFonts w:eastAsia="Arial"/>
          <w:color w:val="444444"/>
          <w:sz w:val="14"/>
          <w:szCs w:val="14"/>
        </w:rPr>
      </w:pPr>
    </w:p>
    <w:p w14:paraId="41FAFE50" w14:textId="10B50C3B" w:rsidR="00C8351E" w:rsidRPr="00C8351E" w:rsidRDefault="00C8351E" w:rsidP="00C8351E">
      <w:pPr>
        <w:pStyle w:val="p3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Hoberg, G. and Phillips, G.M., 2010. Product market synergies and competition in mergers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and acquisitions: A text-based analysis. The Review of Financial Studies, 23(10), pp.3774-3811.</w:t>
      </w:r>
    </w:p>
    <w:p w14:paraId="54A00501" w14:textId="77777777" w:rsidR="00C8351E" w:rsidRDefault="00C8351E" w:rsidP="00C8351E">
      <w:pPr>
        <w:pStyle w:val="p3"/>
        <w:rPr>
          <w:rFonts w:eastAsia="Arial"/>
          <w:color w:val="444444"/>
          <w:sz w:val="14"/>
          <w:szCs w:val="14"/>
        </w:rPr>
      </w:pPr>
    </w:p>
    <w:p w14:paraId="41E3CC54" w14:textId="63F0E2BE" w:rsidR="00C8351E" w:rsidRPr="00C8351E" w:rsidRDefault="00C8351E" w:rsidP="00C8351E">
      <w:pPr>
        <w:pStyle w:val="p3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Securities and Exchange Commission (SEC), 2025. Warner Bros. Discovery, Inc. Form 10-K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for the Fiscal Year Ended December 31, 2025. [online] Washington, D.C.: SEC.</w:t>
      </w:r>
    </w:p>
    <w:p w14:paraId="593B3C09" w14:textId="0904A433" w:rsidR="00C8351E" w:rsidRDefault="00C8351E" w:rsidP="00C8351E">
      <w:pPr>
        <w:pStyle w:val="p3"/>
        <w:rPr>
          <w:rFonts w:eastAsia="Arial"/>
          <w:color w:val="444444"/>
          <w:sz w:val="14"/>
          <w:szCs w:val="14"/>
        </w:rPr>
      </w:pPr>
      <w:r w:rsidRPr="00C8351E">
        <w:rPr>
          <w:rFonts w:eastAsia="Arial"/>
          <w:color w:val="444444"/>
          <w:sz w:val="14"/>
          <w:szCs w:val="14"/>
        </w:rPr>
        <w:t>Yahoo Finance, 2026. Netflix, Inc. (NFLX) Historical Price Data. [online] Available at:</w:t>
      </w:r>
      <w:r>
        <w:rPr>
          <w:rFonts w:eastAsia="Arial"/>
          <w:color w:val="444444"/>
          <w:sz w:val="14"/>
          <w:szCs w:val="14"/>
        </w:rPr>
        <w:t xml:space="preserve"> </w:t>
      </w:r>
      <w:r w:rsidRPr="00C8351E">
        <w:rPr>
          <w:rFonts w:eastAsia="Arial"/>
          <w:color w:val="444444"/>
          <w:sz w:val="14"/>
          <w:szCs w:val="14"/>
        </w:rPr>
        <w:t>https://finance.yahoo.com/quote/NFLX/history (Accessed 29 March 2026).</w:t>
      </w:r>
    </w:p>
    <w:p w14:paraId="5758D015" w14:textId="77777777" w:rsidR="00C8351E" w:rsidRDefault="00C8351E" w:rsidP="00C8351E">
      <w:pPr>
        <w:rPr>
          <w:rFonts w:ascii="Arial" w:eastAsia="Arial" w:hAnsi="Arial" w:cs="Arial"/>
          <w:color w:val="444444"/>
          <w:sz w:val="14"/>
          <w:szCs w:val="14"/>
        </w:rPr>
      </w:pPr>
    </w:p>
    <w:p w14:paraId="5406B908" w14:textId="26CBB7FE" w:rsidR="00C8351E" w:rsidRPr="00C8351E" w:rsidRDefault="00C8351E" w:rsidP="00C8351E">
      <w:pPr>
        <w:rPr>
          <w:rFonts w:ascii="Arial" w:eastAsia="Arial" w:hAnsi="Arial" w:cs="Arial"/>
          <w:color w:val="444444"/>
          <w:sz w:val="14"/>
          <w:szCs w:val="14"/>
        </w:rPr>
      </w:pPr>
      <w:r w:rsidRPr="00C8351E">
        <w:rPr>
          <w:rFonts w:ascii="Arial" w:eastAsia="Arial" w:hAnsi="Arial" w:cs="Arial"/>
          <w:color w:val="444444"/>
          <w:sz w:val="14"/>
          <w:szCs w:val="14"/>
        </w:rPr>
        <w:t>Yahoo Finance, 2026. Paramount Global Historical Price Data. [online] Available at:</w:t>
      </w:r>
      <w:r>
        <w:rPr>
          <w:rFonts w:ascii="Arial" w:eastAsia="Arial" w:hAnsi="Arial" w:cs="Arial"/>
          <w:color w:val="444444"/>
          <w:sz w:val="14"/>
          <w:szCs w:val="14"/>
        </w:rPr>
        <w:t xml:space="preserve"> </w:t>
      </w:r>
      <w:r w:rsidRPr="00C8351E">
        <w:rPr>
          <w:rFonts w:ascii="Arial" w:eastAsia="Arial" w:hAnsi="Arial" w:cs="Arial"/>
          <w:color w:val="444444"/>
          <w:sz w:val="14"/>
          <w:szCs w:val="14"/>
        </w:rPr>
        <w:t>https://finance.yahoo.com/quote/PARA/history (Accessed 29 March 2026).</w:t>
      </w:r>
    </w:p>
    <w:p w14:paraId="6B40D5EB" w14:textId="77777777" w:rsidR="00C8351E" w:rsidRDefault="00C8351E" w:rsidP="00C8351E">
      <w:pPr>
        <w:rPr>
          <w:rFonts w:ascii="Arial" w:eastAsia="Arial" w:hAnsi="Arial" w:cs="Arial"/>
          <w:color w:val="444444"/>
          <w:sz w:val="14"/>
          <w:szCs w:val="14"/>
        </w:rPr>
      </w:pPr>
    </w:p>
    <w:p w14:paraId="7F9CA361" w14:textId="2094A130" w:rsidR="00C8351E" w:rsidRPr="00C8351E" w:rsidRDefault="00C8351E" w:rsidP="00C8351E">
      <w:pPr>
        <w:rPr>
          <w:rFonts w:ascii="Arial" w:eastAsia="Arial" w:hAnsi="Arial" w:cs="Arial"/>
          <w:color w:val="444444"/>
          <w:sz w:val="14"/>
          <w:szCs w:val="14"/>
        </w:rPr>
      </w:pPr>
      <w:r w:rsidRPr="00C8351E">
        <w:rPr>
          <w:rFonts w:ascii="Arial" w:eastAsia="Arial" w:hAnsi="Arial" w:cs="Arial"/>
          <w:color w:val="444444"/>
          <w:sz w:val="14"/>
          <w:szCs w:val="14"/>
        </w:rPr>
        <w:t>The Guardian (2026) California raises concerns over Paramount-Warner Bros merger.</w:t>
      </w:r>
      <w:r>
        <w:rPr>
          <w:rFonts w:ascii="Arial" w:eastAsia="Arial" w:hAnsi="Arial" w:cs="Arial"/>
          <w:color w:val="444444"/>
          <w:sz w:val="14"/>
          <w:szCs w:val="14"/>
        </w:rPr>
        <w:t xml:space="preserve"> </w:t>
      </w:r>
      <w:r w:rsidRPr="00C8351E">
        <w:rPr>
          <w:rFonts w:ascii="Arial" w:eastAsia="Arial" w:hAnsi="Arial" w:cs="Arial"/>
          <w:color w:val="444444"/>
          <w:sz w:val="14"/>
          <w:szCs w:val="14"/>
        </w:rPr>
        <w:t>Available at: https://www.theguardian.com/us-news/2026/feb/27/california-paramount-</w:t>
      </w:r>
    </w:p>
    <w:p w14:paraId="3734AEC2" w14:textId="77777777" w:rsidR="00C8351E" w:rsidRPr="00C8351E" w:rsidRDefault="00C8351E" w:rsidP="00C8351E">
      <w:pPr>
        <w:rPr>
          <w:rFonts w:ascii="Arial" w:eastAsia="Arial" w:hAnsi="Arial" w:cs="Arial"/>
          <w:color w:val="444444"/>
          <w:sz w:val="14"/>
          <w:szCs w:val="14"/>
        </w:rPr>
      </w:pPr>
      <w:r w:rsidRPr="00C8351E">
        <w:rPr>
          <w:rFonts w:ascii="Arial" w:eastAsia="Arial" w:hAnsi="Arial" w:cs="Arial"/>
          <w:color w:val="444444"/>
          <w:sz w:val="14"/>
          <w:szCs w:val="14"/>
        </w:rPr>
        <w:t>warner-bros (Accessed: 23 March 2026).</w:t>
      </w:r>
    </w:p>
    <w:p w14:paraId="2F602C36" w14:textId="77777777" w:rsidR="00C8351E" w:rsidRPr="00C8351E" w:rsidRDefault="00C8351E" w:rsidP="00C8351E">
      <w:pPr>
        <w:pStyle w:val="p4"/>
        <w:rPr>
          <w:rFonts w:eastAsia="Arial"/>
          <w:color w:val="444444"/>
          <w:sz w:val="14"/>
          <w:szCs w:val="14"/>
        </w:rPr>
      </w:pPr>
    </w:p>
    <w:p w14:paraId="2E5A2E5D" w14:textId="77777777" w:rsidR="00C8351E" w:rsidRPr="00C8351E" w:rsidRDefault="00C8351E">
      <w:pPr>
        <w:spacing w:before="60" w:line="220" w:lineRule="auto"/>
        <w:rPr>
          <w:rFonts w:ascii="Arial" w:eastAsia="Arial" w:hAnsi="Arial" w:cs="Arial"/>
          <w:color w:val="444444"/>
          <w:sz w:val="14"/>
          <w:szCs w:val="14"/>
        </w:rPr>
      </w:pPr>
    </w:p>
    <w:sectPr w:rsidR="00C8351E" w:rsidRPr="00C8351E">
      <w:pgSz w:w="11906" w:h="16838"/>
      <w:pgMar w:top="850" w:right="500" w:bottom="7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27B"/>
    <w:multiLevelType w:val="hybridMultilevel"/>
    <w:tmpl w:val="123A992E"/>
    <w:lvl w:ilvl="0" w:tplc="0914C000">
      <w:start w:val="1"/>
      <w:numFmt w:val="bullet"/>
      <w:lvlText w:val="●"/>
      <w:lvlJc w:val="left"/>
      <w:pPr>
        <w:ind w:left="720" w:hanging="360"/>
      </w:pPr>
    </w:lvl>
    <w:lvl w:ilvl="1" w:tplc="487C3376">
      <w:start w:val="1"/>
      <w:numFmt w:val="bullet"/>
      <w:lvlText w:val="○"/>
      <w:lvlJc w:val="left"/>
      <w:pPr>
        <w:ind w:left="1440" w:hanging="360"/>
      </w:pPr>
    </w:lvl>
    <w:lvl w:ilvl="2" w:tplc="95D0C7F0">
      <w:start w:val="1"/>
      <w:numFmt w:val="bullet"/>
      <w:lvlText w:val="■"/>
      <w:lvlJc w:val="left"/>
      <w:pPr>
        <w:ind w:left="2160" w:hanging="360"/>
      </w:pPr>
    </w:lvl>
    <w:lvl w:ilvl="3" w:tplc="E1A87D80">
      <w:start w:val="1"/>
      <w:numFmt w:val="bullet"/>
      <w:lvlText w:val="●"/>
      <w:lvlJc w:val="left"/>
      <w:pPr>
        <w:ind w:left="2880" w:hanging="360"/>
      </w:pPr>
    </w:lvl>
    <w:lvl w:ilvl="4" w:tplc="F500A8C0">
      <w:start w:val="1"/>
      <w:numFmt w:val="bullet"/>
      <w:lvlText w:val="○"/>
      <w:lvlJc w:val="left"/>
      <w:pPr>
        <w:ind w:left="3600" w:hanging="360"/>
      </w:pPr>
    </w:lvl>
    <w:lvl w:ilvl="5" w:tplc="5926646C">
      <w:start w:val="1"/>
      <w:numFmt w:val="bullet"/>
      <w:lvlText w:val="■"/>
      <w:lvlJc w:val="left"/>
      <w:pPr>
        <w:ind w:left="4320" w:hanging="360"/>
      </w:pPr>
    </w:lvl>
    <w:lvl w:ilvl="6" w:tplc="1D9A17F0">
      <w:start w:val="1"/>
      <w:numFmt w:val="bullet"/>
      <w:lvlText w:val="●"/>
      <w:lvlJc w:val="left"/>
      <w:pPr>
        <w:ind w:left="5040" w:hanging="360"/>
      </w:pPr>
    </w:lvl>
    <w:lvl w:ilvl="7" w:tplc="A6245B74">
      <w:start w:val="1"/>
      <w:numFmt w:val="bullet"/>
      <w:lvlText w:val="●"/>
      <w:lvlJc w:val="left"/>
      <w:pPr>
        <w:ind w:left="5760" w:hanging="360"/>
      </w:pPr>
    </w:lvl>
    <w:lvl w:ilvl="8" w:tplc="CEAC5654">
      <w:start w:val="1"/>
      <w:numFmt w:val="bullet"/>
      <w:lvlText w:val="●"/>
      <w:lvlJc w:val="left"/>
      <w:pPr>
        <w:ind w:left="6480" w:hanging="360"/>
      </w:pPr>
    </w:lvl>
  </w:abstractNum>
  <w:num w:numId="1" w16cid:durableId="416175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29"/>
    <w:rsid w:val="00C8351E"/>
    <w:rsid w:val="00D0671B"/>
    <w:rsid w:val="00E53013"/>
    <w:rsid w:val="00ED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66B76"/>
  <w15:docId w15:val="{FC14B8BA-232A-E340-9AC8-4C5FF821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C8351E"/>
    <w:rPr>
      <w:rFonts w:ascii="Arial" w:hAnsi="Arial" w:cs="Arial"/>
      <w:color w:val="000000"/>
      <w:sz w:val="17"/>
      <w:szCs w:val="17"/>
    </w:rPr>
  </w:style>
  <w:style w:type="paragraph" w:customStyle="1" w:styleId="p2">
    <w:name w:val="p2"/>
    <w:basedOn w:val="Normal"/>
    <w:rsid w:val="00C8351E"/>
    <w:rPr>
      <w:rFonts w:ascii="Arial" w:hAnsi="Arial" w:cs="Arial"/>
      <w:color w:val="386573"/>
      <w:sz w:val="17"/>
      <w:szCs w:val="17"/>
    </w:rPr>
  </w:style>
  <w:style w:type="paragraph" w:customStyle="1" w:styleId="p3">
    <w:name w:val="p3"/>
    <w:basedOn w:val="Normal"/>
    <w:rsid w:val="00C8351E"/>
    <w:rPr>
      <w:rFonts w:ascii="Arial" w:hAnsi="Arial" w:cs="Arial"/>
      <w:color w:val="1A1A1A"/>
      <w:sz w:val="17"/>
      <w:szCs w:val="17"/>
    </w:rPr>
  </w:style>
  <w:style w:type="paragraph" w:customStyle="1" w:styleId="p4">
    <w:name w:val="p4"/>
    <w:basedOn w:val="Normal"/>
    <w:rsid w:val="00C8351E"/>
    <w:rPr>
      <w:rFonts w:ascii="Arial" w:hAnsi="Arial" w:cs="Arial"/>
      <w:color w:val="103CC0"/>
      <w:sz w:val="17"/>
      <w:szCs w:val="17"/>
    </w:rPr>
  </w:style>
  <w:style w:type="character" w:customStyle="1" w:styleId="s1">
    <w:name w:val="s1"/>
    <w:basedOn w:val="DefaultParagraphFont"/>
    <w:rsid w:val="00C8351E"/>
    <w:rPr>
      <w:color w:val="000000"/>
    </w:rPr>
  </w:style>
  <w:style w:type="character" w:customStyle="1" w:styleId="s2">
    <w:name w:val="s2"/>
    <w:basedOn w:val="DefaultParagraphFont"/>
    <w:rsid w:val="00C8351E"/>
    <w:rPr>
      <w:color w:val="386573"/>
    </w:rPr>
  </w:style>
  <w:style w:type="character" w:customStyle="1" w:styleId="s3">
    <w:name w:val="s3"/>
    <w:basedOn w:val="DefaultParagraphFont"/>
    <w:rsid w:val="00C8351E"/>
    <w:rPr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SREELAL, PRANAV (PGT)</cp:lastModifiedBy>
  <cp:revision>3</cp:revision>
  <dcterms:created xsi:type="dcterms:W3CDTF">2026-10-04T22:24:00Z</dcterms:created>
  <dcterms:modified xsi:type="dcterms:W3CDTF">2026-10-04T22:29:00Z</dcterms:modified>
</cp:coreProperties>
</file>