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pPr>
      <w:r>
        <w:rPr>
          <w:rFonts w:ascii="Arial" w:hAnsi="Arial" w:eastAsia="Arial" w:cs="Arial"/>
          <w:b/>
          <w:i w:val="0"/>
          <w:color w:val="000000"/>
          <w:sz w:val="22"/>
        </w:rPr>
        <w:t>A simulation study of income-dependent missing data and kidney disease screening errors across income groups</w:t>
      </w:r>
    </w:p>
    <w:p>
      <w:pPr>
        <w:spacing w:line="360" w:lineRule="auto" w:before="0" w:after="0"/>
      </w:pPr>
    </w:p>
    <w:p>
      <w:pPr>
        <w:spacing w:line="360" w:lineRule="auto" w:before="0" w:after="0"/>
      </w:pPr>
      <w:r>
        <w:rPr>
          <w:rFonts w:ascii="Arial" w:hAnsi="Arial" w:eastAsia="Arial" w:cs="Arial"/>
          <w:b/>
          <w:i w:val="0"/>
          <w:color w:val="000000"/>
          <w:sz w:val="22"/>
        </w:rPr>
        <w:t>Pranav Mamidala</w:t>
      </w:r>
      <w:r>
        <w:rPr>
          <w:rFonts w:ascii="Arial" w:hAnsi="Arial" w:eastAsia="Arial" w:cs="Arial"/>
          <w:b/>
          <w:i w:val="0"/>
          <w:color w:val="000000"/>
          <w:sz w:val="22"/>
          <w:vertAlign w:val="superscript"/>
        </w:rPr>
        <w:t>1</w:t>
      </w:r>
      <w:r>
        <w:rPr>
          <w:rFonts w:ascii="Arial" w:hAnsi="Arial" w:eastAsia="Arial" w:cs="Arial"/>
          <w:b/>
          <w:i w:val="0"/>
          <w:color w:val="000000"/>
          <w:sz w:val="22"/>
        </w:rPr>
        <w:t>, Samira Vedantam</w:t>
      </w:r>
      <w:r>
        <w:rPr>
          <w:rFonts w:ascii="Arial" w:hAnsi="Arial" w:eastAsia="Arial" w:cs="Arial"/>
          <w:b/>
          <w:i w:val="0"/>
          <w:color w:val="000000"/>
          <w:sz w:val="22"/>
          <w:vertAlign w:val="superscript"/>
        </w:rPr>
        <w:t>2</w:t>
      </w:r>
    </w:p>
    <w:p>
      <w:pPr>
        <w:spacing w:line="360" w:lineRule="auto" w:before="0" w:after="0"/>
      </w:pPr>
      <w:r>
        <w:rPr>
          <w:rFonts w:ascii="Arial" w:hAnsi="Arial" w:eastAsia="Arial" w:cs="Arial"/>
          <w:b w:val="0"/>
          <w:i w:val="0"/>
          <w:color w:val="000000"/>
          <w:sz w:val="22"/>
          <w:vertAlign w:val="superscript"/>
        </w:rPr>
        <w:t>1</w:t>
      </w:r>
      <w:r>
        <w:rPr>
          <w:rFonts w:ascii="Arial" w:hAnsi="Arial" w:eastAsia="Arial" w:cs="Arial"/>
          <w:b w:val="0"/>
          <w:i w:val="0"/>
          <w:color w:val="000000"/>
          <w:sz w:val="22"/>
        </w:rPr>
        <w:t xml:space="preserve"> Monta Vista High School, Cupertino, California</w:t>
      </w:r>
    </w:p>
    <w:p>
      <w:pPr>
        <w:spacing w:line="360" w:lineRule="auto" w:before="0" w:after="0"/>
      </w:pPr>
      <w:r>
        <w:rPr>
          <w:rFonts w:ascii="Arial" w:hAnsi="Arial" w:eastAsia="Arial" w:cs="Arial"/>
          <w:b w:val="0"/>
          <w:i w:val="0"/>
          <w:color w:val="000000"/>
          <w:sz w:val="22"/>
          <w:vertAlign w:val="superscript"/>
        </w:rPr>
        <w:t>2</w:t>
      </w:r>
      <w:r>
        <w:rPr>
          <w:rFonts w:ascii="Arial" w:hAnsi="Arial" w:eastAsia="Arial" w:cs="Arial"/>
          <w:b w:val="0"/>
          <w:i w:val="0"/>
          <w:color w:val="000000"/>
          <w:sz w:val="22"/>
        </w:rPr>
        <w:t xml:space="preserve"> [MENTOR AFFILIATION]</w:t>
      </w:r>
    </w:p>
    <w:p>
      <w:pPr>
        <w:spacing w:line="360" w:lineRule="auto" w:before="0" w:after="0"/>
      </w:pPr>
    </w:p>
    <w:p>
      <w:pPr>
        <w:spacing w:line="360" w:lineRule="auto" w:before="0" w:after="0"/>
      </w:pPr>
      <w:r>
        <w:rPr>
          <w:rFonts w:ascii="Arial" w:hAnsi="Arial" w:eastAsia="Arial" w:cs="Arial"/>
          <w:b/>
          <w:i w:val="0"/>
          <w:color w:val="000000"/>
          <w:sz w:val="22"/>
        </w:rPr>
        <w:t>Student Authors</w:t>
      </w:r>
    </w:p>
    <w:p>
      <w:pPr>
        <w:spacing w:line="360" w:lineRule="auto" w:before="0" w:after="0"/>
      </w:pPr>
      <w:r>
        <w:rPr>
          <w:rFonts w:ascii="Arial" w:hAnsi="Arial" w:eastAsia="Arial" w:cs="Arial"/>
          <w:b w:val="0"/>
          <w:i w:val="0"/>
          <w:color w:val="000000"/>
          <w:sz w:val="22"/>
        </w:rPr>
        <w:t>Pranav Mamidala, Grade 10</w:t>
      </w:r>
    </w:p>
    <w:p>
      <w:pPr>
        <w:spacing w:line="360" w:lineRule="auto" w:before="0" w:after="0"/>
      </w:pPr>
    </w:p>
    <w:p>
      <w:pPr>
        <w:spacing w:line="360" w:lineRule="auto" w:before="0" w:after="0"/>
      </w:pPr>
      <w:r>
        <w:rPr>
          <w:rFonts w:ascii="Arial" w:hAnsi="Arial" w:eastAsia="Arial" w:cs="Arial"/>
          <w:b/>
          <w:i w:val="0"/>
          <w:color w:val="000000"/>
          <w:sz w:val="22"/>
        </w:rPr>
        <w:t>KEYWORDS:</w:t>
      </w:r>
      <w:r>
        <w:rPr>
          <w:rFonts w:ascii="Arial" w:hAnsi="Arial" w:eastAsia="Arial" w:cs="Arial"/>
          <w:b w:val="0"/>
          <w:i w:val="0"/>
          <w:color w:val="000000"/>
          <w:sz w:val="22"/>
        </w:rPr>
        <w:t xml:space="preserve"> Missing data, Simulation, Kidney, NHANES, Screening</w:t>
      </w:r>
    </w:p>
    <w:p>
      <w:pPr>
        <w:spacing w:line="360" w:lineRule="auto" w:before="0" w:after="0"/>
      </w:pPr>
    </w:p>
    <w:p>
      <w:pPr>
        <w:spacing w:line="360" w:lineRule="auto" w:before="0" w:after="0"/>
      </w:pPr>
      <w:r>
        <w:rPr>
          <w:rFonts w:ascii="Arial" w:hAnsi="Arial" w:eastAsia="Arial" w:cs="Arial"/>
          <w:b/>
          <w:i w:val="0"/>
          <w:color w:val="000000"/>
          <w:sz w:val="22"/>
        </w:rPr>
        <w:t>OVERVIEW:</w:t>
      </w:r>
      <w:r>
        <w:rPr>
          <w:rFonts w:ascii="Arial" w:hAnsi="Arial" w:eastAsia="Arial" w:cs="Arial"/>
          <w:b w:val="0"/>
          <w:i w:val="0"/>
          <w:color w:val="000000"/>
          <w:sz w:val="22"/>
        </w:rPr>
        <w:t xml:space="preserve"> Lab and exam values may be missing more often for low-income patients. In a simulation using complete national survey records, we deleted values more often for low-income adults and found that common repairs made a kidney disease screening model miss more cases in that group when the assumed income difference in missing data was large.</w:t>
      </w:r>
    </w:p>
    <w:p>
      <w:pPr>
        <w:spacing w:after="0"/>
      </w:pPr>
      <w:r>
        <w:br w:type="page"/>
      </w:r>
    </w:p>
    <w:p>
      <w:pPr>
        <w:keepNext/>
        <w:spacing w:line="360" w:lineRule="auto" w:before="0" w:after="0"/>
      </w:pPr>
      <w:r>
        <w:rPr>
          <w:rFonts w:ascii="Arial" w:hAnsi="Arial" w:eastAsia="Arial" w:cs="Arial"/>
          <w:b/>
          <w:i w:val="0"/>
          <w:color w:val="000000"/>
          <w:sz w:val="22"/>
        </w:rPr>
        <w:t>SUMMARY</w:t>
      </w:r>
    </w:p>
    <w:p>
      <w:pPr>
        <w:spacing w:line="360" w:lineRule="auto" w:before="0" w:after="0"/>
      </w:pPr>
      <w:r>
        <w:rPr>
          <w:rFonts w:ascii="Arial" w:hAnsi="Arial" w:eastAsia="Arial" w:cs="Arial"/>
          <w:b w:val="0"/>
          <w:i w:val="0"/>
          <w:color w:val="000000"/>
          <w:sz w:val="22"/>
        </w:rPr>
        <w:t>Screening algorithms must fill in missing lab and exam values before predicting, and records may be less complete for patients with fewer financial resources. In this simulation study, we hypothesized that when values were deleted more often for low-income adults, a chronic kidney disease (CKD) screening model repaired with chained-equation or nearest-neighbor imputation would miss more low-income CKD cases than with complete data. Using 12,546 adults with complete records from the 2013–2018 National Health and Nutrition Examination Survey (NHANES), we trained a model on 15 routine features and deleted test-set values for 30%, 10%, and 5% of low-, middle-, and high-income participants. In this preregistered design, the low-income false negative rate rose by 6.0 percentage points (95% CI, 2.1 to 10.1) with chained-equation and 4.9 points (0.9 to 8.3) with nearest-neighbor imputation, versus about 1 point for high-income adults. In exploratory analyses, mean and median imputation and block deletion gave similar or larger increases, whereas stochastic iterative imputation with prediction averaging did not increase missed cases but flagged more people without CKD. Missingness patterns observed in NHANES mainly reflect survey nonparticipation and nonmeasurement rather than clinical testing; with them, the low-minus-high difference changed by 0.7 points (−1.5 to 2.9) for mean imputation. Weighting for complete-case selection did not materially change these results. In the scenarios examined, a substantial increase in the false-negative disparity was observed under the larger assumed missingness gradient, whereas no clear increase was detected under empirically calibrated NHANES patterns.</w:t>
      </w:r>
    </w:p>
    <w:p>
      <w:pPr>
        <w:spacing w:after="0"/>
      </w:pPr>
      <w:r>
        <w:br w:type="page"/>
      </w:r>
    </w:p>
    <w:p>
      <w:pPr>
        <w:keepNext/>
        <w:spacing w:line="360" w:lineRule="auto" w:before="0" w:after="0"/>
      </w:pPr>
      <w:r>
        <w:rPr>
          <w:rFonts w:ascii="Arial" w:hAnsi="Arial" w:eastAsia="Arial" w:cs="Arial"/>
          <w:b/>
          <w:i w:val="0"/>
          <w:color w:val="000000"/>
          <w:sz w:val="22"/>
        </w:rPr>
        <w:t>INTRODUCTION</w:t>
      </w:r>
    </w:p>
    <w:p>
      <w:pPr>
        <w:spacing w:line="360" w:lineRule="auto" w:before="0" w:after="0"/>
        <w:ind w:firstLine="432"/>
      </w:pPr>
      <w:r>
        <w:rPr>
          <w:rFonts w:ascii="Arial" w:hAnsi="Arial" w:eastAsia="Arial" w:cs="Arial"/>
          <w:b w:val="0"/>
          <w:i w:val="0"/>
          <w:color w:val="000000"/>
          <w:sz w:val="22"/>
        </w:rPr>
        <w:t>Chronic kidney disease (CKD) is a long-term loss of kidney function that affects about 14% of adults in the United States (1). Because early CKD rarely causes symptoms, most adults with CKD do not know that they have it (1, 2). CKD is identified with two laboratory measurements: the estimated glomerular filtration rate (eGFR), calculated from serum creatinine, and the urine albumin-to-creatinine ratio (UACR) (3, 4). Detecting CKD early matters, because blood pressure control and kidney-protective medicines can slow its progression (3).</w:t>
      </w:r>
    </w:p>
    <w:p>
      <w:pPr>
        <w:spacing w:line="360" w:lineRule="auto" w:before="0" w:after="0"/>
        <w:ind w:firstLine="432"/>
      </w:pPr>
      <w:r>
        <w:rPr>
          <w:rFonts w:ascii="Arial" w:hAnsi="Arial" w:eastAsia="Arial" w:cs="Arial"/>
          <w:b w:val="0"/>
          <w:i w:val="0"/>
          <w:color w:val="000000"/>
          <w:sz w:val="22"/>
        </w:rPr>
        <w:t>Lower socioeconomic status is linked to a higher risk of CKD (5), yet recommended kidney tests are often not ordered: in a study of more than three million patients, only 35.1% of patients with diabetes and 4.1% of patients with hypertension had a UACR test over two years (6). Studies of electronic health record (EHR) data have reported that records can be less complete for patients with fewer resources or less access to care (7, 8), that whether a value is recorded reflects how a patient interacts with the healthcare system (9), and that restricting analyses to patients with complete records selects a different, often sicker, population (10, 11). How large the income difference in missing data is in a given clinic is not known in general, so in this study we treat it as an assumption to be varied rather than a measured fact.</w:t>
      </w:r>
    </w:p>
    <w:p>
      <w:pPr>
        <w:spacing w:line="360" w:lineRule="auto" w:before="0" w:after="0"/>
        <w:ind w:firstLine="432"/>
      </w:pPr>
      <w:r>
        <w:rPr>
          <w:rFonts w:ascii="Arial" w:hAnsi="Arial" w:eastAsia="Arial" w:cs="Arial"/>
          <w:b w:val="0"/>
          <w:i w:val="0"/>
          <w:color w:val="000000"/>
          <w:sz w:val="22"/>
        </w:rPr>
        <w:t>Most machine learning (ML) models cannot accept a blank entry, so missing values are usually filled in, or imputed, before a prediction is made (12, 13). Single-value methods fill each blank with the training mean or median, or copy values from the most similar records (k-nearest neighbors, KNN) (14). Chained-equation (CE) imputation predicts each incomplete variable from the others in turn; drawing several random imputations keeps some uncertainty about the missing value (15, 16). Tree models such as XGBoost can also route a missing value down a default branch without imputation (17). When missingness depends on income, these choices might change how often a model misses disease in that group.</w:t>
      </w:r>
    </w:p>
    <w:p>
      <w:pPr>
        <w:spacing w:line="360" w:lineRule="auto" w:before="0" w:after="0"/>
        <w:ind w:firstLine="432"/>
      </w:pPr>
      <w:r>
        <w:rPr>
          <w:rFonts w:ascii="Arial" w:hAnsi="Arial" w:eastAsia="Arial" w:cs="Arial"/>
          <w:b w:val="0"/>
          <w:i w:val="0"/>
          <w:color w:val="000000"/>
          <w:sz w:val="22"/>
        </w:rPr>
        <w:t>For a screening tool, the most harmful error is a false negative, a patient with disease who is not flagged. Comparing false negative rates (FNRs) across groups is a standard fairness check called equal opportunity (18–20). Previous simulations have shown that imputation choices can change the fairness of ML models (21, 22) and that features under-reported for one group can harm that group’s predictions (23), but these studies did not vary how much more often values were missing for low-income patients in a disease screening task.</w:t>
      </w:r>
    </w:p>
    <w:p>
      <w:pPr>
        <w:spacing w:line="360" w:lineRule="auto" w:before="0" w:after="0"/>
        <w:ind w:firstLine="432"/>
      </w:pPr>
      <w:r>
        <w:rPr>
          <w:rFonts w:ascii="Arial" w:hAnsi="Arial" w:eastAsia="Arial" w:cs="Arial"/>
          <w:b w:val="0"/>
          <w:i w:val="0"/>
          <w:color w:val="000000"/>
          <w:sz w:val="22"/>
        </w:rPr>
        <w:t>We used the National Health and Nutrition Examination Survey (NHANES), which measures exam and laboratory values on examined participants (24), to run a simulation. Starting from complete records let us delete values on purpose and compare the same people’s screening results before and after. Our study therefore asks what the consequences of an assumed income disparity in missing data would be, not whether such a disparity exists in clinics. Our preregistered hypothesis was that when routine values were deleted more often for low-income adults, repairing them with CE or KNN imputation would increase the FNR for low-income adults with CKD compared with complete data. In the preregistered design, both repairs increased the low-income FNR under the large assumed gradient; exploratory analyses showed when this did and did not happen.</w:t>
      </w:r>
    </w:p>
    <w:p>
      <w:pPr>
        <w:keepNext/>
        <w:spacing w:line="360" w:lineRule="auto" w:before="0" w:after="0"/>
      </w:pPr>
      <w:r>
        <w:rPr>
          <w:rFonts w:ascii="Arial" w:hAnsi="Arial" w:eastAsia="Arial" w:cs="Arial"/>
          <w:b/>
          <w:i w:val="0"/>
          <w:color w:val="000000"/>
          <w:sz w:val="22"/>
        </w:rPr>
        <w:t>RESULTS</w:t>
      </w:r>
    </w:p>
    <w:p>
      <w:pPr>
        <w:keepNext/>
        <w:spacing w:line="360" w:lineRule="auto" w:before="0" w:after="0"/>
      </w:pPr>
      <w:r>
        <w:rPr>
          <w:rFonts w:ascii="Arial" w:hAnsi="Arial" w:eastAsia="Arial" w:cs="Arial"/>
          <w:b w:val="0"/>
          <w:i/>
          <w:color w:val="000000"/>
          <w:sz w:val="22"/>
        </w:rPr>
        <w:t>Study cohort, complete-case selection, and observed missingness</w:t>
      </w:r>
    </w:p>
    <w:p>
      <w:pPr>
        <w:spacing w:line="360" w:lineRule="auto" w:before="0" w:after="0"/>
        <w:ind w:firstLine="432"/>
      </w:pPr>
      <w:r>
        <w:rPr>
          <w:rFonts w:ascii="Arial" w:hAnsi="Arial" w:eastAsia="Arial" w:cs="Arial"/>
          <w:b w:val="0"/>
          <w:i w:val="0"/>
          <w:color w:val="000000"/>
          <w:sz w:val="22"/>
        </w:rPr>
        <w:t>To compare screening results before and after deleting values, we needed participants whose true values were all known. Of 16,867 interviewed, non-pregnant adults aged 20 years or older in NHANES 2013–2018, 12,546 had complete data for 15 routine features, serum creatinine, UACR, and family income and formed the cohort (Figure 1). Their mean age was 49.6 ± 17.3 years, 51.0% were female, and 2,142 (17.1%; survey-weighted 13.6%) met our CKD definition (Table 1). Low-income participants (poverty income ratio [PIR] &lt; 1.3; n = 3,869) had CKD more often than high-income participants (PIR ≥ 3.5; n = 3,848) (19.0% vs. 12.7%). Among the 15,004 eligible adults with a recorded income, the 2,458 who were excluded were more often low-income (27.3% vs. 20.9%, interview weights) and non-Hispanic Black (15.1% vs. 10.4%), and, among those with both kidney tests, more often had CKD (23.2% vs. 13.5%). A model for inclusion separated included from excluded adults only modestly (area under the curve, 0.60); after inverse-probability weighting, the cohort matched the eligible population in income, race/ethnicity, and hypertension history within 0.5 percentage points (pp), and its CKD prevalence (14.0%) was close to that of all eligible adults with kidney tests (14.1%).</w:t>
      </w:r>
    </w:p>
    <w:p>
      <w:pPr>
        <w:spacing w:line="360" w:lineRule="auto" w:before="0" w:after="0"/>
        <w:ind w:firstLine="432"/>
      </w:pPr>
      <w:r>
        <w:rPr>
          <w:rFonts w:ascii="Arial" w:hAnsi="Arial" w:eastAsia="Arial" w:cs="Arial"/>
          <w:b w:val="0"/>
          <w:i w:val="0"/>
          <w:color w:val="000000"/>
          <w:sz w:val="22"/>
        </w:rPr>
        <w:t>In NHANES, every examined participant is offered the same measurements, so values are missing because a participant did not attend the examination, declined or could not complete a component such as the blood draw, was ineligible for it, or because of operational problems. This survey nonparticipation and nonmeasurement differs from clinical EHR missingness, where a test may never be ordered. Using interview weights, at least one of the 13 deletable features was missing for 16.9% of low-income, 13.6% of middle-income, and 11.9% of high-income adults; the exam block was incomplete for 12.5%, 10.0%, and 8.7%, and the laboratory block for 8.9%, 7.8%, and 7.3%. This observed gradient was much smaller than the 30%, 10%, and 5% gradient we had assumed.</w:t>
      </w:r>
    </w:p>
    <w:p>
      <w:pPr>
        <w:keepNext/>
        <w:spacing w:line="360" w:lineRule="auto" w:before="0" w:after="0"/>
      </w:pPr>
      <w:r>
        <w:rPr>
          <w:rFonts w:ascii="Arial" w:hAnsi="Arial" w:eastAsia="Arial" w:cs="Arial"/>
          <w:b w:val="0"/>
          <w:i/>
          <w:color w:val="000000"/>
          <w:sz w:val="22"/>
        </w:rPr>
        <w:t>Complete-data performance</w:t>
      </w:r>
    </w:p>
    <w:p>
      <w:pPr>
        <w:spacing w:line="360" w:lineRule="auto" w:before="0" w:after="0"/>
        <w:ind w:firstLine="432"/>
      </w:pPr>
      <w:r>
        <w:rPr>
          <w:rFonts w:ascii="Arial" w:hAnsi="Arial" w:eastAsia="Arial" w:cs="Arial"/>
          <w:b w:val="0"/>
          <w:i w:val="0"/>
          <w:color w:val="000000"/>
          <w:sz w:val="22"/>
        </w:rPr>
        <w:t>We repeated the analysis on 20 random splits of the 45 survey strata into training (mean n = 6,101), calibration (3,101), and test (3,344) sets. On complete test data, XGBoost had a survey-weighted area under the receiver operating characteristic curve (AUROC) of 0.786 (0.769 low-income, 0.776 high-income). At the threshold chosen on the calibration set for 80% sensitivity, XGBoost missed 22.9% (16.6 to 28.8) of low-income and 21.3% (13.2 to 28.1) of high-income CKD cases (Table 2). Here and below, 95% confidence intervals (CIs) come from a hierarchical survey bootstrap that resamples whole primary sampling units (PSUs) and repeats the splits and deletion masks inside each replicate (Methods).</w:t>
      </w:r>
    </w:p>
    <w:p>
      <w:pPr>
        <w:keepNext/>
        <w:spacing w:line="360" w:lineRule="auto" w:before="0" w:after="0"/>
      </w:pPr>
      <w:r>
        <w:rPr>
          <w:rFonts w:ascii="Arial" w:hAnsi="Arial" w:eastAsia="Arial" w:cs="Arial"/>
          <w:b w:val="0"/>
          <w:i/>
          <w:color w:val="000000"/>
          <w:sz w:val="22"/>
        </w:rPr>
        <w:t>Preregistered design (S0, confirmatory)</w:t>
      </w:r>
    </w:p>
    <w:p>
      <w:pPr>
        <w:spacing w:line="360" w:lineRule="auto" w:before="0" w:after="0"/>
        <w:ind w:firstLine="432"/>
      </w:pPr>
      <w:r>
        <w:rPr>
          <w:rFonts w:ascii="Arial" w:hAnsi="Arial" w:eastAsia="Arial" w:cs="Arial"/>
          <w:b w:val="0"/>
          <w:i w:val="0"/>
          <w:color w:val="000000"/>
          <w:sz w:val="22"/>
        </w:rPr>
        <w:t>In the preregistered design (S0), each test-set value of all 15 features was deleted with probability 30%, 10%, or 5% for low-, middle-, or high-income participants. CE imputation raised the low-income FNR by 6.0 pp (2.1 to 10.1) and KNN imputation by 4.9 pp (0.9 to 8.3), compared with 0.8 and 1.0 pp for high-income participants (Table 2, Figure 2A). The low-minus-high gap changed by 5.1 pp (1.0 to 9.7) and 4.0 pp (−0.7 to 8.0). Mean and median imputation, also prespecified, raised the low-income FNR by 9.3 pp (3.6 to 15.8) and 10.6 pp (4.4 to 17.3). As preregistered (H3), leaving values missing for XGBoost did not raise the FNR (−18.7 pp (−24.6 to −13.1)), but it raised the low-income false positive rate (FPR) by 48.3 pp. In the preregistered control (H2), in which 15% of values were deleted for everyone (S11), the low-income FNR rose by 2.5 pp (0.0 to 5.6) with CE and 2.3 pp (−0.2 to 4.9) with KNN, and the low-minus-high gap was −0.6 pp (−5.0 to 4.0) and −0.5 pp (−4.8 to 4.4), so uniform deletion raised the FNR in every income group without a clear gap (Table 3).</w:t>
      </w:r>
    </w:p>
    <w:p>
      <w:pPr>
        <w:keepNext/>
        <w:spacing w:line="360" w:lineRule="auto" w:before="0" w:after="0"/>
      </w:pPr>
      <w:r>
        <w:rPr>
          <w:rFonts w:ascii="Arial" w:hAnsi="Arial" w:eastAsia="Arial" w:cs="Arial"/>
          <w:b w:val="0"/>
          <w:i/>
          <w:color w:val="000000"/>
          <w:sz w:val="22"/>
        </w:rPr>
        <w:t>Exploratory deletion scenarios</w:t>
      </w:r>
    </w:p>
    <w:p>
      <w:pPr>
        <w:spacing w:line="360" w:lineRule="auto" w:before="0" w:after="0"/>
        <w:ind w:firstLine="432"/>
      </w:pPr>
      <w:r>
        <w:rPr>
          <w:rFonts w:ascii="Arial" w:hAnsi="Arial" w:eastAsia="Arial" w:cs="Arial"/>
          <w:b w:val="0"/>
          <w:i w:val="0"/>
          <w:color w:val="000000"/>
          <w:sz w:val="22"/>
        </w:rPr>
        <w:t>The remaining scenarios were added after earlier results were seen and are exploratory. When age and sex were never deleted (S1), increases were smaller: 7.7 pp (2.6 to 14.4) for mean, 3.6 pp (0.0 to 8.1) for CE, and 3.1 pp (−0.2 to 7.2) for KNN imputation, with the CE and KNN intervals including zero (Figure 2B). When the lab, exam, and questionnaire blocks were each deleted as a unit at the same income-dependent rates (S2), mean, median, CE, and KNN imputation raised the low-income FNR by 11.1 pp (5.5 to 17.5), 11.9 pp (6.7 to 16.8), 8.0 pp (3.5 to 12.5), and 4.9 pp (1.5 to 8.3), versus 0.5 to 1.5 pp for high-income adults (Figure 2C). Stochastic iterative imputation with prediction averaging (SII) did not raise the low-income FNR in any scenario (S2: −3.4 pp (−6.8 to −0.2)), but it raised the low-income FPR (S2: 9.9 pp (4.9 to 14.4)); mean imputation instead lowered it (−8.6 pp (−13.5 to −2.4)).</w:t>
      </w:r>
    </w:p>
    <w:p>
      <w:pPr>
        <w:spacing w:line="360" w:lineRule="auto" w:before="0" w:after="0"/>
        <w:ind w:firstLine="432"/>
      </w:pPr>
      <w:r>
        <w:rPr>
          <w:rFonts w:ascii="Arial" w:hAnsi="Arial" w:eastAsia="Arial" w:cs="Arial"/>
          <w:b w:val="0"/>
          <w:i w:val="0"/>
          <w:color w:val="000000"/>
          <w:sz w:val="22"/>
        </w:rPr>
        <w:t>With missingness patterns copied from NHANES for each income group (S3), deletion was much milder (6.4% of low-income and 5.2% of high-income values). Mean imputation raised the FNR by 2.1 pp (0.2 to 4.1) in low-income and 1.4 pp (−0.7 to 3.2) in high-income adults, so the gap changed by 0.7 pp (−1.5 to 2.9); for the other repairs the gap estimates ranged from 0.1 to −0.7 pp with intervals that included zero (Figure 2D). These intervals do not rule out gaps of about 2 to 3 pp, so S3 shows no clear increase in the disparity rather than the absence of one.</w:t>
      </w:r>
    </w:p>
    <w:p>
      <w:pPr>
        <w:keepNext/>
        <w:spacing w:line="360" w:lineRule="auto" w:before="0" w:after="0"/>
      </w:pPr>
      <w:r>
        <w:rPr>
          <w:rFonts w:ascii="Arial" w:hAnsi="Arial" w:eastAsia="Arial" w:cs="Arial"/>
          <w:b w:val="0"/>
          <w:i/>
          <w:color w:val="000000"/>
          <w:sz w:val="22"/>
        </w:rPr>
        <w:t>Sensitivity analyses</w:t>
      </w:r>
    </w:p>
    <w:p>
      <w:pPr>
        <w:spacing w:line="360" w:lineRule="auto" w:before="0" w:after="0"/>
        <w:ind w:firstLine="432"/>
      </w:pPr>
      <w:r>
        <w:rPr>
          <w:rFonts w:ascii="Arial" w:hAnsi="Arial" w:eastAsia="Arial" w:cs="Arial"/>
          <w:b w:val="0"/>
          <w:i w:val="0"/>
          <w:color w:val="000000"/>
          <w:sz w:val="22"/>
        </w:rPr>
        <w:t>Selection weighting changed the main estimates by at most 0.3 pp (for example, S0 KNN, 5.0 pp (0.4 to 8.4); S2 mean, 10.8 pp (5.8 to 16.4)) (Table 3, Figure 3). Handling binary features with logistic chained imputation (LCI) gave results close to SII (S0: −2.8 pp (−6.6 to 1.3); S2: −3.4 pp (−7.1 to 0.8)), whereas keeping fractional imputed values moved SII toward zero (S0: −0.7 pp (split range −5.7 to 2.5)). Thresholds chosen by Youden’s index or for a 20% FPR gave larger increases for mean imputation in S2 (12.9 pp (8.9 to 17.5) and 12.6 pp (8.7 to 18.2)). Random forest behaved like XGBoost (S2 mean, 10.5 pp (split range 8.1 to 12.3)), but logistic regression was less sensitive (2.5 pp (split range −0.4 to 4.6)). Applied to the independent 2021–2023 cycle (AUROC 0.811), the 2013–2018 model again showed increases under S2 for mean (9.1 pp (5.1 to 12.7)) and KNN (4.3 pp (1.3 to 7.0)) imputation, conditional on the fitted model.</w:t>
      </w:r>
    </w:p>
    <w:p>
      <w:pPr>
        <w:keepNext/>
        <w:spacing w:line="360" w:lineRule="auto" w:before="0" w:after="0"/>
      </w:pPr>
      <w:r>
        <w:rPr>
          <w:rFonts w:ascii="Arial" w:hAnsi="Arial" w:eastAsia="Arial" w:cs="Arial"/>
          <w:b w:val="0"/>
          <w:i/>
          <w:color w:val="000000"/>
          <w:sz w:val="22"/>
        </w:rPr>
        <w:t>Exploratory mechanism and net benefit</w:t>
      </w:r>
    </w:p>
    <w:p>
      <w:pPr>
        <w:spacing w:line="360" w:lineRule="auto" w:before="0" w:after="0"/>
        <w:ind w:firstLine="432"/>
      </w:pPr>
      <w:r>
        <w:rPr>
          <w:rFonts w:ascii="Arial" w:hAnsi="Arial" w:eastAsia="Arial" w:cs="Arial"/>
          <w:b w:val="0"/>
          <w:i w:val="0"/>
          <w:color w:val="000000"/>
          <w:sz w:val="22"/>
        </w:rPr>
        <w:t>For low-income CKD cases flagged with complete data but not after mean imputation in S1, deleted values had been replaced with lower-risk values than the true ones, for example by 1.5 standard deviations for hypertension history and 1.2 for HbA1c, and these cases lost predicted risk mainly through uric acid, HbA1c, systolic blood pressure, and hypertension history (Figure 4A). Deleting the whole lab block for every low-income participant raised their FNR by 14.0 pp with mean imputation (Figure 4B). In decision curve analysis, S2 mean imputation lowered low-income net benefit at a threshold probability of 0.10 from 0.085 to 0.073 (split range of the difference, −0.017 to −0.009), whereas high-income net benefit changed by 0.001 or less (Figure 5). Subgroup results by sex, age, and race/ethnicity were exploratory and based on few cases per cell, so they are not reported in detail.</w:t>
      </w:r>
    </w:p>
    <w:p>
      <w:pPr>
        <w:keepNext/>
        <w:spacing w:line="360" w:lineRule="auto" w:before="0" w:after="0"/>
      </w:pPr>
      <w:r>
        <w:rPr>
          <w:rFonts w:ascii="Arial" w:hAnsi="Arial" w:eastAsia="Arial" w:cs="Arial"/>
          <w:b/>
          <w:i w:val="0"/>
          <w:color w:val="000000"/>
          <w:sz w:val="22"/>
        </w:rPr>
        <w:t>DISCUSSION</w:t>
      </w:r>
    </w:p>
    <w:p>
      <w:pPr>
        <w:spacing w:line="360" w:lineRule="auto" w:before="0" w:after="0"/>
        <w:ind w:firstLine="432"/>
      </w:pPr>
      <w:r>
        <w:rPr>
          <w:rFonts w:ascii="Arial" w:hAnsi="Arial" w:eastAsia="Arial" w:cs="Arial"/>
          <w:b w:val="0"/>
          <w:i w:val="0"/>
          <w:color w:val="000000"/>
          <w:sz w:val="22"/>
        </w:rPr>
        <w:t>In this simulation study, we asked what would happen to CKD screening errors if routine values were missing more often for low-income adults. In the preregistered design, CE and KNN imputation raised the low-income FNR while high-income adults were barely affected, so our confirmatory hypothesis was supported for that design. Exploratory analyses gave the same direction for mean and median imputation and for block deletion, across thresholds, random forest, selection weighting, and a later survey cycle, but smaller effects when age and sex were protected and for logistic regression. SII and native handling avoided extra missed cases mainly by flagging more people without CKD.</w:t>
      </w:r>
    </w:p>
    <w:p>
      <w:pPr>
        <w:spacing w:line="360" w:lineRule="auto" w:before="0" w:after="0"/>
        <w:ind w:firstLine="432"/>
      </w:pPr>
      <w:r>
        <w:rPr>
          <w:rFonts w:ascii="Arial" w:hAnsi="Arial" w:eastAsia="Arial" w:cs="Arial"/>
          <w:b w:val="0"/>
          <w:i w:val="0"/>
          <w:color w:val="000000"/>
          <w:sz w:val="22"/>
        </w:rPr>
        <w:t>The mechanism analysis suggests why single-value repairs caused harm. When a blank is filled with a typical value from a mostly healthy training population, an abnormal blood pressure, HbA1c, or uric acid value is pulled toward normal, and cases near the threshold fall below it. SII draws values with random variation and averages predictions over ten imputed datasets, which kept more patients above the threshold, but at the cost of more false positives. This agrees with the view that missing data should be handled differently for prediction than for description (25, 26).</w:t>
      </w:r>
    </w:p>
    <w:p>
      <w:pPr>
        <w:spacing w:line="360" w:lineRule="auto" w:before="0" w:after="0"/>
        <w:ind w:firstLine="432"/>
      </w:pPr>
      <w:r>
        <w:rPr>
          <w:rFonts w:ascii="Arial" w:hAnsi="Arial" w:eastAsia="Arial" w:cs="Arial"/>
          <w:b w:val="0"/>
          <w:i w:val="0"/>
          <w:color w:val="000000"/>
          <w:sz w:val="22"/>
        </w:rPr>
        <w:t>The difference between assumed and empirical scenarios is central to interpretation. NHANES missingness comes from survey nonparticipation and nonmeasurement, not from clinicians choosing which tests to order, and its income gradient was small. Under those patterns, the estimated change in the low-minus-high gap was close to zero, but the intervals were wide enough to include modest increases, so our results do not show that empirical missingness causes no disparity. Clinical missingness may follow a larger or smaller gradient than either of our scenarios (6, 9).</w:t>
      </w:r>
    </w:p>
    <w:p>
      <w:pPr>
        <w:spacing w:line="360" w:lineRule="auto" w:before="0" w:after="0"/>
        <w:ind w:firstLine="432"/>
      </w:pPr>
      <w:r>
        <w:rPr>
          <w:rFonts w:ascii="Arial" w:hAnsi="Arial" w:eastAsia="Arial" w:cs="Arial"/>
          <w:b w:val="0"/>
          <w:i w:val="0"/>
          <w:color w:val="000000"/>
          <w:sz w:val="22"/>
        </w:rPr>
        <w:t>Our study had several limitations. First, the CKD label used a single eGFR and UACR measurement, whereas a clinical diagnosis requires abnormalities lasting more than three months (3). Second, we analyzed only adults with complete records; weighting for measured characteristics did not change our results, but it cannot correct for unmeasured differences. Third, the assumed scenarios did not let deletion depend on how sick a participant was. Fourth, each test set contained only about 199 low-income and 129 high-income CKD cases, so intervals were wide. Our intervals cover PSU sampling and split and mask variability for this pipeline; a coverage simulation suggested that they are conservative, but it held the model fixed, so we do not regard them as validated. Finally, only the S0 low-income results for CE and KNN were confirmatory; everything else, including S1 and S2, was added after earlier results were seen.</w:t>
      </w:r>
    </w:p>
    <w:p>
      <w:pPr>
        <w:spacing w:line="360" w:lineRule="auto" w:before="0" w:after="0"/>
        <w:ind w:firstLine="432"/>
      </w:pPr>
      <w:r>
        <w:rPr>
          <w:rFonts w:ascii="Arial" w:hAnsi="Arial" w:eastAsia="Arial" w:cs="Arial"/>
          <w:b w:val="0"/>
          <w:i w:val="0"/>
          <w:color w:val="000000"/>
          <w:sz w:val="22"/>
        </w:rPr>
        <w:t>Our results do not show how any deployed tool performs. They suggest that developers could measure the income gradient of missing data in their own records, run a stress test like ours with those rates, and report FNR and FPR separately by income group. Tools could also prompt for the missing test instead of silently filling it with a typical value (3, 6). In the scenarios examined, a substantial increase in the false-negative disparity was observed under the larger assumed missingness gradient, whereas no clear increase was detected under empirically calibrated NHANES patterns.</w:t>
      </w:r>
    </w:p>
    <w:p>
      <w:pPr>
        <w:keepNext/>
        <w:spacing w:line="360" w:lineRule="auto" w:before="0" w:after="0"/>
      </w:pPr>
      <w:r>
        <w:rPr>
          <w:rFonts w:ascii="Arial" w:hAnsi="Arial" w:eastAsia="Arial" w:cs="Arial"/>
          <w:b/>
          <w:i w:val="0"/>
          <w:color w:val="000000"/>
          <w:sz w:val="22"/>
        </w:rPr>
        <w:t>MATERIALS AND METHODS</w:t>
      </w:r>
    </w:p>
    <w:p>
      <w:pPr>
        <w:keepNext/>
        <w:spacing w:line="360" w:lineRule="auto" w:before="0" w:after="0"/>
      </w:pPr>
      <w:r>
        <w:rPr>
          <w:rFonts w:ascii="Arial" w:hAnsi="Arial" w:eastAsia="Arial" w:cs="Arial"/>
          <w:b w:val="0"/>
          <w:i/>
          <w:color w:val="000000"/>
          <w:sz w:val="22"/>
        </w:rPr>
        <w:t>Data source and study population</w:t>
      </w:r>
    </w:p>
    <w:p>
      <w:pPr>
        <w:spacing w:line="360" w:lineRule="auto" w:before="0" w:after="0"/>
        <w:ind w:firstLine="432"/>
      </w:pPr>
      <w:r>
        <w:rPr>
          <w:rFonts w:ascii="Arial" w:hAnsi="Arial" w:eastAsia="Arial" w:cs="Arial"/>
          <w:b w:val="0"/>
          <w:i w:val="0"/>
          <w:color w:val="000000"/>
          <w:sz w:val="22"/>
        </w:rPr>
        <w:t>Public data from NHANES 2013–2014, 2015–2016, and 2017–2018 (development) and August 2021–August 2023 (external validation) were downloaded from the National Center for Health Statistics (NCHS) (24). NHANES protocols were approved by the NCHS Ethics Review Board, and participants provided informed consent (27); we used only public, de-identified data. Adults aged 20 years or older who completed the examination, were not pregnant, had serum creatinine and UACR, had all 15 features, and had a recorded PIR were included. Examination weights were divided by three for the pooled six-year period (28).</w:t>
      </w:r>
    </w:p>
    <w:p>
      <w:pPr>
        <w:keepNext/>
        <w:spacing w:line="360" w:lineRule="auto" w:before="0" w:after="0"/>
      </w:pPr>
      <w:r>
        <w:rPr>
          <w:rFonts w:ascii="Arial" w:hAnsi="Arial" w:eastAsia="Arial" w:cs="Arial"/>
          <w:b w:val="0"/>
          <w:i/>
          <w:color w:val="000000"/>
          <w:sz w:val="22"/>
        </w:rPr>
        <w:t>CKD definition, predictors, and income groups</w:t>
      </w:r>
    </w:p>
    <w:p>
      <w:pPr>
        <w:spacing w:line="360" w:lineRule="auto" w:before="0" w:after="0"/>
        <w:ind w:firstLine="432"/>
      </w:pPr>
      <w:r>
        <w:rPr>
          <w:rFonts w:ascii="Arial" w:hAnsi="Arial" w:eastAsia="Arial" w:cs="Arial"/>
          <w:b w:val="0"/>
          <w:i w:val="0"/>
          <w:color w:val="000000"/>
          <w:sz w:val="22"/>
        </w:rPr>
        <w:t>The eGFR was calculated with the 2021 race-free CKD Epidemiology Collaboration creatinine equation (4), and CKD was defined as an eGFR below 60 mL/min/1.73 m</w:t>
      </w:r>
      <w:r>
        <w:rPr>
          <w:rFonts w:ascii="Arial" w:hAnsi="Arial" w:eastAsia="Arial" w:cs="Arial"/>
          <w:b w:val="0"/>
          <w:i w:val="0"/>
          <w:color w:val="000000"/>
          <w:sz w:val="22"/>
          <w:vertAlign w:val="superscript"/>
        </w:rPr>
        <w:t>2</w:t>
      </w:r>
      <w:r>
        <w:rPr>
          <w:rFonts w:ascii="Arial" w:hAnsi="Arial" w:eastAsia="Arial" w:cs="Arial"/>
          <w:b w:val="0"/>
          <w:i w:val="0"/>
          <w:color w:val="000000"/>
          <w:sz w:val="22"/>
        </w:rPr>
        <w:t xml:space="preserve"> or a UACR of at least 30 mg/g from a single visit (3). Creatinine, UACR, eGFR, and blood urea nitrogen were not model inputs. The 15 features were age, sex, body mass index, waist circumference, systolic and diastolic blood pressure, self-reported hypertension, ever smoking, HbA1c, glucose, uric acid, alanine aminotransferase, triglycerides, albumin, and total cholesterol, forming an exam, a questionnaire, and a laboratory block. Income groups were low (PIR &lt; 1.3), middle (1.3 ≤ PIR &lt; 3.5), and high (PIR ≥ 3.5); the preregistration’s question text mentioned PIR ≥ 4, but its design and all analyses used these three groups. Income and race/ethnicity were not model inputs.</w:t>
      </w:r>
    </w:p>
    <w:p>
      <w:pPr>
        <w:keepNext/>
        <w:spacing w:line="360" w:lineRule="auto" w:before="0" w:after="0"/>
      </w:pPr>
      <w:r>
        <w:rPr>
          <w:rFonts w:ascii="Arial" w:hAnsi="Arial" w:eastAsia="Arial" w:cs="Arial"/>
          <w:b w:val="0"/>
          <w:i/>
          <w:color w:val="000000"/>
          <w:sz w:val="22"/>
        </w:rPr>
        <w:t>Splits, models, and thresholds</w:t>
      </w:r>
    </w:p>
    <w:p>
      <w:pPr>
        <w:spacing w:line="360" w:lineRule="auto" w:before="0" w:after="0"/>
        <w:ind w:firstLine="432"/>
      </w:pPr>
      <w:r>
        <w:rPr>
          <w:rFonts w:ascii="Arial" w:hAnsi="Arial" w:eastAsia="Arial" w:cs="Arial"/>
          <w:b w:val="0"/>
          <w:i w:val="0"/>
          <w:color w:val="000000"/>
          <w:sz w:val="22"/>
        </w:rPr>
        <w:t>For the point estimates, whole survey strata were randomly assigned 20 times to test (25%) and, from the rest, training and calibration (2:1) sets (scikit-learn GroupShuffleSplit (29), seed 20261005 + 1,000 × split). XGBoost (300 trees, depth 3, learning rate 0.05) (17), standardized logistic regression, and random forest (300 trees, minimum leaf size 5) (30) were fit on the training set with class weighting. Thresholds were chosen on the calibration set for 80% weighted sensitivity (primary), Youden’s index (31), or a 20% FPR.</w:t>
      </w:r>
    </w:p>
    <w:p>
      <w:pPr>
        <w:keepNext/>
        <w:spacing w:line="360" w:lineRule="auto" w:before="0" w:after="0"/>
      </w:pPr>
      <w:r>
        <w:rPr>
          <w:rFonts w:ascii="Arial" w:hAnsi="Arial" w:eastAsia="Arial" w:cs="Arial"/>
          <w:b w:val="0"/>
          <w:i/>
          <w:color w:val="000000"/>
          <w:sz w:val="22"/>
        </w:rPr>
        <w:t>Missingness scenarios</w:t>
      </w:r>
    </w:p>
    <w:p>
      <w:pPr>
        <w:spacing w:line="360" w:lineRule="auto" w:before="0" w:after="0"/>
        <w:ind w:firstLine="432"/>
      </w:pPr>
      <w:r>
        <w:rPr>
          <w:rFonts w:ascii="Arial" w:hAnsi="Arial" w:eastAsia="Arial" w:cs="Arial"/>
          <w:b w:val="0"/>
          <w:i w:val="0"/>
          <w:color w:val="000000"/>
          <w:sz w:val="22"/>
        </w:rPr>
        <w:t>Values were deleted only in the test set, ten masks per split, shared by all repairs. S0 (preregistered) deleted each of the 15 features with probability 30%, 10%, or 5% by income group, and S11 (preregistered control) deleted 15% for everyone. S1 was S0 with age and sex never deleted. S2 deleted the lab, exam, and questionnaire blocks as units at the same rates, with correlated deletion across blocks (Gaussian copula, correlation 0.5). S3 sampled whole missingness patterns observed among NHANES adults of the same income group with interview weights; these patterns reflect survey nonparticipation and nonmeasurement, not clinical test ordering. Further exploratory scenarios (S4–S10) did not change the conclusions and are available with the code.</w:t>
      </w:r>
    </w:p>
    <w:p>
      <w:pPr>
        <w:keepNext/>
        <w:spacing w:line="360" w:lineRule="auto" w:before="0" w:after="0"/>
      </w:pPr>
      <w:r>
        <w:rPr>
          <w:rFonts w:ascii="Arial" w:hAnsi="Arial" w:eastAsia="Arial" w:cs="Arial"/>
          <w:b w:val="0"/>
          <w:i/>
          <w:color w:val="000000"/>
          <w:sz w:val="22"/>
        </w:rPr>
        <w:t>Repairs and handling of binary variables</w:t>
      </w:r>
    </w:p>
    <w:p>
      <w:pPr>
        <w:spacing w:line="360" w:lineRule="auto" w:before="0" w:after="0"/>
        <w:ind w:firstLine="432"/>
      </w:pPr>
      <w:r>
        <w:rPr>
          <w:rFonts w:ascii="Arial" w:hAnsi="Arial" w:eastAsia="Arial" w:cs="Arial"/>
          <w:b w:val="0"/>
          <w:i w:val="0"/>
          <w:color w:val="000000"/>
          <w:sz w:val="22"/>
        </w:rPr>
        <w:t>Imputers were fit on the training set. Mean and median imputation used the mode for the three binary features (sex, hypertension history, ever smoking). KNN used five neighbors. CE, the preregistered “MICE” condition, was scikit-learn’s IterativeImputer with Bayesian ridge regression and 10 iterations without posterior sampling, giving one deterministic imputation. SII ran the same imputer ten times with posterior sampling and averaged the model’s predicted probabilities across the ten imputed datasets before thresholding. SII is not conventional multiple imputation by chained equations, because no estimates are combined by Rubin’s rules (15, 16). For KNN, CE, and SII, imputed binary values were clipped to 0–1 and rounded, because the models were trained only on 0/1 values and a fractional value would be sent down a tree branch by a split never meant for it. Two sensitivity analyses tested this choice: keeping fractional values, and logistic chained imputation (LCI), which drew each binary feature from a logistic regression on the other features and each continuous feature from a Bayesian ridge posterior predictive distribution (10 iterations, ten imputations, predictions averaged). XGBoost also received unimputed data (native handling).</w:t>
      </w:r>
    </w:p>
    <w:p>
      <w:pPr>
        <w:keepNext/>
        <w:spacing w:line="360" w:lineRule="auto" w:before="0" w:after="0"/>
      </w:pPr>
      <w:r>
        <w:rPr>
          <w:rFonts w:ascii="Arial" w:hAnsi="Arial" w:eastAsia="Arial" w:cs="Arial"/>
          <w:b w:val="0"/>
          <w:i/>
          <w:color w:val="000000"/>
          <w:sz w:val="22"/>
        </w:rPr>
        <w:t>Estimand and confidence intervals</w:t>
      </w:r>
    </w:p>
    <w:p>
      <w:pPr>
        <w:spacing w:line="360" w:lineRule="auto" w:before="0" w:after="0"/>
        <w:ind w:firstLine="432"/>
      </w:pPr>
      <w:r>
        <w:rPr>
          <w:rFonts w:ascii="Arial" w:hAnsi="Arial" w:eastAsia="Arial" w:cs="Arial"/>
          <w:b w:val="0"/>
          <w:i w:val="0"/>
          <w:color w:val="000000"/>
          <w:sz w:val="22"/>
        </w:rPr>
        <w:t>The outcome was the change in survey-weighted FNR (ΔFNR) after deletion and repair compared with complete data for the same test participants, by income group, and the low-minus-high difference (gap). The estimand is the ΔFNR of this whole pipeline (split, training, threshold, deletion, repair), averaged over random stratum splits and masks, in the population represented by the complete-case cohort. Point estimates average 20 splits × 10 masks. For 95% CIs, each of B = 120 outer bootstrap replicates drew two PSUs with replacement within each of the 45 strata of the full cohort. Inside each replicate, the pipeline was rerun: strata were divided into four folds, each fold served once as the test set with models, imputers, and thresholds refit on the other strata, and two new masks were drawn per fold; the replicate estimate averaged folds and masks. The CI is the point estimate plus the 2.5th and 97.5th percentile deviations of replicates from their mean, multiplied by √2 because with two PSUs per stratum the with-replacement bootstrap underestimates the variance by half (32). The interval therefore covers PSU sampling variability plus remaining split and mask variability; it does not cover uncertainty from the choice of scenario, CKD misclassification, or selection into the cohort. B was limited by computing time (about 100 s per replicate). In a coverage simulation with a known truth (300 samples from a pseudo-population of 450 PSUs, model held fixed), this interval covered the true low-income ΔFNR in 100% of samples (mean width 7.3 pp), a plain percentile interval in 97.7% (width 5.2 pp), and a noise-corrected interval in only 88.7%. We therefore describe the primary intervals as conservative. External-validation CIs (1,000 PSU bootstrap replicates of the 2021–2023 test set) are conditional on the fitted model. Exploratory analyses carried over unchanged from our previous version are reported as point estimates with split ranges. No p-values were used.</w:t>
      </w:r>
    </w:p>
    <w:p>
      <w:pPr>
        <w:keepNext/>
        <w:spacing w:line="360" w:lineRule="auto" w:before="0" w:after="0"/>
      </w:pPr>
      <w:r>
        <w:rPr>
          <w:rFonts w:ascii="Arial" w:hAnsi="Arial" w:eastAsia="Arial" w:cs="Arial"/>
          <w:b w:val="0"/>
          <w:i/>
          <w:color w:val="000000"/>
          <w:sz w:val="22"/>
        </w:rPr>
        <w:t>Selection weighting</w:t>
      </w:r>
    </w:p>
    <w:p>
      <w:pPr>
        <w:spacing w:line="360" w:lineRule="auto" w:before="0" w:after="0"/>
        <w:ind w:firstLine="432"/>
      </w:pPr>
      <w:r>
        <w:rPr>
          <w:rFonts w:ascii="Arial" w:hAnsi="Arial" w:eastAsia="Arial" w:cs="Arial"/>
          <w:b w:val="0"/>
          <w:i w:val="0"/>
          <w:color w:val="000000"/>
          <w:sz w:val="22"/>
        </w:rPr>
        <w:t>To assess whether complete-case selection affected the results, we fit an interview-weighted logistic model for inclusion among 15,004 eligible adults with a recorded PIR, using age, age squared, sex, PIR, income group, race/ethnicity, survey cycle, hypertension history, and ever smoking (with missing-value indicators). Each included participant’s interview weight was divided by the predicted inclusion probability and truncated at the 99th percentile; all thresholds and error rates were then recomputed with these weights.</w:t>
      </w:r>
    </w:p>
    <w:p>
      <w:pPr>
        <w:keepNext/>
        <w:spacing w:line="360" w:lineRule="auto" w:before="0" w:after="0"/>
      </w:pPr>
      <w:r>
        <w:rPr>
          <w:rFonts w:ascii="Arial" w:hAnsi="Arial" w:eastAsia="Arial" w:cs="Arial"/>
          <w:b w:val="0"/>
          <w:i/>
          <w:color w:val="000000"/>
          <w:sz w:val="22"/>
        </w:rPr>
        <w:t>Decision timeline and analysis labels</w:t>
      </w:r>
    </w:p>
    <w:p>
      <w:pPr>
        <w:spacing w:line="360" w:lineRule="auto" w:before="0" w:after="0"/>
        <w:ind w:firstLine="432"/>
      </w:pPr>
      <w:r>
        <w:rPr>
          <w:rFonts w:ascii="Arial" w:hAnsi="Arial" w:eastAsia="Arial" w:cs="Arial"/>
          <w:b w:val="0"/>
          <w:i w:val="0"/>
          <w:color w:val="000000"/>
          <w:sz w:val="22"/>
        </w:rPr>
        <w:t>Each decision was dated and logged with the results already seen at that time. Before any model was fit (5 October 2026), we preregistered the hypothesis (H1: low-income ΔFNR &gt; 0 for CE and for KNN), the S0 design, XGBoost, the 80%-sensitivity threshold, the uniform control (H2), and the native-handling comparison (H3). Only the S0 low-income ΔFNR for CE and KNN is confirmatory; H2 and H3 are prespecified secondary comparisons. Deviations from the preregistration were the three-way split with a calibration-set threshold, repeated splits and masks, and CIs in place of the preregistered bootstrap p-values. S1, S2, SII, and all other analyses were added after earlier results were seen and are exploratory. Methods for exploratory mechanism (TreeSHAP (33)), decision curve (34), subgroup (sex, age, race/ethnicity), and external-validation (NHANES 2021–2023) analyses used the same pipeline and thresholds as the main analysis.</w:t>
      </w:r>
    </w:p>
    <w:p>
      <w:pPr>
        <w:keepNext/>
        <w:spacing w:line="360" w:lineRule="auto" w:before="0" w:after="0"/>
      </w:pPr>
      <w:r>
        <w:rPr>
          <w:rFonts w:ascii="Arial" w:hAnsi="Arial" w:eastAsia="Arial" w:cs="Arial"/>
          <w:b w:val="0"/>
          <w:i/>
          <w:color w:val="000000"/>
          <w:sz w:val="22"/>
        </w:rPr>
        <w:t>Software</w:t>
      </w:r>
    </w:p>
    <w:p>
      <w:pPr>
        <w:spacing w:line="360" w:lineRule="auto" w:before="0" w:after="0"/>
        <w:ind w:firstLine="432"/>
      </w:pPr>
      <w:r>
        <w:rPr>
          <w:rFonts w:ascii="Arial" w:hAnsi="Arial" w:eastAsia="Arial" w:cs="Arial"/>
          <w:b w:val="0"/>
          <w:i w:val="0"/>
          <w:color w:val="000000"/>
          <w:sz w:val="22"/>
        </w:rPr>
        <w:t>Analyses used Python 3.13 with pandas 3.0 (35), NumPy 2.5 (36), SciPy 1.18, scikit-learn 1.9 (29), XGBoost 3.4 (17), and Matplotlib 3.11 (37). Code and derived results are available at [GITHUB REPOSITORY URL] (38).</w:t>
      </w:r>
    </w:p>
    <w:p>
      <w:pPr>
        <w:keepNext/>
        <w:spacing w:line="360" w:lineRule="auto" w:before="0" w:after="0"/>
      </w:pPr>
      <w:r>
        <w:rPr>
          <w:rFonts w:ascii="Arial" w:hAnsi="Arial" w:eastAsia="Arial" w:cs="Arial"/>
          <w:b/>
          <w:i w:val="0"/>
          <w:color w:val="000000"/>
          <w:sz w:val="22"/>
        </w:rPr>
        <w:t>ACKNOWLEDGMENTS</w:t>
      </w:r>
    </w:p>
    <w:p>
      <w:pPr>
        <w:spacing w:line="360" w:lineRule="auto" w:before="0" w:after="0"/>
        <w:ind w:firstLine="432"/>
      </w:pPr>
      <w:r>
        <w:rPr>
          <w:rFonts w:ascii="Arial" w:hAnsi="Arial" w:eastAsia="Arial" w:cs="Arial"/>
          <w:b w:val="0"/>
          <w:i w:val="0"/>
          <w:color w:val="000000"/>
          <w:sz w:val="22"/>
        </w:rPr>
        <w:t>We thank our parents for their constant support and encouragement throughout this project. We also thank the National Center for Health Statistics and the NHANES participants for making these data publicly available. This research received no external funding.</w:t>
      </w:r>
    </w:p>
    <w:p>
      <w:pPr>
        <w:keepNext/>
        <w:spacing w:line="360" w:lineRule="auto" w:before="0" w:after="0"/>
      </w:pPr>
      <w:r>
        <w:rPr>
          <w:rFonts w:ascii="Arial" w:hAnsi="Arial" w:eastAsia="Arial" w:cs="Arial"/>
          <w:b/>
          <w:i w:val="0"/>
          <w:color w:val="000000"/>
          <w:sz w:val="22"/>
        </w:rPr>
        <w:t>REFERENCES</w:t>
      </w:r>
    </w:p>
    <w:p>
      <w:pPr>
        <w:spacing w:line="360" w:lineRule="auto" w:before="0" w:after="0"/>
      </w:pPr>
      <w:r>
        <w:rPr>
          <w:rFonts w:ascii="Arial" w:hAnsi="Arial" w:eastAsia="Arial" w:cs="Arial"/>
          <w:b w:val="0"/>
          <w:i w:val="0"/>
          <w:color w:val="000000"/>
          <w:sz w:val="22"/>
        </w:rPr>
        <w:t xml:space="preserve">1. “Chronic Kidney Disease in the United States.” </w:t>
      </w:r>
      <w:r>
        <w:rPr>
          <w:rFonts w:ascii="Arial" w:hAnsi="Arial" w:eastAsia="Arial" w:cs="Arial"/>
          <w:b w:val="0"/>
          <w:i/>
          <w:color w:val="000000"/>
          <w:sz w:val="22"/>
        </w:rPr>
        <w:t>Centers for Disease Control and Prevention</w:t>
      </w:r>
      <w:r>
        <w:rPr>
          <w:rFonts w:ascii="Arial" w:hAnsi="Arial" w:eastAsia="Arial" w:cs="Arial"/>
          <w:b w:val="0"/>
          <w:i w:val="0"/>
          <w:color w:val="000000"/>
          <w:sz w:val="22"/>
        </w:rPr>
        <w:t>. https://www.cdc.gov/kidney-disease/php/data-research/index.html. Accessed 17 Oct. 2026.</w:t>
      </w:r>
    </w:p>
    <w:p>
      <w:pPr>
        <w:spacing w:line="360" w:lineRule="auto" w:before="0" w:after="0"/>
      </w:pPr>
      <w:r>
        <w:rPr>
          <w:rFonts w:ascii="Arial" w:hAnsi="Arial" w:eastAsia="Arial" w:cs="Arial"/>
          <w:b w:val="0"/>
          <w:i w:val="0"/>
          <w:color w:val="000000"/>
          <w:sz w:val="22"/>
        </w:rPr>
        <w:t xml:space="preserve">2. Chu, Chi D., et al. “CKD Awareness Among US Adults by Future Risk of Kidney Failure.” </w:t>
      </w:r>
      <w:r>
        <w:rPr>
          <w:rFonts w:ascii="Arial" w:hAnsi="Arial" w:eastAsia="Arial" w:cs="Arial"/>
          <w:b w:val="0"/>
          <w:i/>
          <w:color w:val="000000"/>
          <w:sz w:val="22"/>
        </w:rPr>
        <w:t>American Journal of Kidney Diseases</w:t>
      </w:r>
      <w:r>
        <w:rPr>
          <w:rFonts w:ascii="Arial" w:hAnsi="Arial" w:eastAsia="Arial" w:cs="Arial"/>
          <w:b w:val="0"/>
          <w:i w:val="0"/>
          <w:color w:val="000000"/>
          <w:sz w:val="22"/>
        </w:rPr>
        <w:t>, vol. 76, no. 2, Aug. 2020, pp. 174–183. https://doi.org/10.1053/j.ajkd.2020.01.007.</w:t>
      </w:r>
    </w:p>
    <w:p>
      <w:pPr>
        <w:spacing w:line="360" w:lineRule="auto" w:before="0" w:after="0"/>
      </w:pPr>
      <w:r>
        <w:rPr>
          <w:rFonts w:ascii="Arial" w:hAnsi="Arial" w:eastAsia="Arial" w:cs="Arial"/>
          <w:b w:val="0"/>
          <w:i w:val="0"/>
          <w:color w:val="000000"/>
          <w:sz w:val="22"/>
        </w:rPr>
        <w:t xml:space="preserve">3. Stevens, Paul E., et al. “KDIGO 2024 Clinical Practice Guideline for the Evaluation and Management of Chronic Kidney Disease.” </w:t>
      </w:r>
      <w:r>
        <w:rPr>
          <w:rFonts w:ascii="Arial" w:hAnsi="Arial" w:eastAsia="Arial" w:cs="Arial"/>
          <w:b w:val="0"/>
          <w:i/>
          <w:color w:val="000000"/>
          <w:sz w:val="22"/>
        </w:rPr>
        <w:t>Kidney International</w:t>
      </w:r>
      <w:r>
        <w:rPr>
          <w:rFonts w:ascii="Arial" w:hAnsi="Arial" w:eastAsia="Arial" w:cs="Arial"/>
          <w:b w:val="0"/>
          <w:i w:val="0"/>
          <w:color w:val="000000"/>
          <w:sz w:val="22"/>
        </w:rPr>
        <w:t>, vol. 105, no. 4S, Apr. 2024, pp. S117–S314. https://doi.org/10.1016/j.kint.2023.10.018.</w:t>
      </w:r>
    </w:p>
    <w:p>
      <w:pPr>
        <w:spacing w:line="360" w:lineRule="auto" w:before="0" w:after="0"/>
      </w:pPr>
      <w:r>
        <w:rPr>
          <w:rFonts w:ascii="Arial" w:hAnsi="Arial" w:eastAsia="Arial" w:cs="Arial"/>
          <w:b w:val="0"/>
          <w:i w:val="0"/>
          <w:color w:val="000000"/>
          <w:sz w:val="22"/>
        </w:rPr>
        <w:t xml:space="preserve">4. Inker, Lesley A., et al. “New Creatinine- and Cystatin C–Based Equations to Estimate GFR without Race.” </w:t>
      </w:r>
      <w:r>
        <w:rPr>
          <w:rFonts w:ascii="Arial" w:hAnsi="Arial" w:eastAsia="Arial" w:cs="Arial"/>
          <w:b w:val="0"/>
          <w:i/>
          <w:color w:val="000000"/>
          <w:sz w:val="22"/>
        </w:rPr>
        <w:t>New England Journal of Medicine</w:t>
      </w:r>
      <w:r>
        <w:rPr>
          <w:rFonts w:ascii="Arial" w:hAnsi="Arial" w:eastAsia="Arial" w:cs="Arial"/>
          <w:b w:val="0"/>
          <w:i w:val="0"/>
          <w:color w:val="000000"/>
          <w:sz w:val="22"/>
        </w:rPr>
        <w:t>, vol. 385, no. 19, 4 Nov. 2021, pp. 1737–1749. https://doi.org/10.1056/NEJMoa2102953.</w:t>
      </w:r>
    </w:p>
    <w:p>
      <w:pPr>
        <w:spacing w:line="360" w:lineRule="auto" w:before="0" w:after="0"/>
      </w:pPr>
      <w:r>
        <w:rPr>
          <w:rFonts w:ascii="Arial" w:hAnsi="Arial" w:eastAsia="Arial" w:cs="Arial"/>
          <w:b w:val="0"/>
          <w:i w:val="0"/>
          <w:color w:val="000000"/>
          <w:sz w:val="22"/>
        </w:rPr>
        <w:t xml:space="preserve">5. Nicholas, Susanne B., et al. “Socioeconomic Disparities in Chronic Kidney Disease.” </w:t>
      </w:r>
      <w:r>
        <w:rPr>
          <w:rFonts w:ascii="Arial" w:hAnsi="Arial" w:eastAsia="Arial" w:cs="Arial"/>
          <w:b w:val="0"/>
          <w:i/>
          <w:color w:val="000000"/>
          <w:sz w:val="22"/>
        </w:rPr>
        <w:t>Advances in Chronic Kidney Disease</w:t>
      </w:r>
      <w:r>
        <w:rPr>
          <w:rFonts w:ascii="Arial" w:hAnsi="Arial" w:eastAsia="Arial" w:cs="Arial"/>
          <w:b w:val="0"/>
          <w:i w:val="0"/>
          <w:color w:val="000000"/>
          <w:sz w:val="22"/>
        </w:rPr>
        <w:t>, vol. 22, no. 1, Jan. 2015, pp. 6–15. https://doi.org/10.1053/j.ackd.2014.07.002.</w:t>
      </w:r>
    </w:p>
    <w:p>
      <w:pPr>
        <w:spacing w:line="360" w:lineRule="auto" w:before="0" w:after="0"/>
      </w:pPr>
      <w:r>
        <w:rPr>
          <w:rFonts w:ascii="Arial" w:hAnsi="Arial" w:eastAsia="Arial" w:cs="Arial"/>
          <w:b w:val="0"/>
          <w:i w:val="0"/>
          <w:color w:val="000000"/>
          <w:sz w:val="22"/>
        </w:rPr>
        <w:t xml:space="preserve">6. Shin, Jung-Im, et al. “Albuminuria Testing in Hypertension and Diabetes: An Individual-Participant Data Meta-Analysis in a Global Consortium.” </w:t>
      </w:r>
      <w:r>
        <w:rPr>
          <w:rFonts w:ascii="Arial" w:hAnsi="Arial" w:eastAsia="Arial" w:cs="Arial"/>
          <w:b w:val="0"/>
          <w:i/>
          <w:color w:val="000000"/>
          <w:sz w:val="22"/>
        </w:rPr>
        <w:t>Hypertension</w:t>
      </w:r>
      <w:r>
        <w:rPr>
          <w:rFonts w:ascii="Arial" w:hAnsi="Arial" w:eastAsia="Arial" w:cs="Arial"/>
          <w:b w:val="0"/>
          <w:i w:val="0"/>
          <w:color w:val="000000"/>
          <w:sz w:val="22"/>
        </w:rPr>
        <w:t>, vol. 78, no. 4, Oct. 2021, pp. 1042–1052. https://doi.org/10.1161/HYPERTENSIONAHA.121.17323.</w:t>
      </w:r>
    </w:p>
    <w:p>
      <w:pPr>
        <w:spacing w:line="360" w:lineRule="auto" w:before="0" w:after="0"/>
      </w:pPr>
      <w:r>
        <w:rPr>
          <w:rFonts w:ascii="Arial" w:hAnsi="Arial" w:eastAsia="Arial" w:cs="Arial"/>
          <w:b w:val="0"/>
          <w:i w:val="0"/>
          <w:color w:val="000000"/>
          <w:sz w:val="22"/>
        </w:rPr>
        <w:t xml:space="preserve">7. Gianfrancesco, Milena A., et al. “Potential Biases in Machine Learning Algorithms Using Electronic Health Record Data.” </w:t>
      </w:r>
      <w:r>
        <w:rPr>
          <w:rFonts w:ascii="Arial" w:hAnsi="Arial" w:eastAsia="Arial" w:cs="Arial"/>
          <w:b w:val="0"/>
          <w:i/>
          <w:color w:val="000000"/>
          <w:sz w:val="22"/>
        </w:rPr>
        <w:t>JAMA Internal Medicine</w:t>
      </w:r>
      <w:r>
        <w:rPr>
          <w:rFonts w:ascii="Arial" w:hAnsi="Arial" w:eastAsia="Arial" w:cs="Arial"/>
          <w:b w:val="0"/>
          <w:i w:val="0"/>
          <w:color w:val="000000"/>
          <w:sz w:val="22"/>
        </w:rPr>
        <w:t>, vol. 178, no. 11, Nov. 2018, pp. 1544–1547. https://doi.org/10.1001/jamainternmed.2018.3763.</w:t>
      </w:r>
    </w:p>
    <w:p>
      <w:pPr>
        <w:spacing w:line="360" w:lineRule="auto" w:before="0" w:after="0"/>
      </w:pPr>
      <w:r>
        <w:rPr>
          <w:rFonts w:ascii="Arial" w:hAnsi="Arial" w:eastAsia="Arial" w:cs="Arial"/>
          <w:b w:val="0"/>
          <w:i w:val="0"/>
          <w:color w:val="000000"/>
          <w:sz w:val="22"/>
        </w:rPr>
        <w:t xml:space="preserve">8. Getzen, Emily, et al. “Mining for Equitable Health: Assessing the Impact of Missing Data in Electronic Health Records.” </w:t>
      </w:r>
      <w:r>
        <w:rPr>
          <w:rFonts w:ascii="Arial" w:hAnsi="Arial" w:eastAsia="Arial" w:cs="Arial"/>
          <w:b w:val="0"/>
          <w:i/>
          <w:color w:val="000000"/>
          <w:sz w:val="22"/>
        </w:rPr>
        <w:t>Journal of Biomedical Informatics</w:t>
      </w:r>
      <w:r>
        <w:rPr>
          <w:rFonts w:ascii="Arial" w:hAnsi="Arial" w:eastAsia="Arial" w:cs="Arial"/>
          <w:b w:val="0"/>
          <w:i w:val="0"/>
          <w:color w:val="000000"/>
          <w:sz w:val="22"/>
        </w:rPr>
        <w:t>, vol. 139, Mar. 2023, p. 104269. https://doi.org/10.1016/j.jbi.2022.104269.</w:t>
      </w:r>
    </w:p>
    <w:p>
      <w:pPr>
        <w:spacing w:line="360" w:lineRule="auto" w:before="0" w:after="0"/>
      </w:pPr>
      <w:r>
        <w:rPr>
          <w:rFonts w:ascii="Arial" w:hAnsi="Arial" w:eastAsia="Arial" w:cs="Arial"/>
          <w:b w:val="0"/>
          <w:i w:val="0"/>
          <w:color w:val="000000"/>
          <w:sz w:val="22"/>
        </w:rPr>
        <w:t xml:space="preserve">9. Agniel, Denis, et al. “Biases in Electronic Health Record Data due to Processes within the Healthcare System: Retrospective Observational Study.” </w:t>
      </w:r>
      <w:r>
        <w:rPr>
          <w:rFonts w:ascii="Arial" w:hAnsi="Arial" w:eastAsia="Arial" w:cs="Arial"/>
          <w:b w:val="0"/>
          <w:i/>
          <w:color w:val="000000"/>
          <w:sz w:val="22"/>
        </w:rPr>
        <w:t>BMJ</w:t>
      </w:r>
      <w:r>
        <w:rPr>
          <w:rFonts w:ascii="Arial" w:hAnsi="Arial" w:eastAsia="Arial" w:cs="Arial"/>
          <w:b w:val="0"/>
          <w:i w:val="0"/>
          <w:color w:val="000000"/>
          <w:sz w:val="22"/>
        </w:rPr>
        <w:t>, vol. 361, 30 Apr. 2018, p. k1479. https://doi.org/10.1136/bmj.k1479.</w:t>
      </w:r>
    </w:p>
    <w:p>
      <w:pPr>
        <w:spacing w:line="360" w:lineRule="auto" w:before="0" w:after="0"/>
      </w:pPr>
      <w:r>
        <w:rPr>
          <w:rFonts w:ascii="Arial" w:hAnsi="Arial" w:eastAsia="Arial" w:cs="Arial"/>
          <w:b w:val="0"/>
          <w:i w:val="0"/>
          <w:color w:val="000000"/>
          <w:sz w:val="22"/>
        </w:rPr>
        <w:t xml:space="preserve">10. Weber, Griffin M., et al. “Biases Introduced by Filtering Electronic Health Records for Patients with ‘Complete Data.’” </w:t>
      </w:r>
      <w:r>
        <w:rPr>
          <w:rFonts w:ascii="Arial" w:hAnsi="Arial" w:eastAsia="Arial" w:cs="Arial"/>
          <w:b w:val="0"/>
          <w:i/>
          <w:color w:val="000000"/>
          <w:sz w:val="22"/>
        </w:rPr>
        <w:t>Journal of the American Medical Informatics Association</w:t>
      </w:r>
      <w:r>
        <w:rPr>
          <w:rFonts w:ascii="Arial" w:hAnsi="Arial" w:eastAsia="Arial" w:cs="Arial"/>
          <w:b w:val="0"/>
          <w:i w:val="0"/>
          <w:color w:val="000000"/>
          <w:sz w:val="22"/>
        </w:rPr>
        <w:t>, vol. 24, no. 6, Nov. 2017, pp. 1134–1141. https://doi.org/10.1093/jamia/ocx071.</w:t>
      </w:r>
    </w:p>
    <w:p>
      <w:pPr>
        <w:spacing w:line="360" w:lineRule="auto" w:before="0" w:after="0"/>
      </w:pPr>
      <w:r>
        <w:rPr>
          <w:rFonts w:ascii="Arial" w:hAnsi="Arial" w:eastAsia="Arial" w:cs="Arial"/>
          <w:b w:val="0"/>
          <w:i w:val="0"/>
          <w:color w:val="000000"/>
          <w:sz w:val="22"/>
        </w:rPr>
        <w:t xml:space="preserve">11. Rusanov, Alexander, et al. “Hidden in Plain Sight: Bias towards Sick Patients When Sampling Patients with Sufficient Electronic Health Record Data for Research.” </w:t>
      </w:r>
      <w:r>
        <w:rPr>
          <w:rFonts w:ascii="Arial" w:hAnsi="Arial" w:eastAsia="Arial" w:cs="Arial"/>
          <w:b w:val="0"/>
          <w:i/>
          <w:color w:val="000000"/>
          <w:sz w:val="22"/>
        </w:rPr>
        <w:t>BMC Medical Informatics and Decision Making</w:t>
      </w:r>
      <w:r>
        <w:rPr>
          <w:rFonts w:ascii="Arial" w:hAnsi="Arial" w:eastAsia="Arial" w:cs="Arial"/>
          <w:b w:val="0"/>
          <w:i w:val="0"/>
          <w:color w:val="000000"/>
          <w:sz w:val="22"/>
        </w:rPr>
        <w:t>, vol. 14, 2014, p. 51. https://doi.org/10.1186/1472-6947-14-51.</w:t>
      </w:r>
    </w:p>
    <w:p>
      <w:pPr>
        <w:spacing w:line="360" w:lineRule="auto" w:before="0" w:after="0"/>
      </w:pPr>
      <w:r>
        <w:rPr>
          <w:rFonts w:ascii="Arial" w:hAnsi="Arial" w:eastAsia="Arial" w:cs="Arial"/>
          <w:b w:val="0"/>
          <w:i w:val="0"/>
          <w:color w:val="000000"/>
          <w:sz w:val="22"/>
        </w:rPr>
        <w:t xml:space="preserve">12. Wells, Brian J., et al. “Strategies for Handling Missing Data in Electronic Health Record Derived Data.” </w:t>
      </w:r>
      <w:r>
        <w:rPr>
          <w:rFonts w:ascii="Arial" w:hAnsi="Arial" w:eastAsia="Arial" w:cs="Arial"/>
          <w:b w:val="0"/>
          <w:i/>
          <w:color w:val="000000"/>
          <w:sz w:val="22"/>
        </w:rPr>
        <w:t>eGEMs</w:t>
      </w:r>
      <w:r>
        <w:rPr>
          <w:rFonts w:ascii="Arial" w:hAnsi="Arial" w:eastAsia="Arial" w:cs="Arial"/>
          <w:b w:val="0"/>
          <w:i w:val="0"/>
          <w:color w:val="000000"/>
          <w:sz w:val="22"/>
        </w:rPr>
        <w:t>, vol. 1, no. 3, Dec. 2013, p. 7. https://doi.org/10.13063/2327-9214.1035.</w:t>
      </w:r>
    </w:p>
    <w:p>
      <w:pPr>
        <w:spacing w:line="360" w:lineRule="auto" w:before="0" w:after="0"/>
      </w:pPr>
      <w:r>
        <w:rPr>
          <w:rFonts w:ascii="Arial" w:hAnsi="Arial" w:eastAsia="Arial" w:cs="Arial"/>
          <w:b w:val="0"/>
          <w:i w:val="0"/>
          <w:color w:val="000000"/>
          <w:sz w:val="22"/>
        </w:rPr>
        <w:t xml:space="preserve">13. Perez-Lebel, Alexandre, et al. “Benchmarking Missing-Values Approaches for Predictive Models on Health Databases.” </w:t>
      </w:r>
      <w:r>
        <w:rPr>
          <w:rFonts w:ascii="Arial" w:hAnsi="Arial" w:eastAsia="Arial" w:cs="Arial"/>
          <w:b w:val="0"/>
          <w:i/>
          <w:color w:val="000000"/>
          <w:sz w:val="22"/>
        </w:rPr>
        <w:t>GigaScience</w:t>
      </w:r>
      <w:r>
        <w:rPr>
          <w:rFonts w:ascii="Arial" w:hAnsi="Arial" w:eastAsia="Arial" w:cs="Arial"/>
          <w:b w:val="0"/>
          <w:i w:val="0"/>
          <w:color w:val="000000"/>
          <w:sz w:val="22"/>
        </w:rPr>
        <w:t>, vol. 11, Apr. 2022, p. giac013. https://doi.org/10.1093/gigascience/giac013.</w:t>
      </w:r>
    </w:p>
    <w:p>
      <w:pPr>
        <w:spacing w:line="360" w:lineRule="auto" w:before="0" w:after="0"/>
      </w:pPr>
      <w:r>
        <w:rPr>
          <w:rFonts w:ascii="Arial" w:hAnsi="Arial" w:eastAsia="Arial" w:cs="Arial"/>
          <w:b w:val="0"/>
          <w:i w:val="0"/>
          <w:color w:val="000000"/>
          <w:sz w:val="22"/>
        </w:rPr>
        <w:t xml:space="preserve">14. Troyanskaya, Olga, et al. “Missing Value Estimation Methods for DNA Microarrays.” </w:t>
      </w:r>
      <w:r>
        <w:rPr>
          <w:rFonts w:ascii="Arial" w:hAnsi="Arial" w:eastAsia="Arial" w:cs="Arial"/>
          <w:b w:val="0"/>
          <w:i/>
          <w:color w:val="000000"/>
          <w:sz w:val="22"/>
        </w:rPr>
        <w:t>Bioinformatics</w:t>
      </w:r>
      <w:r>
        <w:rPr>
          <w:rFonts w:ascii="Arial" w:hAnsi="Arial" w:eastAsia="Arial" w:cs="Arial"/>
          <w:b w:val="0"/>
          <w:i w:val="0"/>
          <w:color w:val="000000"/>
          <w:sz w:val="22"/>
        </w:rPr>
        <w:t>, vol. 17, no. 6, June 2001, pp. 520–525. https://doi.org/10.1093/bioinformatics/17.6.520.</w:t>
      </w:r>
    </w:p>
    <w:p>
      <w:pPr>
        <w:spacing w:line="360" w:lineRule="auto" w:before="0" w:after="0"/>
      </w:pPr>
      <w:r>
        <w:rPr>
          <w:rFonts w:ascii="Arial" w:hAnsi="Arial" w:eastAsia="Arial" w:cs="Arial"/>
          <w:b w:val="0"/>
          <w:i w:val="0"/>
          <w:color w:val="000000"/>
          <w:sz w:val="22"/>
        </w:rPr>
        <w:t xml:space="preserve">15. van Buuren, Stef and Karin Groothuis-Oudshoorn. “mice: Multivariate Imputation by Chained Equations in R.” </w:t>
      </w:r>
      <w:r>
        <w:rPr>
          <w:rFonts w:ascii="Arial" w:hAnsi="Arial" w:eastAsia="Arial" w:cs="Arial"/>
          <w:b w:val="0"/>
          <w:i/>
          <w:color w:val="000000"/>
          <w:sz w:val="22"/>
        </w:rPr>
        <w:t>Journal of Statistical Software</w:t>
      </w:r>
      <w:r>
        <w:rPr>
          <w:rFonts w:ascii="Arial" w:hAnsi="Arial" w:eastAsia="Arial" w:cs="Arial"/>
          <w:b w:val="0"/>
          <w:i w:val="0"/>
          <w:color w:val="000000"/>
          <w:sz w:val="22"/>
        </w:rPr>
        <w:t>, vol. 45, no. 3, 2011, pp. 1–67. https://doi.org/10.18637/jss.v045.i03.</w:t>
      </w:r>
    </w:p>
    <w:p>
      <w:pPr>
        <w:spacing w:line="360" w:lineRule="auto" w:before="0" w:after="0"/>
      </w:pPr>
      <w:r>
        <w:rPr>
          <w:rFonts w:ascii="Arial" w:hAnsi="Arial" w:eastAsia="Arial" w:cs="Arial"/>
          <w:b w:val="0"/>
          <w:i w:val="0"/>
          <w:color w:val="000000"/>
          <w:sz w:val="22"/>
        </w:rPr>
        <w:t xml:space="preserve">16. Rubin, Donald B. </w:t>
      </w:r>
      <w:r>
        <w:rPr>
          <w:rFonts w:ascii="Arial" w:hAnsi="Arial" w:eastAsia="Arial" w:cs="Arial"/>
          <w:b w:val="0"/>
          <w:i/>
          <w:color w:val="000000"/>
          <w:sz w:val="22"/>
        </w:rPr>
        <w:t>Multiple Imputation for Nonresponse in Surveys</w:t>
      </w:r>
      <w:r>
        <w:rPr>
          <w:rFonts w:ascii="Arial" w:hAnsi="Arial" w:eastAsia="Arial" w:cs="Arial"/>
          <w:b w:val="0"/>
          <w:i w:val="0"/>
          <w:color w:val="000000"/>
          <w:sz w:val="22"/>
        </w:rPr>
        <w:t>. Wiley, 1987. https://doi.org/10.1002/9780470316696.</w:t>
      </w:r>
    </w:p>
    <w:p>
      <w:pPr>
        <w:spacing w:line="360" w:lineRule="auto" w:before="0" w:after="0"/>
      </w:pPr>
      <w:r>
        <w:rPr>
          <w:rFonts w:ascii="Arial" w:hAnsi="Arial" w:eastAsia="Arial" w:cs="Arial"/>
          <w:b w:val="0"/>
          <w:i w:val="0"/>
          <w:color w:val="000000"/>
          <w:sz w:val="22"/>
        </w:rPr>
        <w:t xml:space="preserve">17. Chen, Tianqi and Carlos Guestrin. “XGBoost: A Scalable Tree Boosting System.” </w:t>
      </w:r>
      <w:r>
        <w:rPr>
          <w:rFonts w:ascii="Arial" w:hAnsi="Arial" w:eastAsia="Arial" w:cs="Arial"/>
          <w:b w:val="0"/>
          <w:i/>
          <w:color w:val="000000"/>
          <w:sz w:val="22"/>
        </w:rPr>
        <w:t>Proceedings of the 22nd ACM SIGKDD International Conference on Knowledge Discovery and Data Mining</w:t>
      </w:r>
      <w:r>
        <w:rPr>
          <w:rFonts w:ascii="Arial" w:hAnsi="Arial" w:eastAsia="Arial" w:cs="Arial"/>
          <w:b w:val="0"/>
          <w:i w:val="0"/>
          <w:color w:val="000000"/>
          <w:sz w:val="22"/>
        </w:rPr>
        <w:t>, Aug. 2016, pp. 785–794. https://doi.org/10.1145/2939672.2939785.</w:t>
      </w:r>
    </w:p>
    <w:p>
      <w:pPr>
        <w:spacing w:line="360" w:lineRule="auto" w:before="0" w:after="0"/>
      </w:pPr>
      <w:r>
        <w:rPr>
          <w:rFonts w:ascii="Arial" w:hAnsi="Arial" w:eastAsia="Arial" w:cs="Arial"/>
          <w:b w:val="0"/>
          <w:i w:val="0"/>
          <w:color w:val="000000"/>
          <w:sz w:val="22"/>
        </w:rPr>
        <w:t xml:space="preserve">18. Hardt, Moritz, et al. “Equality of Opportunity in Supervised Learning.” </w:t>
      </w:r>
      <w:r>
        <w:rPr>
          <w:rFonts w:ascii="Arial" w:hAnsi="Arial" w:eastAsia="Arial" w:cs="Arial"/>
          <w:b w:val="0"/>
          <w:i/>
          <w:color w:val="000000"/>
          <w:sz w:val="22"/>
        </w:rPr>
        <w:t>Advances in Neural Information Processing Systems</w:t>
      </w:r>
      <w:r>
        <w:rPr>
          <w:rFonts w:ascii="Arial" w:hAnsi="Arial" w:eastAsia="Arial" w:cs="Arial"/>
          <w:b w:val="0"/>
          <w:i w:val="0"/>
          <w:color w:val="000000"/>
          <w:sz w:val="22"/>
        </w:rPr>
        <w:t>, vol. 29, 2016. https://arxiv.org/abs/1610.02413.</w:t>
      </w:r>
    </w:p>
    <w:p>
      <w:pPr>
        <w:spacing w:line="360" w:lineRule="auto" w:before="0" w:after="0"/>
      </w:pPr>
      <w:r>
        <w:rPr>
          <w:rFonts w:ascii="Arial" w:hAnsi="Arial" w:eastAsia="Arial" w:cs="Arial"/>
          <w:b w:val="0"/>
          <w:i w:val="0"/>
          <w:color w:val="000000"/>
          <w:sz w:val="22"/>
        </w:rPr>
        <w:t xml:space="preserve">19. Rajkomar, Alvin, et al. “Ensuring Fairness in Machine Learning to Advance Health Equity.” </w:t>
      </w:r>
      <w:r>
        <w:rPr>
          <w:rFonts w:ascii="Arial" w:hAnsi="Arial" w:eastAsia="Arial" w:cs="Arial"/>
          <w:b w:val="0"/>
          <w:i/>
          <w:color w:val="000000"/>
          <w:sz w:val="22"/>
        </w:rPr>
        <w:t>Annals of Internal Medicine</w:t>
      </w:r>
      <w:r>
        <w:rPr>
          <w:rFonts w:ascii="Arial" w:hAnsi="Arial" w:eastAsia="Arial" w:cs="Arial"/>
          <w:b w:val="0"/>
          <w:i w:val="0"/>
          <w:color w:val="000000"/>
          <w:sz w:val="22"/>
        </w:rPr>
        <w:t>, vol. 169, no. 12, Dec. 2018, pp. 866–872. https://doi.org/10.7326/M18-1990.</w:t>
      </w:r>
    </w:p>
    <w:p>
      <w:pPr>
        <w:spacing w:line="360" w:lineRule="auto" w:before="0" w:after="0"/>
      </w:pPr>
      <w:r>
        <w:rPr>
          <w:rFonts w:ascii="Arial" w:hAnsi="Arial" w:eastAsia="Arial" w:cs="Arial"/>
          <w:b w:val="0"/>
          <w:i w:val="0"/>
          <w:color w:val="000000"/>
          <w:sz w:val="22"/>
        </w:rPr>
        <w:t xml:space="preserve">20. Obermeyer, Ziad, et al. “Dissecting Racial Bias in an Algorithm Used to Manage the Health of Populations.” </w:t>
      </w:r>
      <w:r>
        <w:rPr>
          <w:rFonts w:ascii="Arial" w:hAnsi="Arial" w:eastAsia="Arial" w:cs="Arial"/>
          <w:b w:val="0"/>
          <w:i/>
          <w:color w:val="000000"/>
          <w:sz w:val="22"/>
        </w:rPr>
        <w:t>Science</w:t>
      </w:r>
      <w:r>
        <w:rPr>
          <w:rFonts w:ascii="Arial" w:hAnsi="Arial" w:eastAsia="Arial" w:cs="Arial"/>
          <w:b w:val="0"/>
          <w:i w:val="0"/>
          <w:color w:val="000000"/>
          <w:sz w:val="22"/>
        </w:rPr>
        <w:t>, vol. 366, no. 6464, 25 Oct. 2019, pp. 447–453. https://doi.org/10.1126/science.aax2342.</w:t>
      </w:r>
    </w:p>
    <w:p>
      <w:pPr>
        <w:spacing w:line="360" w:lineRule="auto" w:before="0" w:after="0"/>
      </w:pPr>
      <w:r>
        <w:rPr>
          <w:rFonts w:ascii="Arial" w:hAnsi="Arial" w:eastAsia="Arial" w:cs="Arial"/>
          <w:b w:val="0"/>
          <w:i w:val="0"/>
          <w:color w:val="000000"/>
          <w:sz w:val="22"/>
        </w:rPr>
        <w:t xml:space="preserve">21. Caton, Simon, et al. “Impact of Imputation Strategies on Fairness in Machine Learning.” </w:t>
      </w:r>
      <w:r>
        <w:rPr>
          <w:rFonts w:ascii="Arial" w:hAnsi="Arial" w:eastAsia="Arial" w:cs="Arial"/>
          <w:b w:val="0"/>
          <w:i/>
          <w:color w:val="000000"/>
          <w:sz w:val="22"/>
        </w:rPr>
        <w:t>Journal of Artificial Intelligence Research</w:t>
      </w:r>
      <w:r>
        <w:rPr>
          <w:rFonts w:ascii="Arial" w:hAnsi="Arial" w:eastAsia="Arial" w:cs="Arial"/>
          <w:b w:val="0"/>
          <w:i w:val="0"/>
          <w:color w:val="000000"/>
          <w:sz w:val="22"/>
        </w:rPr>
        <w:t>, vol. 74, June 2022, pp. 1011–1035. https://doi.org/10.1613/jair.1.13197.</w:t>
      </w:r>
    </w:p>
    <w:p>
      <w:pPr>
        <w:spacing w:line="360" w:lineRule="auto" w:before="0" w:after="0"/>
      </w:pPr>
      <w:r>
        <w:rPr>
          <w:rFonts w:ascii="Arial" w:hAnsi="Arial" w:eastAsia="Arial" w:cs="Arial"/>
          <w:b w:val="0"/>
          <w:i w:val="0"/>
          <w:color w:val="000000"/>
          <w:sz w:val="22"/>
        </w:rPr>
        <w:t xml:space="preserve">22. Jeanselme, Vincent, et al. “Imputation Strategies Under Clinical Presence: Impact on Algorithmic Fairness.” </w:t>
      </w:r>
      <w:r>
        <w:rPr>
          <w:rFonts w:ascii="Arial" w:hAnsi="Arial" w:eastAsia="Arial" w:cs="Arial"/>
          <w:b w:val="0"/>
          <w:i/>
          <w:color w:val="000000"/>
          <w:sz w:val="22"/>
        </w:rPr>
        <w:t>Proceedings of the 2nd Machine Learning for Health Symposium</w:t>
      </w:r>
      <w:r>
        <w:rPr>
          <w:rFonts w:ascii="Arial" w:hAnsi="Arial" w:eastAsia="Arial" w:cs="Arial"/>
          <w:b w:val="0"/>
          <w:i w:val="0"/>
          <w:color w:val="000000"/>
          <w:sz w:val="22"/>
        </w:rPr>
        <w:t>, PMLR vol. 193, Nov. 2022, pp. 12–34. https://proceedings.mlr.press/v193/jeanselme22a.html.</w:t>
      </w:r>
    </w:p>
    <w:p>
      <w:pPr>
        <w:spacing w:line="360" w:lineRule="auto" w:before="0" w:after="0"/>
      </w:pPr>
      <w:r>
        <w:rPr>
          <w:rFonts w:ascii="Arial" w:hAnsi="Arial" w:eastAsia="Arial" w:cs="Arial"/>
          <w:b w:val="0"/>
          <w:i w:val="0"/>
          <w:color w:val="000000"/>
          <w:sz w:val="22"/>
        </w:rPr>
        <w:t xml:space="preserve">23. Akpinar, Nil-Jana, et al. “The Impact of Differential Feature Under-Reporting on Algorithmic Fairness.” </w:t>
      </w:r>
      <w:r>
        <w:rPr>
          <w:rFonts w:ascii="Arial" w:hAnsi="Arial" w:eastAsia="Arial" w:cs="Arial"/>
          <w:b w:val="0"/>
          <w:i/>
          <w:color w:val="000000"/>
          <w:sz w:val="22"/>
        </w:rPr>
        <w:t>Proceedings of the 2024 ACM Conference on Fairness, Accountability, and Transparency</w:t>
      </w:r>
      <w:r>
        <w:rPr>
          <w:rFonts w:ascii="Arial" w:hAnsi="Arial" w:eastAsia="Arial" w:cs="Arial"/>
          <w:b w:val="0"/>
          <w:i w:val="0"/>
          <w:color w:val="000000"/>
          <w:sz w:val="22"/>
        </w:rPr>
        <w:t>, June 2024, pp. 1355–1382. https://doi.org/10.1145/3630106.3658977.</w:t>
      </w:r>
    </w:p>
    <w:p>
      <w:pPr>
        <w:spacing w:line="360" w:lineRule="auto" w:before="0" w:after="0"/>
      </w:pPr>
      <w:r>
        <w:rPr>
          <w:rFonts w:ascii="Arial" w:hAnsi="Arial" w:eastAsia="Arial" w:cs="Arial"/>
          <w:b w:val="0"/>
          <w:i w:val="0"/>
          <w:color w:val="000000"/>
          <w:sz w:val="22"/>
        </w:rPr>
        <w:t xml:space="preserve">24. “National Health and Nutrition Examination Survey.” </w:t>
      </w:r>
      <w:r>
        <w:rPr>
          <w:rFonts w:ascii="Arial" w:hAnsi="Arial" w:eastAsia="Arial" w:cs="Arial"/>
          <w:b w:val="0"/>
          <w:i/>
          <w:color w:val="000000"/>
          <w:sz w:val="22"/>
        </w:rPr>
        <w:t>Centers for Disease Control and Prevention, National Center for Health Statistics</w:t>
      </w:r>
      <w:r>
        <w:rPr>
          <w:rFonts w:ascii="Arial" w:hAnsi="Arial" w:eastAsia="Arial" w:cs="Arial"/>
          <w:b w:val="0"/>
          <w:i w:val="0"/>
          <w:color w:val="000000"/>
          <w:sz w:val="22"/>
        </w:rPr>
        <w:t>. https://www.cdc.gov/nchs/nhanes/index.html. Accessed 17 Oct. 2026.</w:t>
      </w:r>
    </w:p>
    <w:p>
      <w:pPr>
        <w:spacing w:line="360" w:lineRule="auto" w:before="0" w:after="0"/>
      </w:pPr>
      <w:r>
        <w:rPr>
          <w:rFonts w:ascii="Arial" w:hAnsi="Arial" w:eastAsia="Arial" w:cs="Arial"/>
          <w:b w:val="0"/>
          <w:i w:val="0"/>
          <w:color w:val="000000"/>
          <w:sz w:val="22"/>
        </w:rPr>
        <w:t xml:space="preserve">25. Sperrin, Matthew, et al. “Missing Data Should Be Handled Differently for Prediction than for Description or Causal Explanation.” </w:t>
      </w:r>
      <w:r>
        <w:rPr>
          <w:rFonts w:ascii="Arial" w:hAnsi="Arial" w:eastAsia="Arial" w:cs="Arial"/>
          <w:b w:val="0"/>
          <w:i/>
          <w:color w:val="000000"/>
          <w:sz w:val="22"/>
        </w:rPr>
        <w:t>Journal of Clinical Epidemiology</w:t>
      </w:r>
      <w:r>
        <w:rPr>
          <w:rFonts w:ascii="Arial" w:hAnsi="Arial" w:eastAsia="Arial" w:cs="Arial"/>
          <w:b w:val="0"/>
          <w:i w:val="0"/>
          <w:color w:val="000000"/>
          <w:sz w:val="22"/>
        </w:rPr>
        <w:t>, vol. 125, Sept. 2020, pp. 183–187. https://doi.org/10.1016/j.jclinepi.2020.03.028.</w:t>
      </w:r>
    </w:p>
    <w:p>
      <w:pPr>
        <w:spacing w:line="360" w:lineRule="auto" w:before="0" w:after="0"/>
      </w:pPr>
      <w:r>
        <w:rPr>
          <w:rFonts w:ascii="Arial" w:hAnsi="Arial" w:eastAsia="Arial" w:cs="Arial"/>
          <w:b w:val="0"/>
          <w:i w:val="0"/>
          <w:color w:val="000000"/>
          <w:sz w:val="22"/>
        </w:rPr>
        <w:t xml:space="preserve">26. Groenwold, Rolf H. H. “Informative Missingness in Electronic Health Record Systems: The Curse of Knowing.” </w:t>
      </w:r>
      <w:r>
        <w:rPr>
          <w:rFonts w:ascii="Arial" w:hAnsi="Arial" w:eastAsia="Arial" w:cs="Arial"/>
          <w:b w:val="0"/>
          <w:i/>
          <w:color w:val="000000"/>
          <w:sz w:val="22"/>
        </w:rPr>
        <w:t>Diagnostic and Prognostic Research</w:t>
      </w:r>
      <w:r>
        <w:rPr>
          <w:rFonts w:ascii="Arial" w:hAnsi="Arial" w:eastAsia="Arial" w:cs="Arial"/>
          <w:b w:val="0"/>
          <w:i w:val="0"/>
          <w:color w:val="000000"/>
          <w:sz w:val="22"/>
        </w:rPr>
        <w:t>, vol. 4, no. 1, 2020, p. 8. https://doi.org/10.1186/s41512-020-00077-0.</w:t>
      </w:r>
    </w:p>
    <w:p>
      <w:pPr>
        <w:spacing w:line="360" w:lineRule="auto" w:before="0" w:after="0"/>
      </w:pPr>
      <w:r>
        <w:rPr>
          <w:rFonts w:ascii="Arial" w:hAnsi="Arial" w:eastAsia="Arial" w:cs="Arial"/>
          <w:b w:val="0"/>
          <w:i w:val="0"/>
          <w:color w:val="000000"/>
          <w:sz w:val="22"/>
        </w:rPr>
        <w:t xml:space="preserve">27. “Ethics Review Board Approval.” </w:t>
      </w:r>
      <w:r>
        <w:rPr>
          <w:rFonts w:ascii="Arial" w:hAnsi="Arial" w:eastAsia="Arial" w:cs="Arial"/>
          <w:b w:val="0"/>
          <w:i/>
          <w:color w:val="000000"/>
          <w:sz w:val="22"/>
        </w:rPr>
        <w:t>Centers for Disease Control and Prevention, National Center for Health Statistics</w:t>
      </w:r>
      <w:r>
        <w:rPr>
          <w:rFonts w:ascii="Arial" w:hAnsi="Arial" w:eastAsia="Arial" w:cs="Arial"/>
          <w:b w:val="0"/>
          <w:i w:val="0"/>
          <w:color w:val="000000"/>
          <w:sz w:val="22"/>
        </w:rPr>
        <w:t>. https://www.cdc.gov/nchs/nhanes/about/erb.html. Accessed 17 Oct. 2026.</w:t>
      </w:r>
    </w:p>
    <w:p>
      <w:pPr>
        <w:spacing w:line="360" w:lineRule="auto" w:before="0" w:after="0"/>
      </w:pPr>
      <w:r>
        <w:rPr>
          <w:rFonts w:ascii="Arial" w:hAnsi="Arial" w:eastAsia="Arial" w:cs="Arial"/>
          <w:b w:val="0"/>
          <w:i w:val="0"/>
          <w:color w:val="000000"/>
          <w:sz w:val="22"/>
        </w:rPr>
        <w:t xml:space="preserve">28. “NHANES Survey Methods and Analytic Guidelines.” </w:t>
      </w:r>
      <w:r>
        <w:rPr>
          <w:rFonts w:ascii="Arial" w:hAnsi="Arial" w:eastAsia="Arial" w:cs="Arial"/>
          <w:b w:val="0"/>
          <w:i/>
          <w:color w:val="000000"/>
          <w:sz w:val="22"/>
        </w:rPr>
        <w:t>Centers for Disease Control and Prevention, National Center for Health Statistics</w:t>
      </w:r>
      <w:r>
        <w:rPr>
          <w:rFonts w:ascii="Arial" w:hAnsi="Arial" w:eastAsia="Arial" w:cs="Arial"/>
          <w:b w:val="0"/>
          <w:i w:val="0"/>
          <w:color w:val="000000"/>
          <w:sz w:val="22"/>
        </w:rPr>
        <w:t>. https://wwwn.cdc.gov/nchs/nhanes/analyticguidelines.aspx. Accessed 17 Oct. 2026.</w:t>
      </w:r>
    </w:p>
    <w:p>
      <w:pPr>
        <w:spacing w:line="360" w:lineRule="auto" w:before="0" w:after="0"/>
      </w:pPr>
      <w:r>
        <w:rPr>
          <w:rFonts w:ascii="Arial" w:hAnsi="Arial" w:eastAsia="Arial" w:cs="Arial"/>
          <w:b w:val="0"/>
          <w:i w:val="0"/>
          <w:color w:val="000000"/>
          <w:sz w:val="22"/>
        </w:rPr>
        <w:t xml:space="preserve">29. Pedregosa, Fabian, et al. “Scikit-learn: Machine Learning in Python.” </w:t>
      </w:r>
      <w:r>
        <w:rPr>
          <w:rFonts w:ascii="Arial" w:hAnsi="Arial" w:eastAsia="Arial" w:cs="Arial"/>
          <w:b w:val="0"/>
          <w:i/>
          <w:color w:val="000000"/>
          <w:sz w:val="22"/>
        </w:rPr>
        <w:t>Journal of Machine Learning Research</w:t>
      </w:r>
      <w:r>
        <w:rPr>
          <w:rFonts w:ascii="Arial" w:hAnsi="Arial" w:eastAsia="Arial" w:cs="Arial"/>
          <w:b w:val="0"/>
          <w:i w:val="0"/>
          <w:color w:val="000000"/>
          <w:sz w:val="22"/>
        </w:rPr>
        <w:t>, vol. 12, 2011, pp. 2825–2830. https://jmlr.org/papers/v12/pedregosa11a.html.</w:t>
      </w:r>
    </w:p>
    <w:p>
      <w:pPr>
        <w:spacing w:line="360" w:lineRule="auto" w:before="0" w:after="0"/>
      </w:pPr>
      <w:r>
        <w:rPr>
          <w:rFonts w:ascii="Arial" w:hAnsi="Arial" w:eastAsia="Arial" w:cs="Arial"/>
          <w:b w:val="0"/>
          <w:i w:val="0"/>
          <w:color w:val="000000"/>
          <w:sz w:val="22"/>
        </w:rPr>
        <w:t xml:space="preserve">30. Breiman, Leo. “Random Forests.” </w:t>
      </w:r>
      <w:r>
        <w:rPr>
          <w:rFonts w:ascii="Arial" w:hAnsi="Arial" w:eastAsia="Arial" w:cs="Arial"/>
          <w:b w:val="0"/>
          <w:i/>
          <w:color w:val="000000"/>
          <w:sz w:val="22"/>
        </w:rPr>
        <w:t>Machine Learning</w:t>
      </w:r>
      <w:r>
        <w:rPr>
          <w:rFonts w:ascii="Arial" w:hAnsi="Arial" w:eastAsia="Arial" w:cs="Arial"/>
          <w:b w:val="0"/>
          <w:i w:val="0"/>
          <w:color w:val="000000"/>
          <w:sz w:val="22"/>
        </w:rPr>
        <w:t>, vol. 45, no. 1, Oct. 2001, pp. 5–32. https://doi.org/10.1023/A:1010933404324.</w:t>
      </w:r>
    </w:p>
    <w:p>
      <w:pPr>
        <w:spacing w:line="360" w:lineRule="auto" w:before="0" w:after="0"/>
      </w:pPr>
      <w:r>
        <w:rPr>
          <w:rFonts w:ascii="Arial" w:hAnsi="Arial" w:eastAsia="Arial" w:cs="Arial"/>
          <w:b w:val="0"/>
          <w:i w:val="0"/>
          <w:color w:val="000000"/>
          <w:sz w:val="22"/>
        </w:rPr>
        <w:t xml:space="preserve">31. Youden, W. J. “Index for Rating Diagnostic Tests.” </w:t>
      </w:r>
      <w:r>
        <w:rPr>
          <w:rFonts w:ascii="Arial" w:hAnsi="Arial" w:eastAsia="Arial" w:cs="Arial"/>
          <w:b w:val="0"/>
          <w:i/>
          <w:color w:val="000000"/>
          <w:sz w:val="22"/>
        </w:rPr>
        <w:t>Cancer</w:t>
      </w:r>
      <w:r>
        <w:rPr>
          <w:rFonts w:ascii="Arial" w:hAnsi="Arial" w:eastAsia="Arial" w:cs="Arial"/>
          <w:b w:val="0"/>
          <w:i w:val="0"/>
          <w:color w:val="000000"/>
          <w:sz w:val="22"/>
        </w:rPr>
        <w:t>, vol. 3, no. 1, 1950, pp. 32–35. https://doi.org/10.1002/1097-0142(1950)3:1&lt;32::AID-CNCR2820030106&gt;3.0.CO;2-3.</w:t>
      </w:r>
    </w:p>
    <w:p>
      <w:pPr>
        <w:spacing w:line="360" w:lineRule="auto" w:before="0" w:after="0"/>
      </w:pPr>
      <w:r>
        <w:rPr>
          <w:rFonts w:ascii="Arial" w:hAnsi="Arial" w:eastAsia="Arial" w:cs="Arial"/>
          <w:b w:val="0"/>
          <w:i w:val="0"/>
          <w:color w:val="000000"/>
          <w:sz w:val="22"/>
        </w:rPr>
        <w:t xml:space="preserve">32. Rao, J. N. K. and C. F. J. Wu. “Resampling Inference with Complex Survey Data.” </w:t>
      </w:r>
      <w:r>
        <w:rPr>
          <w:rFonts w:ascii="Arial" w:hAnsi="Arial" w:eastAsia="Arial" w:cs="Arial"/>
          <w:b w:val="0"/>
          <w:i/>
          <w:color w:val="000000"/>
          <w:sz w:val="22"/>
        </w:rPr>
        <w:t>Journal of the American Statistical Association</w:t>
      </w:r>
      <w:r>
        <w:rPr>
          <w:rFonts w:ascii="Arial" w:hAnsi="Arial" w:eastAsia="Arial" w:cs="Arial"/>
          <w:b w:val="0"/>
          <w:i w:val="0"/>
          <w:color w:val="000000"/>
          <w:sz w:val="22"/>
        </w:rPr>
        <w:t>, vol. 83, no. 401, Mar. 1988, pp. 231–241. https://doi.org/10.1080/01621459.1988.10478591.</w:t>
      </w:r>
    </w:p>
    <w:p>
      <w:pPr>
        <w:spacing w:line="360" w:lineRule="auto" w:before="0" w:after="0"/>
      </w:pPr>
      <w:r>
        <w:rPr>
          <w:rFonts w:ascii="Arial" w:hAnsi="Arial" w:eastAsia="Arial" w:cs="Arial"/>
          <w:b w:val="0"/>
          <w:i w:val="0"/>
          <w:color w:val="000000"/>
          <w:sz w:val="22"/>
        </w:rPr>
        <w:t xml:space="preserve">33. Lundberg, Scott M., et al. “From Local Explanations to Global Understanding with Explainable AI for Trees.” </w:t>
      </w:r>
      <w:r>
        <w:rPr>
          <w:rFonts w:ascii="Arial" w:hAnsi="Arial" w:eastAsia="Arial" w:cs="Arial"/>
          <w:b w:val="0"/>
          <w:i/>
          <w:color w:val="000000"/>
          <w:sz w:val="22"/>
        </w:rPr>
        <w:t>Nature Machine Intelligence</w:t>
      </w:r>
      <w:r>
        <w:rPr>
          <w:rFonts w:ascii="Arial" w:hAnsi="Arial" w:eastAsia="Arial" w:cs="Arial"/>
          <w:b w:val="0"/>
          <w:i w:val="0"/>
          <w:color w:val="000000"/>
          <w:sz w:val="22"/>
        </w:rPr>
        <w:t>, vol. 2, no. 1, Jan. 2020, pp. 56–67. https://doi.org/10.1038/s42256-019-0138-9.</w:t>
      </w:r>
    </w:p>
    <w:p>
      <w:pPr>
        <w:spacing w:line="360" w:lineRule="auto" w:before="0" w:after="0"/>
      </w:pPr>
      <w:r>
        <w:rPr>
          <w:rFonts w:ascii="Arial" w:hAnsi="Arial" w:eastAsia="Arial" w:cs="Arial"/>
          <w:b w:val="0"/>
          <w:i w:val="0"/>
          <w:color w:val="000000"/>
          <w:sz w:val="22"/>
        </w:rPr>
        <w:t xml:space="preserve">34. Vickers, Andrew J. and Elena B. Elkin. “Decision Curve Analysis: A Novel Method for Evaluating Prediction Models.” </w:t>
      </w:r>
      <w:r>
        <w:rPr>
          <w:rFonts w:ascii="Arial" w:hAnsi="Arial" w:eastAsia="Arial" w:cs="Arial"/>
          <w:b w:val="0"/>
          <w:i/>
          <w:color w:val="000000"/>
          <w:sz w:val="22"/>
        </w:rPr>
        <w:t>Medical Decision Making</w:t>
      </w:r>
      <w:r>
        <w:rPr>
          <w:rFonts w:ascii="Arial" w:hAnsi="Arial" w:eastAsia="Arial" w:cs="Arial"/>
          <w:b w:val="0"/>
          <w:i w:val="0"/>
          <w:color w:val="000000"/>
          <w:sz w:val="22"/>
        </w:rPr>
        <w:t>, vol. 26, no. 6, Nov. 2006, pp. 565–574. https://doi.org/10.1177/0272989X06295361.</w:t>
      </w:r>
    </w:p>
    <w:p>
      <w:pPr>
        <w:spacing w:line="360" w:lineRule="auto" w:before="0" w:after="0"/>
      </w:pPr>
      <w:r>
        <w:rPr>
          <w:rFonts w:ascii="Arial" w:hAnsi="Arial" w:eastAsia="Arial" w:cs="Arial"/>
          <w:b w:val="0"/>
          <w:i w:val="0"/>
          <w:color w:val="000000"/>
          <w:sz w:val="22"/>
        </w:rPr>
        <w:t xml:space="preserve">35. McKinney, Wes. “Data Structures for Statistical Computing in Python.” </w:t>
      </w:r>
      <w:r>
        <w:rPr>
          <w:rFonts w:ascii="Arial" w:hAnsi="Arial" w:eastAsia="Arial" w:cs="Arial"/>
          <w:b w:val="0"/>
          <w:i/>
          <w:color w:val="000000"/>
          <w:sz w:val="22"/>
        </w:rPr>
        <w:t>Proceedings of the 9th Python in Science Conference</w:t>
      </w:r>
      <w:r>
        <w:rPr>
          <w:rFonts w:ascii="Arial" w:hAnsi="Arial" w:eastAsia="Arial" w:cs="Arial"/>
          <w:b w:val="0"/>
          <w:i w:val="0"/>
          <w:color w:val="000000"/>
          <w:sz w:val="22"/>
        </w:rPr>
        <w:t>, 2010, pp. 56–61. https://doi.org/10.25080/Majora-92bf1922-00a.</w:t>
      </w:r>
    </w:p>
    <w:p>
      <w:pPr>
        <w:spacing w:line="360" w:lineRule="auto" w:before="0" w:after="0"/>
      </w:pPr>
      <w:r>
        <w:rPr>
          <w:rFonts w:ascii="Arial" w:hAnsi="Arial" w:eastAsia="Arial" w:cs="Arial"/>
          <w:b w:val="0"/>
          <w:i w:val="0"/>
          <w:color w:val="000000"/>
          <w:sz w:val="22"/>
        </w:rPr>
        <w:t xml:space="preserve">36. Harris, Charles R., et al. “Array Programming with NumPy.” </w:t>
      </w:r>
      <w:r>
        <w:rPr>
          <w:rFonts w:ascii="Arial" w:hAnsi="Arial" w:eastAsia="Arial" w:cs="Arial"/>
          <w:b w:val="0"/>
          <w:i/>
          <w:color w:val="000000"/>
          <w:sz w:val="22"/>
        </w:rPr>
        <w:t>Nature</w:t>
      </w:r>
      <w:r>
        <w:rPr>
          <w:rFonts w:ascii="Arial" w:hAnsi="Arial" w:eastAsia="Arial" w:cs="Arial"/>
          <w:b w:val="0"/>
          <w:i w:val="0"/>
          <w:color w:val="000000"/>
          <w:sz w:val="22"/>
        </w:rPr>
        <w:t>, vol. 585, no. 7825, 16 Sept. 2020, pp. 357–362. https://doi.org/10.1038/s41586-020-2649-2.</w:t>
      </w:r>
    </w:p>
    <w:p>
      <w:pPr>
        <w:spacing w:line="360" w:lineRule="auto" w:before="0" w:after="0"/>
      </w:pPr>
      <w:r>
        <w:rPr>
          <w:rFonts w:ascii="Arial" w:hAnsi="Arial" w:eastAsia="Arial" w:cs="Arial"/>
          <w:b w:val="0"/>
          <w:i w:val="0"/>
          <w:color w:val="000000"/>
          <w:sz w:val="22"/>
        </w:rPr>
        <w:t xml:space="preserve">37. Hunter, John D. “Matplotlib: A 2D Graphics Environment.” </w:t>
      </w:r>
      <w:r>
        <w:rPr>
          <w:rFonts w:ascii="Arial" w:hAnsi="Arial" w:eastAsia="Arial" w:cs="Arial"/>
          <w:b w:val="0"/>
          <w:i/>
          <w:color w:val="000000"/>
          <w:sz w:val="22"/>
        </w:rPr>
        <w:t>Computing in Science &amp; Engineering</w:t>
      </w:r>
      <w:r>
        <w:rPr>
          <w:rFonts w:ascii="Arial" w:hAnsi="Arial" w:eastAsia="Arial" w:cs="Arial"/>
          <w:b w:val="0"/>
          <w:i w:val="0"/>
          <w:color w:val="000000"/>
          <w:sz w:val="22"/>
        </w:rPr>
        <w:t>, vol. 9, no. 3, 2007, pp. 90–95. https://doi.org/10.1109/MCSE.2007.55.</w:t>
      </w:r>
    </w:p>
    <w:p>
      <w:pPr>
        <w:spacing w:line="360" w:lineRule="auto" w:before="0" w:after="0"/>
      </w:pPr>
      <w:r>
        <w:rPr>
          <w:rFonts w:ascii="Arial" w:hAnsi="Arial" w:eastAsia="Arial" w:cs="Arial"/>
          <w:b w:val="0"/>
          <w:i w:val="0"/>
          <w:color w:val="000000"/>
          <w:sz w:val="22"/>
        </w:rPr>
        <w:t xml:space="preserve">38. Mamidala, Pranav. “[REPOSITORY NAME].” </w:t>
      </w:r>
      <w:r>
        <w:rPr>
          <w:rFonts w:ascii="Arial" w:hAnsi="Arial" w:eastAsia="Arial" w:cs="Arial"/>
          <w:b w:val="0"/>
          <w:i/>
          <w:color w:val="000000"/>
          <w:sz w:val="22"/>
        </w:rPr>
        <w:t>GitHub</w:t>
      </w:r>
      <w:r>
        <w:rPr>
          <w:rFonts w:ascii="Arial" w:hAnsi="Arial" w:eastAsia="Arial" w:cs="Arial"/>
          <w:b w:val="0"/>
          <w:i w:val="0"/>
          <w:color w:val="000000"/>
          <w:sz w:val="22"/>
        </w:rPr>
        <w:t>. [GITHUB REPOSITORY URL]. Accessed [SUBMISSION DATE, e.g., 1 Nov. 2026].</w:t>
      </w:r>
    </w:p>
    <w:p>
      <w:pPr>
        <w:spacing w:after="0"/>
      </w:pPr>
      <w:r>
        <w:br w:type="page"/>
      </w:r>
    </w:p>
    <w:p>
      <w:pPr>
        <w:keepNext/>
        <w:spacing w:line="360" w:lineRule="auto" w:before="0" w:after="0"/>
      </w:pPr>
      <w:r>
        <w:rPr>
          <w:rFonts w:ascii="Arial" w:hAnsi="Arial" w:eastAsia="Arial" w:cs="Arial"/>
          <w:b/>
          <w:i w:val="0"/>
          <w:color w:val="000000"/>
          <w:sz w:val="22"/>
        </w:rPr>
        <w:t>Figures and Figure Titles/Captions</w:t>
      </w:r>
    </w:p>
    <w:p>
      <w:pPr>
        <w:keepNext/>
        <w:jc w:val="center"/>
      </w:pPr>
      <w:r>
        <w:drawing>
          <wp:inline xmlns:a="http://schemas.openxmlformats.org/drawingml/2006/main" xmlns:pic="http://schemas.openxmlformats.org/drawingml/2006/picture">
            <wp:extent cx="4696968" cy="5300472"/>
            <wp:docPr id="1" name="Picture 1"/>
            <wp:cNvGraphicFramePr>
              <a:graphicFrameLocks noChangeAspect="1"/>
            </wp:cNvGraphicFramePr>
            <a:graphic>
              <a:graphicData uri="http://schemas.openxmlformats.org/drawingml/2006/picture">
                <pic:pic>
                  <pic:nvPicPr>
                    <pic:cNvPr id="0" name="Figure1.png"/>
                    <pic:cNvPicPr/>
                  </pic:nvPicPr>
                  <pic:blipFill>
                    <a:blip r:embed="rId28"/>
                    <a:stretch>
                      <a:fillRect/>
                    </a:stretch>
                  </pic:blipFill>
                  <pic:spPr>
                    <a:xfrm>
                      <a:off x="0" y="0"/>
                      <a:ext cx="4696968" cy="5300472"/>
                    </a:xfrm>
                    <a:prstGeom prst="rect"/>
                  </pic:spPr>
                </pic:pic>
              </a:graphicData>
            </a:graphic>
          </wp:inline>
        </w:drawing>
      </w:r>
    </w:p>
    <w:p>
      <w:pPr>
        <w:spacing w:line="360" w:lineRule="auto" w:before="0" w:after="0"/>
      </w:pPr>
      <w:r>
        <w:rPr>
          <w:rFonts w:ascii="Arial" w:hAnsi="Arial" w:eastAsia="Arial" w:cs="Arial"/>
          <w:b/>
          <w:i w:val="0"/>
          <w:color w:val="000000"/>
          <w:sz w:val="22"/>
        </w:rPr>
        <w:t>Figure 1. Design of the simulated missing-data study.</w:t>
      </w:r>
      <w:r>
        <w:rPr>
          <w:rFonts w:ascii="Arial" w:hAnsi="Arial" w:eastAsia="Arial" w:cs="Arial"/>
          <w:b w:val="0"/>
          <w:i w:val="0"/>
          <w:color w:val="000000"/>
          <w:sz w:val="22"/>
        </w:rPr>
        <w:t xml:space="preserve"> Adults aged 20 years or older from NHANES 2013–2018 with complete data on 15 routine features, kidney tests, and family income were included. Whole survey strata were split 20 times into training, calibration, and test sets. Models and imputers were fit on the training set, thresholds were chosen on the calibration set, and values were deleted only in the test set. S0 and S11 are the preregistered design and control; S1–S3 are exploratory. The bottom box summarizes how CIs were computed. NHANES, National Health and Nutrition Examination Survey; eGFR, estimated glomerular filtration rate; UACR, urine albumin-to-creatinine ratio; LCI, logistic chained imputation; CKD, chronic kidney disease; FNR, false negative rate; FPR, false positive rate; PIR, poverty income ratio; KNN, k-nearest neighbors; CE, chained-equation imputation (preregistered, deterministic); SII, stochastic iterative imputation with prediction averaging (m = 10); PSU, primary sampling unit; CI, confidence interval; pp, percentage points.</w:t>
      </w:r>
    </w:p>
    <w:p>
      <w:pPr>
        <w:spacing w:after="0"/>
      </w:pPr>
      <w:r>
        <w:br w:type="page"/>
      </w:r>
    </w:p>
    <w:p>
      <w:pPr>
        <w:keepNext/>
        <w:jc w:val="center"/>
      </w:pPr>
      <w:r>
        <w:drawing>
          <wp:inline xmlns:a="http://schemas.openxmlformats.org/drawingml/2006/main" xmlns:pic="http://schemas.openxmlformats.org/drawingml/2006/picture">
            <wp:extent cx="5743956" cy="9453372"/>
            <wp:docPr id="2" name="Picture 2"/>
            <wp:cNvGraphicFramePr>
              <a:graphicFrameLocks noChangeAspect="1"/>
            </wp:cNvGraphicFramePr>
            <a:graphic>
              <a:graphicData uri="http://schemas.openxmlformats.org/drawingml/2006/picture">
                <pic:pic>
                  <pic:nvPicPr>
                    <pic:cNvPr id="0" name="Figure2.png"/>
                    <pic:cNvPicPr/>
                  </pic:nvPicPr>
                  <pic:blipFill>
                    <a:blip r:embed="rId29"/>
                    <a:stretch>
                      <a:fillRect/>
                    </a:stretch>
                  </pic:blipFill>
                  <pic:spPr>
                    <a:xfrm>
                      <a:off x="0" y="0"/>
                      <a:ext cx="5743956" cy="9453372"/>
                    </a:xfrm>
                    <a:prstGeom prst="rect"/>
                  </pic:spPr>
                </pic:pic>
              </a:graphicData>
            </a:graphic>
          </wp:inline>
        </w:drawing>
      </w:r>
    </w:p>
    <w:p>
      <w:pPr>
        <w:spacing w:line="360" w:lineRule="auto" w:before="0" w:after="0"/>
      </w:pPr>
      <w:r>
        <w:rPr>
          <w:rFonts w:ascii="Arial" w:hAnsi="Arial" w:eastAsia="Arial" w:cs="Arial"/>
          <w:b/>
          <w:i w:val="0"/>
          <w:color w:val="000000"/>
          <w:sz w:val="22"/>
        </w:rPr>
        <w:t>Figure 2. Simulated income-dependent deletion increased low-income missed CKD cases for several repairs, with no clear gap under empirical NHANES patterns.</w:t>
      </w:r>
      <w:r>
        <w:rPr>
          <w:rFonts w:ascii="Arial" w:hAnsi="Arial" w:eastAsia="Arial" w:cs="Arial"/>
          <w:b w:val="0"/>
          <w:i w:val="0"/>
          <w:color w:val="000000"/>
          <w:sz w:val="22"/>
        </w:rPr>
        <w:t xml:space="preserve"> Bar graphs of the change in FNR (after deletion and repair minus complete data) for low-, middle-, and high-income test participants with XGBoost at the 80%-sensitivity threshold. (A) Preregistered design: all 15 features deleted with probability 30%, 10%, and 5% by income group (S0). (B) As S0 but age and sex never deleted (S1, exploratory). (C) Correlated deletion of whole lab, exam, and questionnaire blocks at the same rates (S2, exploratory). (D) Missingness patterns observed in NHANES by income group, reflecting survey nonparticipation and nonmeasurement (S3, exploratory). Positive values mean more missed CKD cases. Bars show estimates over 20 splits and 10 masks per split; error bars show 95% CIs come from a hierarchical survey bootstrap (B = 120): whole PSUs were resampled within strata, the splits (four-fold stratum cross-fitting with refitting) and masks were redone in each replicate, and the percentile interval was widened by √2 for two PSUs per stratum; a simulation suggested these intervals are conservative. Analysis labels: in S0, the low-income change for CE and KNN is confirmatory (H1); other S0 repairs are prespecified secondary conditions; S1, S2, S3, and SII are exploratory. CKD, chronic kidney disease; FNR, false negative rate; FPR, false positive rate; PIR, poverty income ratio; KNN, k-nearest neighbors; CE, chained-equation imputation (preregistered, deterministic); SII, stochastic iterative imputation with prediction averaging (m = 10); PSU, primary sampling unit; CI, confidence interval; pp, percentage points.</w:t>
      </w:r>
    </w:p>
    <w:p>
      <w:pPr>
        <w:spacing w:after="0"/>
      </w:pPr>
      <w:r>
        <w:br w:type="page"/>
      </w:r>
    </w:p>
    <w:p>
      <w:pPr>
        <w:keepNext/>
        <w:jc w:val="center"/>
      </w:pPr>
      <w:r>
        <w:drawing>
          <wp:inline xmlns:a="http://schemas.openxmlformats.org/drawingml/2006/main" xmlns:pic="http://schemas.openxmlformats.org/drawingml/2006/picture">
            <wp:extent cx="5707380" cy="5465064"/>
            <wp:docPr id="3" name="Picture 3"/>
            <wp:cNvGraphicFramePr>
              <a:graphicFrameLocks noChangeAspect="1"/>
            </wp:cNvGraphicFramePr>
            <a:graphic>
              <a:graphicData uri="http://schemas.openxmlformats.org/drawingml/2006/picture">
                <pic:pic>
                  <pic:nvPicPr>
                    <pic:cNvPr id="0" name="Figure3.png"/>
                    <pic:cNvPicPr/>
                  </pic:nvPicPr>
                  <pic:blipFill>
                    <a:blip r:embed="rId30"/>
                    <a:stretch>
                      <a:fillRect/>
                    </a:stretch>
                  </pic:blipFill>
                  <pic:spPr>
                    <a:xfrm>
                      <a:off x="0" y="0"/>
                      <a:ext cx="5707380" cy="5465064"/>
                    </a:xfrm>
                    <a:prstGeom prst="rect"/>
                  </pic:spPr>
                </pic:pic>
              </a:graphicData>
            </a:graphic>
          </wp:inline>
        </w:drawing>
      </w:r>
    </w:p>
    <w:p>
      <w:pPr>
        <w:spacing w:line="360" w:lineRule="auto" w:before="0" w:after="0"/>
      </w:pPr>
      <w:r>
        <w:rPr>
          <w:rFonts w:ascii="Arial" w:hAnsi="Arial" w:eastAsia="Arial" w:cs="Arial"/>
          <w:b/>
          <w:i w:val="0"/>
          <w:color w:val="000000"/>
          <w:sz w:val="22"/>
        </w:rPr>
        <w:t>Figure 3. Selection weighting and alternative thresholds did not change the direction of the low-income results.</w:t>
      </w:r>
      <w:r>
        <w:rPr>
          <w:rFonts w:ascii="Arial" w:hAnsi="Arial" w:eastAsia="Arial" w:cs="Arial"/>
          <w:b w:val="0"/>
          <w:i w:val="0"/>
          <w:color w:val="000000"/>
          <w:sz w:val="22"/>
        </w:rPr>
        <w:t xml:space="preserve"> Forest plots of the low-income change in FNR (pp) for mean, KNN, CE, and SII repairs under (A) the preregistered design (S0) and (B) block deletion (S2, exploratory), for XGBoost at the 80%-sensitivity threshold with examination weights (main analysis) or inverse-probability-of-selection weights, and at the Youden and 20%-FPR thresholds. All rows except the S0 main-analysis CE and KNN points are exploratory. Points are estimates over 20 splits; bars show 95% CIs come from a hierarchical survey bootstrap (B = 120): whole PSUs were resampled within strata, the splits (four-fold stratum cross-fitting with refitting) and masks were redone in each replicate, and the percentile interval was widened by √2 for two PSUs per stratum; a simulation suggested these intervals are conservative. CKD, chronic kidney disease; FNR, false negative rate; FPR, false positive rate; PIR, poverty income ratio; KNN, k-nearest neighbors; CE, chained-equation imputation (preregistered, deterministic); SII, stochastic iterative imputation with prediction averaging (m = 10); PSU, primary sampling unit; CI, confidence interval; pp, percentage points.</w:t>
      </w:r>
    </w:p>
    <w:p>
      <w:pPr>
        <w:spacing w:after="0"/>
      </w:pPr>
      <w:r>
        <w:br w:type="page"/>
      </w:r>
    </w:p>
    <w:p>
      <w:pPr>
        <w:keepNext/>
        <w:jc w:val="center"/>
      </w:pPr>
      <w:r>
        <w:drawing>
          <wp:inline xmlns:a="http://schemas.openxmlformats.org/drawingml/2006/main" xmlns:pic="http://schemas.openxmlformats.org/drawingml/2006/picture">
            <wp:extent cx="5643372" cy="4858512"/>
            <wp:docPr id="4" name="Picture 4"/>
            <wp:cNvGraphicFramePr>
              <a:graphicFrameLocks noChangeAspect="1"/>
            </wp:cNvGraphicFramePr>
            <a:graphic>
              <a:graphicData uri="http://schemas.openxmlformats.org/drawingml/2006/picture">
                <pic:pic>
                  <pic:nvPicPr>
                    <pic:cNvPr id="0" name="Figure4.png"/>
                    <pic:cNvPicPr/>
                  </pic:nvPicPr>
                  <pic:blipFill>
                    <a:blip r:embed="rId31"/>
                    <a:stretch>
                      <a:fillRect/>
                    </a:stretch>
                  </pic:blipFill>
                  <pic:spPr>
                    <a:xfrm>
                      <a:off x="0" y="0"/>
                      <a:ext cx="5643372" cy="4858512"/>
                    </a:xfrm>
                    <a:prstGeom prst="rect"/>
                  </pic:spPr>
                </pic:pic>
              </a:graphicData>
            </a:graphic>
          </wp:inline>
        </w:drawing>
      </w:r>
    </w:p>
    <w:p>
      <w:pPr>
        <w:spacing w:line="360" w:lineRule="auto" w:before="0" w:after="0"/>
      </w:pPr>
      <w:r>
        <w:rPr>
          <w:rFonts w:ascii="Arial" w:hAnsi="Arial" w:eastAsia="Arial" w:cs="Arial"/>
          <w:b/>
          <w:i w:val="0"/>
          <w:color w:val="000000"/>
          <w:sz w:val="22"/>
        </w:rPr>
        <w:t>Figure 4. Exploratory: single-value repairs lowered predicted risk mainly through blood pressure, hypertension history, HbA1c, and uric acid.</w:t>
      </w:r>
      <w:r>
        <w:rPr>
          <w:rFonts w:ascii="Arial" w:hAnsi="Arial" w:eastAsia="Arial" w:cs="Arial"/>
          <w:b w:val="0"/>
          <w:i w:val="0"/>
          <w:color w:val="000000"/>
          <w:sz w:val="22"/>
        </w:rPr>
        <w:t xml:space="preserve"> (A) Mean change in TreeSHAP contribution (log-odds) of each feature for low-income CKD cases that were flagged with complete data but not after repair, under S1 (20 splits, first 10 masks). (B) Change in low-income FNR (pp) when one feature was deleted for every low-income test participant, averaged over 20 splits. Both analyses were added after earlier results were seen and come from our previous code version; no CIs are shown. BP, blood pressure; HbA1c, glycated hemoglobin; CKD, chronic kidney disease; FNR, false negative rate; FPR, false positive rate; PIR, poverty income ratio; KNN, k-nearest neighbors; CE, chained-equation imputation (preregistered, deterministic); SII, stochastic iterative imputation with prediction averaging (m = 10); PSU, primary sampling unit; CI, confidence interval; pp, percentage points.</w:t>
      </w:r>
    </w:p>
    <w:p>
      <w:pPr>
        <w:spacing w:after="0"/>
      </w:pPr>
      <w:r>
        <w:br w:type="page"/>
      </w:r>
    </w:p>
    <w:p>
      <w:pPr>
        <w:keepNext/>
        <w:jc w:val="center"/>
      </w:pPr>
      <w:r>
        <w:drawing>
          <wp:inline xmlns:a="http://schemas.openxmlformats.org/drawingml/2006/main" xmlns:pic="http://schemas.openxmlformats.org/drawingml/2006/picture">
            <wp:extent cx="5708904" cy="6696456"/>
            <wp:docPr id="5" name="Picture 5"/>
            <wp:cNvGraphicFramePr>
              <a:graphicFrameLocks noChangeAspect="1"/>
            </wp:cNvGraphicFramePr>
            <a:graphic>
              <a:graphicData uri="http://schemas.openxmlformats.org/drawingml/2006/picture">
                <pic:pic>
                  <pic:nvPicPr>
                    <pic:cNvPr id="0" name="Figure5.png"/>
                    <pic:cNvPicPr/>
                  </pic:nvPicPr>
                  <pic:blipFill>
                    <a:blip r:embed="rId32"/>
                    <a:stretch>
                      <a:fillRect/>
                    </a:stretch>
                  </pic:blipFill>
                  <pic:spPr>
                    <a:xfrm>
                      <a:off x="0" y="0"/>
                      <a:ext cx="5708904" cy="6696456"/>
                    </a:xfrm>
                    <a:prstGeom prst="rect"/>
                  </pic:spPr>
                </pic:pic>
              </a:graphicData>
            </a:graphic>
          </wp:inline>
        </w:drawing>
      </w:r>
    </w:p>
    <w:p>
      <w:pPr>
        <w:spacing w:line="360" w:lineRule="auto" w:before="0" w:after="0"/>
      </w:pPr>
      <w:r>
        <w:rPr>
          <w:rFonts w:ascii="Arial" w:hAnsi="Arial" w:eastAsia="Arial" w:cs="Arial"/>
          <w:b/>
          <w:i w:val="0"/>
          <w:color w:val="000000"/>
          <w:sz w:val="22"/>
        </w:rPr>
        <w:t>Figure 5. Exploratory: block deletion lowered net benefit mainly for low-income adults.</w:t>
      </w:r>
      <w:r>
        <w:rPr>
          <w:rFonts w:ascii="Arial" w:hAnsi="Arial" w:eastAsia="Arial" w:cs="Arial"/>
          <w:b w:val="0"/>
          <w:i w:val="0"/>
          <w:color w:val="000000"/>
          <w:sz w:val="22"/>
        </w:rPr>
        <w:t xml:space="preserve"> Decision curves for (A) low-income and (B) high-income test participants with complete data and after block deletion (S2) repaired by each method, using XGBoost probabilities recalibrated on the calibration set. Curves are means over 20 splits (10 masks per split); split ranges were narrow relative to differences between methods. “Flag everyone” and “flag no one” are reference strategies. CKD, chronic kidney disease; FNR, false negative rate; FPR, false positive rate; PIR, poverty income ratio; KNN, k-nearest neighbors; CE, chained-equation imputation (preregistered, deterministic); SII, stochastic iterative imputation with prediction averaging (m = 10); PSU, primary sampling unit; CI, confidence interval; pp, percentage points.</w:t>
      </w:r>
    </w:p>
    <w:p>
      <w:pPr>
        <w:spacing w:after="0"/>
      </w:pPr>
      <w:r>
        <w:br w:type="page"/>
      </w:r>
    </w:p>
    <w:p>
      <w:pPr>
        <w:keepNext/>
        <w:spacing w:line="360" w:lineRule="auto" w:before="0" w:after="0"/>
      </w:pPr>
      <w:r>
        <w:rPr>
          <w:rFonts w:ascii="Arial" w:hAnsi="Arial" w:eastAsia="Arial" w:cs="Arial"/>
          <w:b/>
          <w:i w:val="0"/>
          <w:color w:val="000000"/>
          <w:sz w:val="22"/>
        </w:rPr>
        <w:t>Tables with Titles/Captions</w:t>
      </w:r>
    </w:p>
    <w:tbl>
      <w:tblPr>
        <w:tblW w:type="dxa" w:w="9360"/>
        <w:jc w:val="center"/>
        <w:tblLayout w:type="fixed"/>
        <w:tblLook w:firstColumn="1" w:firstRow="1" w:lastColumn="0" w:lastRow="0" w:noHBand="0" w:noVBand="1" w:val="04A0"/>
        <w:tblLayout w:type="fixed"/>
      </w:tblPr>
      <w:tblGrid>
        <w:gridCol w:w="3311"/>
        <w:gridCol w:w="1512"/>
        <w:gridCol w:w="1512"/>
        <w:gridCol w:w="1584"/>
        <w:gridCol w:w="1440"/>
      </w:tblGrid>
      <w:tr>
        <w:tc>
          <w:tcPr>
            <w:tcW w:type="dxa" w:w="3312"/>
            <w:tcBorders>
              <w:top w:val="single" w:sz="12" w:color="000000"/>
              <w:bottom w:val="single" w:sz="8" w:color="000000"/>
            </w:tcBorders>
          </w:tcPr>
          <w:p>
            <w:pPr>
              <w:spacing w:line="240" w:lineRule="auto"/>
            </w:pPr>
            <w:r/>
            <w:r>
              <w:rPr>
                <w:rFonts w:ascii="Arial" w:hAnsi="Arial" w:eastAsia="Arial" w:cs="Arial"/>
                <w:b/>
                <w:i w:val="0"/>
                <w:color w:val="000000"/>
                <w:sz w:val="19"/>
              </w:rPr>
              <w:t>Characteristic</w:t>
            </w:r>
          </w:p>
        </w:tc>
        <w:tc>
          <w:tcPr>
            <w:tcW w:type="dxa" w:w="1512"/>
            <w:tcBorders>
              <w:top w:val="single" w:sz="12" w:color="000000"/>
              <w:bottom w:val="single" w:sz="8" w:color="000000"/>
            </w:tcBorders>
          </w:tcPr>
          <w:p>
            <w:pPr>
              <w:spacing w:line="240" w:lineRule="auto"/>
            </w:pPr>
            <w:r/>
            <w:r>
              <w:rPr>
                <w:rFonts w:ascii="Arial" w:hAnsi="Arial" w:eastAsia="Arial" w:cs="Arial"/>
                <w:b/>
                <w:i w:val="0"/>
                <w:color w:val="000000"/>
                <w:sz w:val="19"/>
              </w:rPr>
              <w:t>Overall</w:t>
            </w:r>
          </w:p>
        </w:tc>
        <w:tc>
          <w:tcPr>
            <w:tcW w:type="dxa" w:w="1512"/>
            <w:tcBorders>
              <w:top w:val="single" w:sz="12" w:color="000000"/>
              <w:bottom w:val="single" w:sz="8" w:color="000000"/>
            </w:tcBorders>
          </w:tcPr>
          <w:p>
            <w:pPr>
              <w:spacing w:line="240" w:lineRule="auto"/>
            </w:pPr>
            <w:r/>
            <w:r>
              <w:rPr>
                <w:rFonts w:ascii="Arial" w:hAnsi="Arial" w:eastAsia="Arial" w:cs="Arial"/>
                <w:b/>
                <w:i w:val="0"/>
                <w:color w:val="000000"/>
                <w:sz w:val="19"/>
              </w:rPr>
              <w:t>Low income</w:t>
              <w:br/>
              <w:t>(PIR &lt; 1.3)</w:t>
            </w:r>
          </w:p>
        </w:tc>
        <w:tc>
          <w:tcPr>
            <w:tcW w:type="dxa" w:w="1584"/>
            <w:tcBorders>
              <w:top w:val="single" w:sz="12" w:color="000000"/>
              <w:bottom w:val="single" w:sz="8" w:color="000000"/>
            </w:tcBorders>
          </w:tcPr>
          <w:p>
            <w:pPr>
              <w:spacing w:line="240" w:lineRule="auto"/>
            </w:pPr>
            <w:r/>
            <w:r>
              <w:rPr>
                <w:rFonts w:ascii="Arial" w:hAnsi="Arial" w:eastAsia="Arial" w:cs="Arial"/>
                <w:b/>
                <w:i w:val="0"/>
                <w:color w:val="000000"/>
                <w:sz w:val="19"/>
              </w:rPr>
              <w:t>Middle income</w:t>
              <w:br/>
              <w:t>(1.3 ≤ PIR &lt; 3.5)</w:t>
            </w:r>
          </w:p>
        </w:tc>
        <w:tc>
          <w:tcPr>
            <w:tcW w:type="dxa" w:w="1440"/>
            <w:tcBorders>
              <w:top w:val="single" w:sz="12" w:color="000000"/>
              <w:bottom w:val="single" w:sz="8" w:color="000000"/>
            </w:tcBorders>
          </w:tcPr>
          <w:p>
            <w:pPr>
              <w:spacing w:line="240" w:lineRule="auto"/>
            </w:pPr>
            <w:r/>
            <w:r>
              <w:rPr>
                <w:rFonts w:ascii="Arial" w:hAnsi="Arial" w:eastAsia="Arial" w:cs="Arial"/>
                <w:b/>
                <w:i w:val="0"/>
                <w:color w:val="000000"/>
                <w:sz w:val="19"/>
              </w:rPr>
              <w:t>High income</w:t>
              <w:br/>
              <w:t>(PIR ≥ 3.5)</w:t>
            </w:r>
          </w:p>
        </w:tc>
      </w:tr>
      <w:tr>
        <w:tc>
          <w:tcPr>
            <w:tcW w:type="dxa" w:w="3312"/>
          </w:tcPr>
          <w:p>
            <w:pPr>
              <w:spacing w:line="240" w:lineRule="auto" w:before="20" w:after="20"/>
            </w:pPr>
            <w:r/>
            <w:r>
              <w:rPr>
                <w:rFonts w:ascii="Arial" w:hAnsi="Arial" w:eastAsia="Arial" w:cs="Arial"/>
                <w:b w:val="0"/>
                <w:i w:val="0"/>
                <w:color w:val="000000"/>
                <w:sz w:val="19"/>
              </w:rPr>
              <w:t>N</w:t>
            </w:r>
          </w:p>
        </w:tc>
        <w:tc>
          <w:tcPr>
            <w:tcW w:type="dxa" w:w="1512"/>
          </w:tcPr>
          <w:p>
            <w:pPr>
              <w:spacing w:line="240" w:lineRule="auto" w:before="20" w:after="20"/>
              <w:jc w:val="center"/>
            </w:pPr>
            <w:r/>
            <w:r>
              <w:rPr>
                <w:rFonts w:ascii="Arial" w:hAnsi="Arial" w:eastAsia="Arial" w:cs="Arial"/>
                <w:b w:val="0"/>
                <w:i w:val="0"/>
                <w:color w:val="000000"/>
                <w:sz w:val="19"/>
              </w:rPr>
              <w:t>12,546</w:t>
            </w:r>
          </w:p>
        </w:tc>
        <w:tc>
          <w:tcPr>
            <w:tcW w:type="dxa" w:w="1512"/>
          </w:tcPr>
          <w:p>
            <w:pPr>
              <w:spacing w:line="240" w:lineRule="auto" w:before="20" w:after="20"/>
              <w:jc w:val="center"/>
            </w:pPr>
            <w:r/>
            <w:r>
              <w:rPr>
                <w:rFonts w:ascii="Arial" w:hAnsi="Arial" w:eastAsia="Arial" w:cs="Arial"/>
                <w:b w:val="0"/>
                <w:i w:val="0"/>
                <w:color w:val="000000"/>
                <w:sz w:val="19"/>
              </w:rPr>
              <w:t>3,869</w:t>
            </w:r>
          </w:p>
        </w:tc>
        <w:tc>
          <w:tcPr>
            <w:tcW w:type="dxa" w:w="1584"/>
          </w:tcPr>
          <w:p>
            <w:pPr>
              <w:spacing w:line="240" w:lineRule="auto" w:before="20" w:after="20"/>
              <w:jc w:val="center"/>
            </w:pPr>
            <w:r/>
            <w:r>
              <w:rPr>
                <w:rFonts w:ascii="Arial" w:hAnsi="Arial" w:eastAsia="Arial" w:cs="Arial"/>
                <w:b w:val="0"/>
                <w:i w:val="0"/>
                <w:color w:val="000000"/>
                <w:sz w:val="19"/>
              </w:rPr>
              <w:t>4,829</w:t>
            </w:r>
          </w:p>
        </w:tc>
        <w:tc>
          <w:tcPr>
            <w:tcW w:type="dxa" w:w="1440"/>
          </w:tcPr>
          <w:p>
            <w:pPr>
              <w:spacing w:line="240" w:lineRule="auto" w:before="20" w:after="20"/>
              <w:jc w:val="center"/>
            </w:pPr>
            <w:r/>
            <w:r>
              <w:rPr>
                <w:rFonts w:ascii="Arial" w:hAnsi="Arial" w:eastAsia="Arial" w:cs="Arial"/>
                <w:b w:val="0"/>
                <w:i w:val="0"/>
                <w:color w:val="000000"/>
                <w:sz w:val="19"/>
              </w:rPr>
              <w:t>3,848</w:t>
            </w:r>
          </w:p>
        </w:tc>
      </w:tr>
      <w:tr>
        <w:tc>
          <w:tcPr>
            <w:tcW w:type="dxa" w:w="3312"/>
          </w:tcPr>
          <w:p>
            <w:pPr>
              <w:spacing w:line="240" w:lineRule="auto" w:before="20" w:after="20"/>
            </w:pPr>
            <w:r/>
            <w:r>
              <w:rPr>
                <w:rFonts w:ascii="Arial" w:hAnsi="Arial" w:eastAsia="Arial" w:cs="Arial"/>
                <w:b w:val="0"/>
                <w:i w:val="0"/>
                <w:color w:val="000000"/>
                <w:sz w:val="19"/>
              </w:rPr>
              <w:t>Age, years</w:t>
            </w:r>
          </w:p>
        </w:tc>
        <w:tc>
          <w:tcPr>
            <w:tcW w:type="dxa" w:w="1512"/>
          </w:tcPr>
          <w:p>
            <w:pPr>
              <w:spacing w:line="240" w:lineRule="auto" w:before="20" w:after="20"/>
              <w:jc w:val="center"/>
            </w:pPr>
            <w:r/>
            <w:r>
              <w:rPr>
                <w:rFonts w:ascii="Arial" w:hAnsi="Arial" w:eastAsia="Arial" w:cs="Arial"/>
                <w:b w:val="0"/>
                <w:i w:val="0"/>
                <w:color w:val="000000"/>
                <w:sz w:val="19"/>
              </w:rPr>
              <w:t>49.6 ± 17.3</w:t>
            </w:r>
          </w:p>
        </w:tc>
        <w:tc>
          <w:tcPr>
            <w:tcW w:type="dxa" w:w="1512"/>
          </w:tcPr>
          <w:p>
            <w:pPr>
              <w:spacing w:line="240" w:lineRule="auto" w:before="20" w:after="20"/>
              <w:jc w:val="center"/>
            </w:pPr>
            <w:r/>
            <w:r>
              <w:rPr>
                <w:rFonts w:ascii="Arial" w:hAnsi="Arial" w:eastAsia="Arial" w:cs="Arial"/>
                <w:b w:val="0"/>
                <w:i w:val="0"/>
                <w:color w:val="000000"/>
                <w:sz w:val="19"/>
              </w:rPr>
              <w:t>48.0 ± 17.4</w:t>
            </w:r>
          </w:p>
        </w:tc>
        <w:tc>
          <w:tcPr>
            <w:tcW w:type="dxa" w:w="1584"/>
          </w:tcPr>
          <w:p>
            <w:pPr>
              <w:spacing w:line="240" w:lineRule="auto" w:before="20" w:after="20"/>
              <w:jc w:val="center"/>
            </w:pPr>
            <w:r/>
            <w:r>
              <w:rPr>
                <w:rFonts w:ascii="Arial" w:hAnsi="Arial" w:eastAsia="Arial" w:cs="Arial"/>
                <w:b w:val="0"/>
                <w:i w:val="0"/>
                <w:color w:val="000000"/>
                <w:sz w:val="19"/>
              </w:rPr>
              <w:t>50.4 ± 18.1</w:t>
            </w:r>
          </w:p>
        </w:tc>
        <w:tc>
          <w:tcPr>
            <w:tcW w:type="dxa" w:w="1440"/>
          </w:tcPr>
          <w:p>
            <w:pPr>
              <w:spacing w:line="240" w:lineRule="auto" w:before="20" w:after="20"/>
              <w:jc w:val="center"/>
            </w:pPr>
            <w:r/>
            <w:r>
              <w:rPr>
                <w:rFonts w:ascii="Arial" w:hAnsi="Arial" w:eastAsia="Arial" w:cs="Arial"/>
                <w:b w:val="0"/>
                <w:i w:val="0"/>
                <w:color w:val="000000"/>
                <w:sz w:val="19"/>
              </w:rPr>
              <w:t>50.3 ± 16.0</w:t>
            </w:r>
          </w:p>
        </w:tc>
      </w:tr>
      <w:tr>
        <w:tc>
          <w:tcPr>
            <w:tcW w:type="dxa" w:w="3312"/>
          </w:tcPr>
          <w:p>
            <w:pPr>
              <w:spacing w:line="240" w:lineRule="auto" w:before="20" w:after="20"/>
            </w:pPr>
            <w:r/>
            <w:r>
              <w:rPr>
                <w:rFonts w:ascii="Arial" w:hAnsi="Arial" w:eastAsia="Arial" w:cs="Arial"/>
                <w:b w:val="0"/>
                <w:i w:val="0"/>
                <w:color w:val="000000"/>
                <w:sz w:val="19"/>
              </w:rPr>
              <w:t>BMI, kg/m</w:t>
            </w:r>
            <w:r>
              <w:rPr>
                <w:rFonts w:ascii="Arial" w:hAnsi="Arial" w:eastAsia="Arial" w:cs="Arial"/>
                <w:b w:val="0"/>
                <w:i w:val="0"/>
                <w:color w:val="000000"/>
                <w:sz w:val="19"/>
                <w:vertAlign w:val="superscript"/>
              </w:rPr>
              <w:t>2</w:t>
            </w:r>
          </w:p>
        </w:tc>
        <w:tc>
          <w:tcPr>
            <w:tcW w:type="dxa" w:w="1512"/>
          </w:tcPr>
          <w:p>
            <w:pPr>
              <w:spacing w:line="240" w:lineRule="auto" w:before="20" w:after="20"/>
              <w:jc w:val="center"/>
            </w:pPr>
            <w:r/>
            <w:r>
              <w:rPr>
                <w:rFonts w:ascii="Arial" w:hAnsi="Arial" w:eastAsia="Arial" w:cs="Arial"/>
                <w:b w:val="0"/>
                <w:i w:val="0"/>
                <w:color w:val="000000"/>
                <w:sz w:val="19"/>
              </w:rPr>
              <w:t>29.4 ± 7.0</w:t>
            </w:r>
          </w:p>
        </w:tc>
        <w:tc>
          <w:tcPr>
            <w:tcW w:type="dxa" w:w="1512"/>
          </w:tcPr>
          <w:p>
            <w:pPr>
              <w:spacing w:line="240" w:lineRule="auto" w:before="20" w:after="20"/>
              <w:jc w:val="center"/>
            </w:pPr>
            <w:r/>
            <w:r>
              <w:rPr>
                <w:rFonts w:ascii="Arial" w:hAnsi="Arial" w:eastAsia="Arial" w:cs="Arial"/>
                <w:b w:val="0"/>
                <w:i w:val="0"/>
                <w:color w:val="000000"/>
                <w:sz w:val="19"/>
              </w:rPr>
              <w:t>29.8 ± 7.4</w:t>
            </w:r>
          </w:p>
        </w:tc>
        <w:tc>
          <w:tcPr>
            <w:tcW w:type="dxa" w:w="1584"/>
          </w:tcPr>
          <w:p>
            <w:pPr>
              <w:spacing w:line="240" w:lineRule="auto" w:before="20" w:after="20"/>
              <w:jc w:val="center"/>
            </w:pPr>
            <w:r/>
            <w:r>
              <w:rPr>
                <w:rFonts w:ascii="Arial" w:hAnsi="Arial" w:eastAsia="Arial" w:cs="Arial"/>
                <w:b w:val="0"/>
                <w:i w:val="0"/>
                <w:color w:val="000000"/>
                <w:sz w:val="19"/>
              </w:rPr>
              <w:t>29.7 ± 7.1</w:t>
            </w:r>
          </w:p>
        </w:tc>
        <w:tc>
          <w:tcPr>
            <w:tcW w:type="dxa" w:w="1440"/>
          </w:tcPr>
          <w:p>
            <w:pPr>
              <w:spacing w:line="240" w:lineRule="auto" w:before="20" w:after="20"/>
              <w:jc w:val="center"/>
            </w:pPr>
            <w:r/>
            <w:r>
              <w:rPr>
                <w:rFonts w:ascii="Arial" w:hAnsi="Arial" w:eastAsia="Arial" w:cs="Arial"/>
                <w:b w:val="0"/>
                <w:i w:val="0"/>
                <w:color w:val="000000"/>
                <w:sz w:val="19"/>
              </w:rPr>
              <w:t>28.7 ± 6.4</w:t>
            </w:r>
          </w:p>
        </w:tc>
      </w:tr>
      <w:tr>
        <w:tc>
          <w:tcPr>
            <w:tcW w:type="dxa" w:w="3312"/>
          </w:tcPr>
          <w:p>
            <w:pPr>
              <w:spacing w:line="240" w:lineRule="auto" w:before="20" w:after="20"/>
            </w:pPr>
            <w:r/>
            <w:r>
              <w:rPr>
                <w:rFonts w:ascii="Arial" w:hAnsi="Arial" w:eastAsia="Arial" w:cs="Arial"/>
                <w:b w:val="0"/>
                <w:i w:val="0"/>
                <w:color w:val="000000"/>
                <w:sz w:val="19"/>
              </w:rPr>
              <w:t>Waist circumference, cm</w:t>
            </w:r>
          </w:p>
        </w:tc>
        <w:tc>
          <w:tcPr>
            <w:tcW w:type="dxa" w:w="1512"/>
          </w:tcPr>
          <w:p>
            <w:pPr>
              <w:spacing w:line="240" w:lineRule="auto" w:before="20" w:after="20"/>
              <w:jc w:val="center"/>
            </w:pPr>
            <w:r/>
            <w:r>
              <w:rPr>
                <w:rFonts w:ascii="Arial" w:hAnsi="Arial" w:eastAsia="Arial" w:cs="Arial"/>
                <w:b w:val="0"/>
                <w:i w:val="0"/>
                <w:color w:val="000000"/>
                <w:sz w:val="19"/>
              </w:rPr>
              <w:t>100.2 ± 16.8</w:t>
            </w:r>
          </w:p>
        </w:tc>
        <w:tc>
          <w:tcPr>
            <w:tcW w:type="dxa" w:w="1512"/>
          </w:tcPr>
          <w:p>
            <w:pPr>
              <w:spacing w:line="240" w:lineRule="auto" w:before="20" w:after="20"/>
              <w:jc w:val="center"/>
            </w:pPr>
            <w:r/>
            <w:r>
              <w:rPr>
                <w:rFonts w:ascii="Arial" w:hAnsi="Arial" w:eastAsia="Arial" w:cs="Arial"/>
                <w:b w:val="0"/>
                <w:i w:val="0"/>
                <w:color w:val="000000"/>
                <w:sz w:val="19"/>
              </w:rPr>
              <w:t>100.8 ± 17.3</w:t>
            </w:r>
          </w:p>
        </w:tc>
        <w:tc>
          <w:tcPr>
            <w:tcW w:type="dxa" w:w="1584"/>
          </w:tcPr>
          <w:p>
            <w:pPr>
              <w:spacing w:line="240" w:lineRule="auto" w:before="20" w:after="20"/>
              <w:jc w:val="center"/>
            </w:pPr>
            <w:r/>
            <w:r>
              <w:rPr>
                <w:rFonts w:ascii="Arial" w:hAnsi="Arial" w:eastAsia="Arial" w:cs="Arial"/>
                <w:b w:val="0"/>
                <w:i w:val="0"/>
                <w:color w:val="000000"/>
                <w:sz w:val="19"/>
              </w:rPr>
              <w:t>100.9 ± 16.9</w:t>
            </w:r>
          </w:p>
        </w:tc>
        <w:tc>
          <w:tcPr>
            <w:tcW w:type="dxa" w:w="1440"/>
          </w:tcPr>
          <w:p>
            <w:pPr>
              <w:spacing w:line="240" w:lineRule="auto" w:before="20" w:after="20"/>
              <w:jc w:val="center"/>
            </w:pPr>
            <w:r/>
            <w:r>
              <w:rPr>
                <w:rFonts w:ascii="Arial" w:hAnsi="Arial" w:eastAsia="Arial" w:cs="Arial"/>
                <w:b w:val="0"/>
                <w:i w:val="0"/>
                <w:color w:val="000000"/>
                <w:sz w:val="19"/>
              </w:rPr>
              <w:t>98.7 ± 15.9</w:t>
            </w:r>
          </w:p>
        </w:tc>
      </w:tr>
      <w:tr>
        <w:tc>
          <w:tcPr>
            <w:tcW w:type="dxa" w:w="3312"/>
          </w:tcPr>
          <w:p>
            <w:pPr>
              <w:spacing w:line="240" w:lineRule="auto" w:before="20" w:after="20"/>
            </w:pPr>
            <w:r/>
            <w:r>
              <w:rPr>
                <w:rFonts w:ascii="Arial" w:hAnsi="Arial" w:eastAsia="Arial" w:cs="Arial"/>
                <w:b w:val="0"/>
                <w:i w:val="0"/>
                <w:color w:val="000000"/>
                <w:sz w:val="19"/>
              </w:rPr>
              <w:t>Systolic BP, mmHg</w:t>
            </w:r>
          </w:p>
        </w:tc>
        <w:tc>
          <w:tcPr>
            <w:tcW w:type="dxa" w:w="1512"/>
          </w:tcPr>
          <w:p>
            <w:pPr>
              <w:spacing w:line="240" w:lineRule="auto" w:before="20" w:after="20"/>
              <w:jc w:val="center"/>
            </w:pPr>
            <w:r/>
            <w:r>
              <w:rPr>
                <w:rFonts w:ascii="Arial" w:hAnsi="Arial" w:eastAsia="Arial" w:cs="Arial"/>
                <w:b w:val="0"/>
                <w:i w:val="0"/>
                <w:color w:val="000000"/>
                <w:sz w:val="19"/>
              </w:rPr>
              <w:t>124.9 ± 18.3</w:t>
            </w:r>
          </w:p>
        </w:tc>
        <w:tc>
          <w:tcPr>
            <w:tcW w:type="dxa" w:w="1512"/>
          </w:tcPr>
          <w:p>
            <w:pPr>
              <w:spacing w:line="240" w:lineRule="auto" w:before="20" w:after="20"/>
              <w:jc w:val="center"/>
            </w:pPr>
            <w:r/>
            <w:r>
              <w:rPr>
                <w:rFonts w:ascii="Arial" w:hAnsi="Arial" w:eastAsia="Arial" w:cs="Arial"/>
                <w:b w:val="0"/>
                <w:i w:val="0"/>
                <w:color w:val="000000"/>
                <w:sz w:val="19"/>
              </w:rPr>
              <w:t>125.3 ± 19.3</w:t>
            </w:r>
          </w:p>
        </w:tc>
        <w:tc>
          <w:tcPr>
            <w:tcW w:type="dxa" w:w="1584"/>
          </w:tcPr>
          <w:p>
            <w:pPr>
              <w:spacing w:line="240" w:lineRule="auto" w:before="20" w:after="20"/>
              <w:jc w:val="center"/>
            </w:pPr>
            <w:r/>
            <w:r>
              <w:rPr>
                <w:rFonts w:ascii="Arial" w:hAnsi="Arial" w:eastAsia="Arial" w:cs="Arial"/>
                <w:b w:val="0"/>
                <w:i w:val="0"/>
                <w:color w:val="000000"/>
                <w:sz w:val="19"/>
              </w:rPr>
              <w:t>125.9 ± 18.6</w:t>
            </w:r>
          </w:p>
        </w:tc>
        <w:tc>
          <w:tcPr>
            <w:tcW w:type="dxa" w:w="1440"/>
          </w:tcPr>
          <w:p>
            <w:pPr>
              <w:spacing w:line="240" w:lineRule="auto" w:before="20" w:after="20"/>
              <w:jc w:val="center"/>
            </w:pPr>
            <w:r/>
            <w:r>
              <w:rPr>
                <w:rFonts w:ascii="Arial" w:hAnsi="Arial" w:eastAsia="Arial" w:cs="Arial"/>
                <w:b w:val="0"/>
                <w:i w:val="0"/>
                <w:color w:val="000000"/>
                <w:sz w:val="19"/>
              </w:rPr>
              <w:t>123.3 ± 16.8</w:t>
            </w:r>
          </w:p>
        </w:tc>
      </w:tr>
      <w:tr>
        <w:tc>
          <w:tcPr>
            <w:tcW w:type="dxa" w:w="3312"/>
          </w:tcPr>
          <w:p>
            <w:pPr>
              <w:spacing w:line="240" w:lineRule="auto" w:before="20" w:after="20"/>
            </w:pPr>
            <w:r/>
            <w:r>
              <w:rPr>
                <w:rFonts w:ascii="Arial" w:hAnsi="Arial" w:eastAsia="Arial" w:cs="Arial"/>
                <w:b w:val="0"/>
                <w:i w:val="0"/>
                <w:color w:val="000000"/>
                <w:sz w:val="19"/>
              </w:rPr>
              <w:t>Diastolic BP, mmHg</w:t>
            </w:r>
          </w:p>
        </w:tc>
        <w:tc>
          <w:tcPr>
            <w:tcW w:type="dxa" w:w="1512"/>
          </w:tcPr>
          <w:p>
            <w:pPr>
              <w:spacing w:line="240" w:lineRule="auto" w:before="20" w:after="20"/>
              <w:jc w:val="center"/>
            </w:pPr>
            <w:r/>
            <w:r>
              <w:rPr>
                <w:rFonts w:ascii="Arial" w:hAnsi="Arial" w:eastAsia="Arial" w:cs="Arial"/>
                <w:b w:val="0"/>
                <w:i w:val="0"/>
                <w:color w:val="000000"/>
                <w:sz w:val="19"/>
              </w:rPr>
              <w:t>70.8 ± 12.6</w:t>
            </w:r>
          </w:p>
        </w:tc>
        <w:tc>
          <w:tcPr>
            <w:tcW w:type="dxa" w:w="1512"/>
          </w:tcPr>
          <w:p>
            <w:pPr>
              <w:spacing w:line="240" w:lineRule="auto" w:before="20" w:after="20"/>
              <w:jc w:val="center"/>
            </w:pPr>
            <w:r/>
            <w:r>
              <w:rPr>
                <w:rFonts w:ascii="Arial" w:hAnsi="Arial" w:eastAsia="Arial" w:cs="Arial"/>
                <w:b w:val="0"/>
                <w:i w:val="0"/>
                <w:color w:val="000000"/>
                <w:sz w:val="19"/>
              </w:rPr>
              <w:t>70.3 ± 12.8</w:t>
            </w:r>
          </w:p>
        </w:tc>
        <w:tc>
          <w:tcPr>
            <w:tcW w:type="dxa" w:w="1584"/>
          </w:tcPr>
          <w:p>
            <w:pPr>
              <w:spacing w:line="240" w:lineRule="auto" w:before="20" w:after="20"/>
              <w:jc w:val="center"/>
            </w:pPr>
            <w:r/>
            <w:r>
              <w:rPr>
                <w:rFonts w:ascii="Arial" w:hAnsi="Arial" w:eastAsia="Arial" w:cs="Arial"/>
                <w:b w:val="0"/>
                <w:i w:val="0"/>
                <w:color w:val="000000"/>
                <w:sz w:val="19"/>
              </w:rPr>
              <w:t>70.6 ± 13.0</w:t>
            </w:r>
          </w:p>
        </w:tc>
        <w:tc>
          <w:tcPr>
            <w:tcW w:type="dxa" w:w="1440"/>
          </w:tcPr>
          <w:p>
            <w:pPr>
              <w:spacing w:line="240" w:lineRule="auto" w:before="20" w:after="20"/>
              <w:jc w:val="center"/>
            </w:pPr>
            <w:r/>
            <w:r>
              <w:rPr>
                <w:rFonts w:ascii="Arial" w:hAnsi="Arial" w:eastAsia="Arial" w:cs="Arial"/>
                <w:b w:val="0"/>
                <w:i w:val="0"/>
                <w:color w:val="000000"/>
                <w:sz w:val="19"/>
              </w:rPr>
              <w:t>71.4 ± 11.7</w:t>
            </w:r>
          </w:p>
        </w:tc>
      </w:tr>
      <w:tr>
        <w:tc>
          <w:tcPr>
            <w:tcW w:type="dxa" w:w="3312"/>
          </w:tcPr>
          <w:p>
            <w:pPr>
              <w:spacing w:line="240" w:lineRule="auto" w:before="20" w:after="20"/>
            </w:pPr>
            <w:r/>
            <w:r>
              <w:rPr>
                <w:rFonts w:ascii="Arial" w:hAnsi="Arial" w:eastAsia="Arial" w:cs="Arial"/>
                <w:b w:val="0"/>
                <w:i w:val="0"/>
                <w:color w:val="000000"/>
                <w:sz w:val="19"/>
              </w:rPr>
              <w:t>HbA1c, %</w:t>
            </w:r>
          </w:p>
        </w:tc>
        <w:tc>
          <w:tcPr>
            <w:tcW w:type="dxa" w:w="1512"/>
          </w:tcPr>
          <w:p>
            <w:pPr>
              <w:spacing w:line="240" w:lineRule="auto" w:before="20" w:after="20"/>
              <w:jc w:val="center"/>
            </w:pPr>
            <w:r/>
            <w:r>
              <w:rPr>
                <w:rFonts w:ascii="Arial" w:hAnsi="Arial" w:eastAsia="Arial" w:cs="Arial"/>
                <w:b w:val="0"/>
                <w:i w:val="0"/>
                <w:color w:val="000000"/>
                <w:sz w:val="19"/>
              </w:rPr>
              <w:t>5.81 ± 1.12</w:t>
            </w:r>
          </w:p>
        </w:tc>
        <w:tc>
          <w:tcPr>
            <w:tcW w:type="dxa" w:w="1512"/>
          </w:tcPr>
          <w:p>
            <w:pPr>
              <w:spacing w:line="240" w:lineRule="auto" w:before="20" w:after="20"/>
              <w:jc w:val="center"/>
            </w:pPr>
            <w:r/>
            <w:r>
              <w:rPr>
                <w:rFonts w:ascii="Arial" w:hAnsi="Arial" w:eastAsia="Arial" w:cs="Arial"/>
                <w:b w:val="0"/>
                <w:i w:val="0"/>
                <w:color w:val="000000"/>
                <w:sz w:val="19"/>
              </w:rPr>
              <w:t>5.87 ± 1.28</w:t>
            </w:r>
          </w:p>
        </w:tc>
        <w:tc>
          <w:tcPr>
            <w:tcW w:type="dxa" w:w="1584"/>
          </w:tcPr>
          <w:p>
            <w:pPr>
              <w:spacing w:line="240" w:lineRule="auto" w:before="20" w:after="20"/>
              <w:jc w:val="center"/>
            </w:pPr>
            <w:r/>
            <w:r>
              <w:rPr>
                <w:rFonts w:ascii="Arial" w:hAnsi="Arial" w:eastAsia="Arial" w:cs="Arial"/>
                <w:b w:val="0"/>
                <w:i w:val="0"/>
                <w:color w:val="000000"/>
                <w:sz w:val="19"/>
              </w:rPr>
              <w:t>5.84 ± 1.11</w:t>
            </w:r>
          </w:p>
        </w:tc>
        <w:tc>
          <w:tcPr>
            <w:tcW w:type="dxa" w:w="1440"/>
          </w:tcPr>
          <w:p>
            <w:pPr>
              <w:spacing w:line="240" w:lineRule="auto" w:before="20" w:after="20"/>
              <w:jc w:val="center"/>
            </w:pPr>
            <w:r/>
            <w:r>
              <w:rPr>
                <w:rFonts w:ascii="Arial" w:hAnsi="Arial" w:eastAsia="Arial" w:cs="Arial"/>
                <w:b w:val="0"/>
                <w:i w:val="0"/>
                <w:color w:val="000000"/>
                <w:sz w:val="19"/>
              </w:rPr>
              <w:t>5.70 ± 0.92</w:t>
            </w:r>
          </w:p>
        </w:tc>
      </w:tr>
      <w:tr>
        <w:tc>
          <w:tcPr>
            <w:tcW w:type="dxa" w:w="3312"/>
          </w:tcPr>
          <w:p>
            <w:pPr>
              <w:spacing w:line="240" w:lineRule="auto" w:before="20" w:after="20"/>
            </w:pPr>
            <w:r/>
            <w:r>
              <w:rPr>
                <w:rFonts w:ascii="Arial" w:hAnsi="Arial" w:eastAsia="Arial" w:cs="Arial"/>
                <w:b w:val="0"/>
                <w:i w:val="0"/>
                <w:color w:val="000000"/>
                <w:sz w:val="19"/>
              </w:rPr>
              <w:t>Serum glucose, mg/dL</w:t>
            </w:r>
          </w:p>
        </w:tc>
        <w:tc>
          <w:tcPr>
            <w:tcW w:type="dxa" w:w="1512"/>
          </w:tcPr>
          <w:p>
            <w:pPr>
              <w:spacing w:line="240" w:lineRule="auto" w:before="20" w:after="20"/>
              <w:jc w:val="center"/>
            </w:pPr>
            <w:r/>
            <w:r>
              <w:rPr>
                <w:rFonts w:ascii="Arial" w:hAnsi="Arial" w:eastAsia="Arial" w:cs="Arial"/>
                <w:b w:val="0"/>
                <w:i w:val="0"/>
                <w:color w:val="000000"/>
                <w:sz w:val="19"/>
              </w:rPr>
              <w:t>104.3 ± 40.6</w:t>
            </w:r>
          </w:p>
        </w:tc>
        <w:tc>
          <w:tcPr>
            <w:tcW w:type="dxa" w:w="1512"/>
          </w:tcPr>
          <w:p>
            <w:pPr>
              <w:spacing w:line="240" w:lineRule="auto" w:before="20" w:after="20"/>
              <w:jc w:val="center"/>
            </w:pPr>
            <w:r/>
            <w:r>
              <w:rPr>
                <w:rFonts w:ascii="Arial" w:hAnsi="Arial" w:eastAsia="Arial" w:cs="Arial"/>
                <w:b w:val="0"/>
                <w:i w:val="0"/>
                <w:color w:val="000000"/>
                <w:sz w:val="19"/>
              </w:rPr>
              <w:t>107.1 ± 47.7</w:t>
            </w:r>
          </w:p>
        </w:tc>
        <w:tc>
          <w:tcPr>
            <w:tcW w:type="dxa" w:w="1584"/>
          </w:tcPr>
          <w:p>
            <w:pPr>
              <w:spacing w:line="240" w:lineRule="auto" w:before="20" w:after="20"/>
              <w:jc w:val="center"/>
            </w:pPr>
            <w:r/>
            <w:r>
              <w:rPr>
                <w:rFonts w:ascii="Arial" w:hAnsi="Arial" w:eastAsia="Arial" w:cs="Arial"/>
                <w:b w:val="0"/>
                <w:i w:val="0"/>
                <w:color w:val="000000"/>
                <w:sz w:val="19"/>
              </w:rPr>
              <w:t>104.8 ± 40.8</w:t>
            </w:r>
          </w:p>
        </w:tc>
        <w:tc>
          <w:tcPr>
            <w:tcW w:type="dxa" w:w="1440"/>
          </w:tcPr>
          <w:p>
            <w:pPr>
              <w:spacing w:line="240" w:lineRule="auto" w:before="20" w:after="20"/>
              <w:jc w:val="center"/>
            </w:pPr>
            <w:r/>
            <w:r>
              <w:rPr>
                <w:rFonts w:ascii="Arial" w:hAnsi="Arial" w:eastAsia="Arial" w:cs="Arial"/>
                <w:b w:val="0"/>
                <w:i w:val="0"/>
                <w:color w:val="000000"/>
                <w:sz w:val="19"/>
              </w:rPr>
              <w:t>100.7 ± 31.4</w:t>
            </w:r>
          </w:p>
        </w:tc>
      </w:tr>
      <w:tr>
        <w:tc>
          <w:tcPr>
            <w:tcW w:type="dxa" w:w="3312"/>
          </w:tcPr>
          <w:p>
            <w:pPr>
              <w:spacing w:line="240" w:lineRule="auto" w:before="20" w:after="20"/>
            </w:pPr>
            <w:r/>
            <w:r>
              <w:rPr>
                <w:rFonts w:ascii="Arial" w:hAnsi="Arial" w:eastAsia="Arial" w:cs="Arial"/>
                <w:b w:val="0"/>
                <w:i w:val="0"/>
                <w:color w:val="000000"/>
                <w:sz w:val="19"/>
              </w:rPr>
              <w:t>Uric acid, mg/dL</w:t>
            </w:r>
          </w:p>
        </w:tc>
        <w:tc>
          <w:tcPr>
            <w:tcW w:type="dxa" w:w="1512"/>
          </w:tcPr>
          <w:p>
            <w:pPr>
              <w:spacing w:line="240" w:lineRule="auto" w:before="20" w:after="20"/>
              <w:jc w:val="center"/>
            </w:pPr>
            <w:r/>
            <w:r>
              <w:rPr>
                <w:rFonts w:ascii="Arial" w:hAnsi="Arial" w:eastAsia="Arial" w:cs="Arial"/>
                <w:b w:val="0"/>
                <w:i w:val="0"/>
                <w:color w:val="000000"/>
                <w:sz w:val="19"/>
              </w:rPr>
              <w:t>5.45 ± 1.43</w:t>
            </w:r>
          </w:p>
        </w:tc>
        <w:tc>
          <w:tcPr>
            <w:tcW w:type="dxa" w:w="1512"/>
          </w:tcPr>
          <w:p>
            <w:pPr>
              <w:spacing w:line="240" w:lineRule="auto" w:before="20" w:after="20"/>
              <w:jc w:val="center"/>
            </w:pPr>
            <w:r/>
            <w:r>
              <w:rPr>
                <w:rFonts w:ascii="Arial" w:hAnsi="Arial" w:eastAsia="Arial" w:cs="Arial"/>
                <w:b w:val="0"/>
                <w:i w:val="0"/>
                <w:color w:val="000000"/>
                <w:sz w:val="19"/>
              </w:rPr>
              <w:t>5.38 ± 1.45</w:t>
            </w:r>
          </w:p>
        </w:tc>
        <w:tc>
          <w:tcPr>
            <w:tcW w:type="dxa" w:w="1584"/>
          </w:tcPr>
          <w:p>
            <w:pPr>
              <w:spacing w:line="240" w:lineRule="auto" w:before="20" w:after="20"/>
              <w:jc w:val="center"/>
            </w:pPr>
            <w:r/>
            <w:r>
              <w:rPr>
                <w:rFonts w:ascii="Arial" w:hAnsi="Arial" w:eastAsia="Arial" w:cs="Arial"/>
                <w:b w:val="0"/>
                <w:i w:val="0"/>
                <w:color w:val="000000"/>
                <w:sz w:val="19"/>
              </w:rPr>
              <w:t>5.46 ± 1.43</w:t>
            </w:r>
          </w:p>
        </w:tc>
        <w:tc>
          <w:tcPr>
            <w:tcW w:type="dxa" w:w="1440"/>
          </w:tcPr>
          <w:p>
            <w:pPr>
              <w:spacing w:line="240" w:lineRule="auto" w:before="20" w:after="20"/>
              <w:jc w:val="center"/>
            </w:pPr>
            <w:r/>
            <w:r>
              <w:rPr>
                <w:rFonts w:ascii="Arial" w:hAnsi="Arial" w:eastAsia="Arial" w:cs="Arial"/>
                <w:b w:val="0"/>
                <w:i w:val="0"/>
                <w:color w:val="000000"/>
                <w:sz w:val="19"/>
              </w:rPr>
              <w:t>5.49 ± 1.42</w:t>
            </w:r>
          </w:p>
        </w:tc>
      </w:tr>
      <w:tr>
        <w:tc>
          <w:tcPr>
            <w:tcW w:type="dxa" w:w="3312"/>
          </w:tcPr>
          <w:p>
            <w:pPr>
              <w:spacing w:line="240" w:lineRule="auto" w:before="20" w:after="20"/>
            </w:pPr>
            <w:r/>
            <w:r>
              <w:rPr>
                <w:rFonts w:ascii="Arial" w:hAnsi="Arial" w:eastAsia="Arial" w:cs="Arial"/>
                <w:b w:val="0"/>
                <w:i w:val="0"/>
                <w:color w:val="000000"/>
                <w:sz w:val="19"/>
              </w:rPr>
              <w:t>ALT, U/L</w:t>
            </w:r>
          </w:p>
        </w:tc>
        <w:tc>
          <w:tcPr>
            <w:tcW w:type="dxa" w:w="1512"/>
          </w:tcPr>
          <w:p>
            <w:pPr>
              <w:spacing w:line="240" w:lineRule="auto" w:before="20" w:after="20"/>
              <w:jc w:val="center"/>
            </w:pPr>
            <w:r/>
            <w:r>
              <w:rPr>
                <w:rFonts w:ascii="Arial" w:hAnsi="Arial" w:eastAsia="Arial" w:cs="Arial"/>
                <w:b w:val="0"/>
                <w:i w:val="0"/>
                <w:color w:val="000000"/>
                <w:sz w:val="19"/>
              </w:rPr>
              <w:t>20 [15–28]</w:t>
            </w:r>
          </w:p>
        </w:tc>
        <w:tc>
          <w:tcPr>
            <w:tcW w:type="dxa" w:w="1512"/>
          </w:tcPr>
          <w:p>
            <w:pPr>
              <w:spacing w:line="240" w:lineRule="auto" w:before="20" w:after="20"/>
              <w:jc w:val="center"/>
            </w:pPr>
            <w:r/>
            <w:r>
              <w:rPr>
                <w:rFonts w:ascii="Arial" w:hAnsi="Arial" w:eastAsia="Arial" w:cs="Arial"/>
                <w:b w:val="0"/>
                <w:i w:val="0"/>
                <w:color w:val="000000"/>
                <w:sz w:val="19"/>
              </w:rPr>
              <w:t>20 [15–28]</w:t>
            </w:r>
          </w:p>
        </w:tc>
        <w:tc>
          <w:tcPr>
            <w:tcW w:type="dxa" w:w="1584"/>
          </w:tcPr>
          <w:p>
            <w:pPr>
              <w:spacing w:line="240" w:lineRule="auto" w:before="20" w:after="20"/>
              <w:jc w:val="center"/>
            </w:pPr>
            <w:r/>
            <w:r>
              <w:rPr>
                <w:rFonts w:ascii="Arial" w:hAnsi="Arial" w:eastAsia="Arial" w:cs="Arial"/>
                <w:b w:val="0"/>
                <w:i w:val="0"/>
                <w:color w:val="000000"/>
                <w:sz w:val="19"/>
              </w:rPr>
              <w:t>20 [15–28]</w:t>
            </w:r>
          </w:p>
        </w:tc>
        <w:tc>
          <w:tcPr>
            <w:tcW w:type="dxa" w:w="1440"/>
          </w:tcPr>
          <w:p>
            <w:pPr>
              <w:spacing w:line="240" w:lineRule="auto" w:before="20" w:after="20"/>
              <w:jc w:val="center"/>
            </w:pPr>
            <w:r/>
            <w:r>
              <w:rPr>
                <w:rFonts w:ascii="Arial" w:hAnsi="Arial" w:eastAsia="Arial" w:cs="Arial"/>
                <w:b w:val="0"/>
                <w:i w:val="0"/>
                <w:color w:val="000000"/>
                <w:sz w:val="19"/>
              </w:rPr>
              <w:t>20 [16–28]</w:t>
            </w:r>
          </w:p>
        </w:tc>
      </w:tr>
      <w:tr>
        <w:tc>
          <w:tcPr>
            <w:tcW w:type="dxa" w:w="3312"/>
          </w:tcPr>
          <w:p>
            <w:pPr>
              <w:spacing w:line="240" w:lineRule="auto" w:before="20" w:after="20"/>
            </w:pPr>
            <w:r/>
            <w:r>
              <w:rPr>
                <w:rFonts w:ascii="Arial" w:hAnsi="Arial" w:eastAsia="Arial" w:cs="Arial"/>
                <w:b w:val="0"/>
                <w:i w:val="0"/>
                <w:color w:val="000000"/>
                <w:sz w:val="19"/>
              </w:rPr>
              <w:t>Triglycerides, mg/dL</w:t>
            </w:r>
          </w:p>
        </w:tc>
        <w:tc>
          <w:tcPr>
            <w:tcW w:type="dxa" w:w="1512"/>
          </w:tcPr>
          <w:p>
            <w:pPr>
              <w:spacing w:line="240" w:lineRule="auto" w:before="20" w:after="20"/>
              <w:jc w:val="center"/>
            </w:pPr>
            <w:r/>
            <w:r>
              <w:rPr>
                <w:rFonts w:ascii="Arial" w:hAnsi="Arial" w:eastAsia="Arial" w:cs="Arial"/>
                <w:b w:val="0"/>
                <w:i w:val="0"/>
                <w:color w:val="000000"/>
                <w:sz w:val="19"/>
              </w:rPr>
              <w:t>119 [80–184]</w:t>
            </w:r>
          </w:p>
        </w:tc>
        <w:tc>
          <w:tcPr>
            <w:tcW w:type="dxa" w:w="1512"/>
          </w:tcPr>
          <w:p>
            <w:pPr>
              <w:spacing w:line="240" w:lineRule="auto" w:before="20" w:after="20"/>
              <w:jc w:val="center"/>
            </w:pPr>
            <w:r/>
            <w:r>
              <w:rPr>
                <w:rFonts w:ascii="Arial" w:hAnsi="Arial" w:eastAsia="Arial" w:cs="Arial"/>
                <w:b w:val="0"/>
                <w:i w:val="0"/>
                <w:color w:val="000000"/>
                <w:sz w:val="19"/>
              </w:rPr>
              <w:t>123 [83–190]</w:t>
            </w:r>
          </w:p>
        </w:tc>
        <w:tc>
          <w:tcPr>
            <w:tcW w:type="dxa" w:w="1584"/>
          </w:tcPr>
          <w:p>
            <w:pPr>
              <w:spacing w:line="240" w:lineRule="auto" w:before="20" w:after="20"/>
              <w:jc w:val="center"/>
            </w:pPr>
            <w:r/>
            <w:r>
              <w:rPr>
                <w:rFonts w:ascii="Arial" w:hAnsi="Arial" w:eastAsia="Arial" w:cs="Arial"/>
                <w:b w:val="0"/>
                <w:i w:val="0"/>
                <w:color w:val="000000"/>
                <w:sz w:val="19"/>
              </w:rPr>
              <w:t>119 [80–186]</w:t>
            </w:r>
          </w:p>
        </w:tc>
        <w:tc>
          <w:tcPr>
            <w:tcW w:type="dxa" w:w="1440"/>
          </w:tcPr>
          <w:p>
            <w:pPr>
              <w:spacing w:line="240" w:lineRule="auto" w:before="20" w:after="20"/>
              <w:jc w:val="center"/>
            </w:pPr>
            <w:r/>
            <w:r>
              <w:rPr>
                <w:rFonts w:ascii="Arial" w:hAnsi="Arial" w:eastAsia="Arial" w:cs="Arial"/>
                <w:b w:val="0"/>
                <w:i w:val="0"/>
                <w:color w:val="000000"/>
                <w:sz w:val="19"/>
              </w:rPr>
              <w:t>117 [79–176]</w:t>
            </w:r>
          </w:p>
        </w:tc>
      </w:tr>
      <w:tr>
        <w:tc>
          <w:tcPr>
            <w:tcW w:type="dxa" w:w="3312"/>
          </w:tcPr>
          <w:p>
            <w:pPr>
              <w:spacing w:line="240" w:lineRule="auto" w:before="20" w:after="20"/>
            </w:pPr>
            <w:r/>
            <w:r>
              <w:rPr>
                <w:rFonts w:ascii="Arial" w:hAnsi="Arial" w:eastAsia="Arial" w:cs="Arial"/>
                <w:b w:val="0"/>
                <w:i w:val="0"/>
                <w:color w:val="000000"/>
                <w:sz w:val="19"/>
              </w:rPr>
              <w:t>Albumin, g/dL</w:t>
            </w:r>
          </w:p>
        </w:tc>
        <w:tc>
          <w:tcPr>
            <w:tcW w:type="dxa" w:w="1512"/>
          </w:tcPr>
          <w:p>
            <w:pPr>
              <w:spacing w:line="240" w:lineRule="auto" w:before="20" w:after="20"/>
              <w:jc w:val="center"/>
            </w:pPr>
            <w:r/>
            <w:r>
              <w:rPr>
                <w:rFonts w:ascii="Arial" w:hAnsi="Arial" w:eastAsia="Arial" w:cs="Arial"/>
                <w:b w:val="0"/>
                <w:i w:val="0"/>
                <w:color w:val="000000"/>
                <w:sz w:val="19"/>
              </w:rPr>
              <w:t>4.22 ± 0.34</w:t>
            </w:r>
          </w:p>
        </w:tc>
        <w:tc>
          <w:tcPr>
            <w:tcW w:type="dxa" w:w="1512"/>
          </w:tcPr>
          <w:p>
            <w:pPr>
              <w:spacing w:line="240" w:lineRule="auto" w:before="20" w:after="20"/>
              <w:jc w:val="center"/>
            </w:pPr>
            <w:r/>
            <w:r>
              <w:rPr>
                <w:rFonts w:ascii="Arial" w:hAnsi="Arial" w:eastAsia="Arial" w:cs="Arial"/>
                <w:b w:val="0"/>
                <w:i w:val="0"/>
                <w:color w:val="000000"/>
                <w:sz w:val="19"/>
              </w:rPr>
              <w:t>4.19 ± 0.35</w:t>
            </w:r>
          </w:p>
        </w:tc>
        <w:tc>
          <w:tcPr>
            <w:tcW w:type="dxa" w:w="1584"/>
          </w:tcPr>
          <w:p>
            <w:pPr>
              <w:spacing w:line="240" w:lineRule="auto" w:before="20" w:after="20"/>
              <w:jc w:val="center"/>
            </w:pPr>
            <w:r/>
            <w:r>
              <w:rPr>
                <w:rFonts w:ascii="Arial" w:hAnsi="Arial" w:eastAsia="Arial" w:cs="Arial"/>
                <w:b w:val="0"/>
                <w:i w:val="0"/>
                <w:color w:val="000000"/>
                <w:sz w:val="19"/>
              </w:rPr>
              <w:t>4.21 ± 0.35</w:t>
            </w:r>
          </w:p>
        </w:tc>
        <w:tc>
          <w:tcPr>
            <w:tcW w:type="dxa" w:w="1440"/>
          </w:tcPr>
          <w:p>
            <w:pPr>
              <w:spacing w:line="240" w:lineRule="auto" w:before="20" w:after="20"/>
              <w:jc w:val="center"/>
            </w:pPr>
            <w:r/>
            <w:r>
              <w:rPr>
                <w:rFonts w:ascii="Arial" w:hAnsi="Arial" w:eastAsia="Arial" w:cs="Arial"/>
                <w:b w:val="0"/>
                <w:i w:val="0"/>
                <w:color w:val="000000"/>
                <w:sz w:val="19"/>
              </w:rPr>
              <w:t>4.26 ± 0.32</w:t>
            </w:r>
          </w:p>
        </w:tc>
      </w:tr>
      <w:tr>
        <w:tc>
          <w:tcPr>
            <w:tcW w:type="dxa" w:w="3312"/>
          </w:tcPr>
          <w:p>
            <w:pPr>
              <w:spacing w:line="240" w:lineRule="auto" w:before="20" w:after="20"/>
            </w:pPr>
            <w:r/>
            <w:r>
              <w:rPr>
                <w:rFonts w:ascii="Arial" w:hAnsi="Arial" w:eastAsia="Arial" w:cs="Arial"/>
                <w:b w:val="0"/>
                <w:i w:val="0"/>
                <w:color w:val="000000"/>
                <w:sz w:val="19"/>
              </w:rPr>
              <w:t>Total cholesterol, mg/dL</w:t>
            </w:r>
          </w:p>
        </w:tc>
        <w:tc>
          <w:tcPr>
            <w:tcW w:type="dxa" w:w="1512"/>
          </w:tcPr>
          <w:p>
            <w:pPr>
              <w:spacing w:line="240" w:lineRule="auto" w:before="20" w:after="20"/>
              <w:jc w:val="center"/>
            </w:pPr>
            <w:r/>
            <w:r>
              <w:rPr>
                <w:rFonts w:ascii="Arial" w:hAnsi="Arial" w:eastAsia="Arial" w:cs="Arial"/>
                <w:b w:val="0"/>
                <w:i w:val="0"/>
                <w:color w:val="000000"/>
                <w:sz w:val="19"/>
              </w:rPr>
              <w:t>189.4 ± 41.2</w:t>
            </w:r>
          </w:p>
        </w:tc>
        <w:tc>
          <w:tcPr>
            <w:tcW w:type="dxa" w:w="1512"/>
          </w:tcPr>
          <w:p>
            <w:pPr>
              <w:spacing w:line="240" w:lineRule="auto" w:before="20" w:after="20"/>
              <w:jc w:val="center"/>
            </w:pPr>
            <w:r/>
            <w:r>
              <w:rPr>
                <w:rFonts w:ascii="Arial" w:hAnsi="Arial" w:eastAsia="Arial" w:cs="Arial"/>
                <w:b w:val="0"/>
                <w:i w:val="0"/>
                <w:color w:val="000000"/>
                <w:sz w:val="19"/>
              </w:rPr>
              <w:t>187.4 ± 41.1</w:t>
            </w:r>
          </w:p>
        </w:tc>
        <w:tc>
          <w:tcPr>
            <w:tcW w:type="dxa" w:w="1584"/>
          </w:tcPr>
          <w:p>
            <w:pPr>
              <w:spacing w:line="240" w:lineRule="auto" w:before="20" w:after="20"/>
              <w:jc w:val="center"/>
            </w:pPr>
            <w:r/>
            <w:r>
              <w:rPr>
                <w:rFonts w:ascii="Arial" w:hAnsi="Arial" w:eastAsia="Arial" w:cs="Arial"/>
                <w:b w:val="0"/>
                <w:i w:val="0"/>
                <w:color w:val="000000"/>
                <w:sz w:val="19"/>
              </w:rPr>
              <w:t>188.8 ± 41.7</w:t>
            </w:r>
          </w:p>
        </w:tc>
        <w:tc>
          <w:tcPr>
            <w:tcW w:type="dxa" w:w="1440"/>
          </w:tcPr>
          <w:p>
            <w:pPr>
              <w:spacing w:line="240" w:lineRule="auto" w:before="20" w:after="20"/>
              <w:jc w:val="center"/>
            </w:pPr>
            <w:r/>
            <w:r>
              <w:rPr>
                <w:rFonts w:ascii="Arial" w:hAnsi="Arial" w:eastAsia="Arial" w:cs="Arial"/>
                <w:b w:val="0"/>
                <w:i w:val="0"/>
                <w:color w:val="000000"/>
                <w:sz w:val="19"/>
              </w:rPr>
              <w:t>192.3 ± 40.4</w:t>
            </w:r>
          </w:p>
        </w:tc>
      </w:tr>
      <w:tr>
        <w:tc>
          <w:tcPr>
            <w:tcW w:type="dxa" w:w="3312"/>
          </w:tcPr>
          <w:p>
            <w:pPr>
              <w:spacing w:line="240" w:lineRule="auto" w:before="20" w:after="20"/>
            </w:pPr>
            <w:r/>
            <w:r>
              <w:rPr>
                <w:rFonts w:ascii="Arial" w:hAnsi="Arial" w:eastAsia="Arial" w:cs="Arial"/>
                <w:b w:val="0"/>
                <w:i w:val="0"/>
                <w:color w:val="000000"/>
                <w:sz w:val="19"/>
              </w:rPr>
              <w:t>Female, %</w:t>
            </w:r>
          </w:p>
        </w:tc>
        <w:tc>
          <w:tcPr>
            <w:tcW w:type="dxa" w:w="1512"/>
          </w:tcPr>
          <w:p>
            <w:pPr>
              <w:spacing w:line="240" w:lineRule="auto" w:before="20" w:after="20"/>
              <w:jc w:val="center"/>
            </w:pPr>
            <w:r/>
            <w:r>
              <w:rPr>
                <w:rFonts w:ascii="Arial" w:hAnsi="Arial" w:eastAsia="Arial" w:cs="Arial"/>
                <w:b w:val="0"/>
                <w:i w:val="0"/>
                <w:color w:val="000000"/>
                <w:sz w:val="19"/>
              </w:rPr>
              <w:t>51.0</w:t>
            </w:r>
          </w:p>
        </w:tc>
        <w:tc>
          <w:tcPr>
            <w:tcW w:type="dxa" w:w="1512"/>
          </w:tcPr>
          <w:p>
            <w:pPr>
              <w:spacing w:line="240" w:lineRule="auto" w:before="20" w:after="20"/>
              <w:jc w:val="center"/>
            </w:pPr>
            <w:r/>
            <w:r>
              <w:rPr>
                <w:rFonts w:ascii="Arial" w:hAnsi="Arial" w:eastAsia="Arial" w:cs="Arial"/>
                <w:b w:val="0"/>
                <w:i w:val="0"/>
                <w:color w:val="000000"/>
                <w:sz w:val="19"/>
              </w:rPr>
              <w:t>53.5</w:t>
            </w:r>
          </w:p>
        </w:tc>
        <w:tc>
          <w:tcPr>
            <w:tcW w:type="dxa" w:w="1584"/>
          </w:tcPr>
          <w:p>
            <w:pPr>
              <w:spacing w:line="240" w:lineRule="auto" w:before="20" w:after="20"/>
              <w:jc w:val="center"/>
            </w:pPr>
            <w:r/>
            <w:r>
              <w:rPr>
                <w:rFonts w:ascii="Arial" w:hAnsi="Arial" w:eastAsia="Arial" w:cs="Arial"/>
                <w:b w:val="0"/>
                <w:i w:val="0"/>
                <w:color w:val="000000"/>
                <w:sz w:val="19"/>
              </w:rPr>
              <w:t>50.8</w:t>
            </w:r>
          </w:p>
        </w:tc>
        <w:tc>
          <w:tcPr>
            <w:tcW w:type="dxa" w:w="1440"/>
          </w:tcPr>
          <w:p>
            <w:pPr>
              <w:spacing w:line="240" w:lineRule="auto" w:before="20" w:after="20"/>
              <w:jc w:val="center"/>
            </w:pPr>
            <w:r/>
            <w:r>
              <w:rPr>
                <w:rFonts w:ascii="Arial" w:hAnsi="Arial" w:eastAsia="Arial" w:cs="Arial"/>
                <w:b w:val="0"/>
                <w:i w:val="0"/>
                <w:color w:val="000000"/>
                <w:sz w:val="19"/>
              </w:rPr>
              <w:t>48.8</w:t>
            </w:r>
          </w:p>
        </w:tc>
      </w:tr>
      <w:tr>
        <w:tc>
          <w:tcPr>
            <w:tcW w:type="dxa" w:w="3312"/>
          </w:tcPr>
          <w:p>
            <w:pPr>
              <w:spacing w:line="240" w:lineRule="auto" w:before="20" w:after="20"/>
            </w:pPr>
            <w:r/>
            <w:r>
              <w:rPr>
                <w:rFonts w:ascii="Arial" w:hAnsi="Arial" w:eastAsia="Arial" w:cs="Arial"/>
                <w:b w:val="0"/>
                <w:i w:val="0"/>
                <w:color w:val="000000"/>
                <w:sz w:val="19"/>
              </w:rPr>
              <w:t>Told had hypertension, %</w:t>
            </w:r>
          </w:p>
        </w:tc>
        <w:tc>
          <w:tcPr>
            <w:tcW w:type="dxa" w:w="1512"/>
          </w:tcPr>
          <w:p>
            <w:pPr>
              <w:spacing w:line="240" w:lineRule="auto" w:before="20" w:after="20"/>
              <w:jc w:val="center"/>
            </w:pPr>
            <w:r/>
            <w:r>
              <w:rPr>
                <w:rFonts w:ascii="Arial" w:hAnsi="Arial" w:eastAsia="Arial" w:cs="Arial"/>
                <w:b w:val="0"/>
                <w:i w:val="0"/>
                <w:color w:val="000000"/>
                <w:sz w:val="19"/>
              </w:rPr>
              <w:t>36.8</w:t>
            </w:r>
          </w:p>
        </w:tc>
        <w:tc>
          <w:tcPr>
            <w:tcW w:type="dxa" w:w="1512"/>
          </w:tcPr>
          <w:p>
            <w:pPr>
              <w:spacing w:line="240" w:lineRule="auto" w:before="20" w:after="20"/>
              <w:jc w:val="center"/>
            </w:pPr>
            <w:r/>
            <w:r>
              <w:rPr>
                <w:rFonts w:ascii="Arial" w:hAnsi="Arial" w:eastAsia="Arial" w:cs="Arial"/>
                <w:b w:val="0"/>
                <w:i w:val="0"/>
                <w:color w:val="000000"/>
                <w:sz w:val="19"/>
              </w:rPr>
              <w:t>38.3</w:t>
            </w:r>
          </w:p>
        </w:tc>
        <w:tc>
          <w:tcPr>
            <w:tcW w:type="dxa" w:w="1584"/>
          </w:tcPr>
          <w:p>
            <w:pPr>
              <w:spacing w:line="240" w:lineRule="auto" w:before="20" w:after="20"/>
              <w:jc w:val="center"/>
            </w:pPr>
            <w:r/>
            <w:r>
              <w:rPr>
                <w:rFonts w:ascii="Arial" w:hAnsi="Arial" w:eastAsia="Arial" w:cs="Arial"/>
                <w:b w:val="0"/>
                <w:i w:val="0"/>
                <w:color w:val="000000"/>
                <w:sz w:val="19"/>
              </w:rPr>
              <w:t>37.4</w:t>
            </w:r>
          </w:p>
        </w:tc>
        <w:tc>
          <w:tcPr>
            <w:tcW w:type="dxa" w:w="1440"/>
          </w:tcPr>
          <w:p>
            <w:pPr>
              <w:spacing w:line="240" w:lineRule="auto" w:before="20" w:after="20"/>
              <w:jc w:val="center"/>
            </w:pPr>
            <w:r/>
            <w:r>
              <w:rPr>
                <w:rFonts w:ascii="Arial" w:hAnsi="Arial" w:eastAsia="Arial" w:cs="Arial"/>
                <w:b w:val="0"/>
                <w:i w:val="0"/>
                <w:color w:val="000000"/>
                <w:sz w:val="19"/>
              </w:rPr>
              <w:t>34.4</w:t>
            </w:r>
          </w:p>
        </w:tc>
      </w:tr>
      <w:tr>
        <w:tc>
          <w:tcPr>
            <w:tcW w:type="dxa" w:w="3312"/>
          </w:tcPr>
          <w:p>
            <w:pPr>
              <w:spacing w:line="240" w:lineRule="auto" w:before="20" w:after="20"/>
            </w:pPr>
            <w:r/>
            <w:r>
              <w:rPr>
                <w:rFonts w:ascii="Arial" w:hAnsi="Arial" w:eastAsia="Arial" w:cs="Arial"/>
                <w:b w:val="0"/>
                <w:i w:val="0"/>
                <w:color w:val="000000"/>
                <w:sz w:val="19"/>
              </w:rPr>
              <w:t>Ever smoked ≥100 cigarettes, %</w:t>
            </w:r>
          </w:p>
        </w:tc>
        <w:tc>
          <w:tcPr>
            <w:tcW w:type="dxa" w:w="1512"/>
          </w:tcPr>
          <w:p>
            <w:pPr>
              <w:spacing w:line="240" w:lineRule="auto" w:before="20" w:after="20"/>
              <w:jc w:val="center"/>
            </w:pPr>
            <w:r/>
            <w:r>
              <w:rPr>
                <w:rFonts w:ascii="Arial" w:hAnsi="Arial" w:eastAsia="Arial" w:cs="Arial"/>
                <w:b w:val="0"/>
                <w:i w:val="0"/>
                <w:color w:val="000000"/>
                <w:sz w:val="19"/>
              </w:rPr>
              <w:t>43.1</w:t>
            </w:r>
          </w:p>
        </w:tc>
        <w:tc>
          <w:tcPr>
            <w:tcW w:type="dxa" w:w="1512"/>
          </w:tcPr>
          <w:p>
            <w:pPr>
              <w:spacing w:line="240" w:lineRule="auto" w:before="20" w:after="20"/>
              <w:jc w:val="center"/>
            </w:pPr>
            <w:r/>
            <w:r>
              <w:rPr>
                <w:rFonts w:ascii="Arial" w:hAnsi="Arial" w:eastAsia="Arial" w:cs="Arial"/>
                <w:b w:val="0"/>
                <w:i w:val="0"/>
                <w:color w:val="000000"/>
                <w:sz w:val="19"/>
              </w:rPr>
              <w:t>50.6</w:t>
            </w:r>
          </w:p>
        </w:tc>
        <w:tc>
          <w:tcPr>
            <w:tcW w:type="dxa" w:w="1584"/>
          </w:tcPr>
          <w:p>
            <w:pPr>
              <w:spacing w:line="240" w:lineRule="auto" w:before="20" w:after="20"/>
              <w:jc w:val="center"/>
            </w:pPr>
            <w:r/>
            <w:r>
              <w:rPr>
                <w:rFonts w:ascii="Arial" w:hAnsi="Arial" w:eastAsia="Arial" w:cs="Arial"/>
                <w:b w:val="0"/>
                <w:i w:val="0"/>
                <w:color w:val="000000"/>
                <w:sz w:val="19"/>
              </w:rPr>
              <w:t>43.9</w:t>
            </w:r>
          </w:p>
        </w:tc>
        <w:tc>
          <w:tcPr>
            <w:tcW w:type="dxa" w:w="1440"/>
          </w:tcPr>
          <w:p>
            <w:pPr>
              <w:spacing w:line="240" w:lineRule="auto" w:before="20" w:after="20"/>
              <w:jc w:val="center"/>
            </w:pPr>
            <w:r/>
            <w:r>
              <w:rPr>
                <w:rFonts w:ascii="Arial" w:hAnsi="Arial" w:eastAsia="Arial" w:cs="Arial"/>
                <w:b w:val="0"/>
                <w:i w:val="0"/>
                <w:color w:val="000000"/>
                <w:sz w:val="19"/>
              </w:rPr>
              <w:t>34.5</w:t>
            </w:r>
          </w:p>
        </w:tc>
      </w:tr>
      <w:tr>
        <w:tc>
          <w:tcPr>
            <w:tcW w:type="dxa" w:w="3312"/>
          </w:tcPr>
          <w:p>
            <w:pPr>
              <w:spacing w:line="240" w:lineRule="auto" w:before="20" w:after="20"/>
            </w:pPr>
            <w:r/>
            <w:r>
              <w:rPr>
                <w:rFonts w:ascii="Arial" w:hAnsi="Arial" w:eastAsia="Arial" w:cs="Arial"/>
                <w:b w:val="0"/>
                <w:i w:val="0"/>
                <w:color w:val="000000"/>
                <w:sz w:val="19"/>
              </w:rPr>
              <w:t>CKD, n (%)</w:t>
            </w:r>
          </w:p>
        </w:tc>
        <w:tc>
          <w:tcPr>
            <w:tcW w:type="dxa" w:w="1512"/>
          </w:tcPr>
          <w:p>
            <w:pPr>
              <w:spacing w:line="240" w:lineRule="auto" w:before="20" w:after="20"/>
              <w:jc w:val="center"/>
            </w:pPr>
            <w:r/>
            <w:r>
              <w:rPr>
                <w:rFonts w:ascii="Arial" w:hAnsi="Arial" w:eastAsia="Arial" w:cs="Arial"/>
                <w:b w:val="0"/>
                <w:i w:val="0"/>
                <w:color w:val="000000"/>
                <w:sz w:val="19"/>
              </w:rPr>
              <w:t>2,142 (17.1)</w:t>
            </w:r>
          </w:p>
        </w:tc>
        <w:tc>
          <w:tcPr>
            <w:tcW w:type="dxa" w:w="1512"/>
          </w:tcPr>
          <w:p>
            <w:pPr>
              <w:spacing w:line="240" w:lineRule="auto" w:before="20" w:after="20"/>
              <w:jc w:val="center"/>
            </w:pPr>
            <w:r/>
            <w:r>
              <w:rPr>
                <w:rFonts w:ascii="Arial" w:hAnsi="Arial" w:eastAsia="Arial" w:cs="Arial"/>
                <w:b w:val="0"/>
                <w:i w:val="0"/>
                <w:color w:val="000000"/>
                <w:sz w:val="19"/>
              </w:rPr>
              <w:t>734 (19.0)</w:t>
            </w:r>
          </w:p>
        </w:tc>
        <w:tc>
          <w:tcPr>
            <w:tcW w:type="dxa" w:w="1584"/>
          </w:tcPr>
          <w:p>
            <w:pPr>
              <w:spacing w:line="240" w:lineRule="auto" w:before="20" w:after="20"/>
              <w:jc w:val="center"/>
            </w:pPr>
            <w:r/>
            <w:r>
              <w:rPr>
                <w:rFonts w:ascii="Arial" w:hAnsi="Arial" w:eastAsia="Arial" w:cs="Arial"/>
                <w:b w:val="0"/>
                <w:i w:val="0"/>
                <w:color w:val="000000"/>
                <w:sz w:val="19"/>
              </w:rPr>
              <w:t>921 (19.1)</w:t>
            </w:r>
          </w:p>
        </w:tc>
        <w:tc>
          <w:tcPr>
            <w:tcW w:type="dxa" w:w="1440"/>
          </w:tcPr>
          <w:p>
            <w:pPr>
              <w:spacing w:line="240" w:lineRule="auto" w:before="20" w:after="20"/>
              <w:jc w:val="center"/>
            </w:pPr>
            <w:r/>
            <w:r>
              <w:rPr>
                <w:rFonts w:ascii="Arial" w:hAnsi="Arial" w:eastAsia="Arial" w:cs="Arial"/>
                <w:b w:val="0"/>
                <w:i w:val="0"/>
                <w:color w:val="000000"/>
                <w:sz w:val="19"/>
              </w:rPr>
              <w:t>487 (12.7)</w:t>
            </w:r>
          </w:p>
        </w:tc>
      </w:tr>
      <w:tr>
        <w:tc>
          <w:tcPr>
            <w:tcW w:type="dxa" w:w="3312"/>
            <w:tcBorders>
              <w:bottom w:val="single" w:sz="12" w:color="000000"/>
            </w:tcBorders>
          </w:tcPr>
          <w:p>
            <w:pPr>
              <w:spacing w:line="240" w:lineRule="auto" w:before="20" w:after="20"/>
            </w:pPr>
            <w:r/>
            <w:r>
              <w:rPr>
                <w:rFonts w:ascii="Arial" w:hAnsi="Arial" w:eastAsia="Arial" w:cs="Arial"/>
                <w:b w:val="0"/>
                <w:i w:val="0"/>
                <w:color w:val="000000"/>
                <w:sz w:val="19"/>
              </w:rPr>
              <w:t>CKD, survey-weighted %</w:t>
            </w:r>
          </w:p>
        </w:tc>
        <w:tc>
          <w:tcPr>
            <w:tcW w:type="dxa" w:w="1512"/>
            <w:tcBorders>
              <w:bottom w:val="single" w:sz="12" w:color="000000"/>
            </w:tcBorders>
          </w:tcPr>
          <w:p>
            <w:pPr>
              <w:spacing w:line="240" w:lineRule="auto" w:before="20" w:after="20"/>
              <w:jc w:val="center"/>
            </w:pPr>
            <w:r/>
            <w:r>
              <w:rPr>
                <w:rFonts w:ascii="Arial" w:hAnsi="Arial" w:eastAsia="Arial" w:cs="Arial"/>
                <w:b w:val="0"/>
                <w:i w:val="0"/>
                <w:color w:val="000000"/>
                <w:sz w:val="19"/>
              </w:rPr>
              <w:t>13.6</w:t>
            </w:r>
          </w:p>
        </w:tc>
        <w:tc>
          <w:tcPr>
            <w:tcW w:type="dxa" w:w="1512"/>
            <w:tcBorders>
              <w:bottom w:val="single" w:sz="12" w:color="000000"/>
            </w:tcBorders>
          </w:tcPr>
          <w:p>
            <w:pPr>
              <w:spacing w:line="240" w:lineRule="auto" w:before="20" w:after="20"/>
              <w:jc w:val="center"/>
            </w:pPr>
            <w:r/>
            <w:r>
              <w:rPr>
                <w:rFonts w:ascii="Arial" w:hAnsi="Arial" w:eastAsia="Arial" w:cs="Arial"/>
                <w:b w:val="0"/>
                <w:i w:val="0"/>
                <w:color w:val="000000"/>
                <w:sz w:val="19"/>
              </w:rPr>
              <w:t>15.7</w:t>
            </w:r>
          </w:p>
        </w:tc>
        <w:tc>
          <w:tcPr>
            <w:tcW w:type="dxa" w:w="1584"/>
            <w:tcBorders>
              <w:bottom w:val="single" w:sz="12" w:color="000000"/>
            </w:tcBorders>
          </w:tcPr>
          <w:p>
            <w:pPr>
              <w:spacing w:line="240" w:lineRule="auto" w:before="20" w:after="20"/>
              <w:jc w:val="center"/>
            </w:pPr>
            <w:r/>
            <w:r>
              <w:rPr>
                <w:rFonts w:ascii="Arial" w:hAnsi="Arial" w:eastAsia="Arial" w:cs="Arial"/>
                <w:b w:val="0"/>
                <w:i w:val="0"/>
                <w:color w:val="000000"/>
                <w:sz w:val="19"/>
              </w:rPr>
              <w:t>16.4</w:t>
            </w:r>
          </w:p>
        </w:tc>
        <w:tc>
          <w:tcPr>
            <w:tcW w:type="dxa" w:w="1440"/>
            <w:tcBorders>
              <w:bottom w:val="single" w:sz="12" w:color="000000"/>
            </w:tcBorders>
          </w:tcPr>
          <w:p>
            <w:pPr>
              <w:spacing w:line="240" w:lineRule="auto" w:before="20" w:after="20"/>
              <w:jc w:val="center"/>
            </w:pPr>
            <w:r/>
            <w:r>
              <w:rPr>
                <w:rFonts w:ascii="Arial" w:hAnsi="Arial" w:eastAsia="Arial" w:cs="Arial"/>
                <w:b w:val="0"/>
                <w:i w:val="0"/>
                <w:color w:val="000000"/>
                <w:sz w:val="19"/>
              </w:rPr>
              <w:t>10.2</w:t>
            </w:r>
          </w:p>
        </w:tc>
      </w:tr>
    </w:tbl>
    <w:p>
      <w:pPr>
        <w:spacing w:line="360" w:lineRule="auto" w:before="0" w:after="0"/>
      </w:pPr>
      <w:r>
        <w:rPr>
          <w:rFonts w:ascii="Arial" w:hAnsi="Arial" w:eastAsia="Arial" w:cs="Arial"/>
          <w:b/>
          <w:i w:val="0"/>
          <w:color w:val="000000"/>
          <w:sz w:val="22"/>
        </w:rPr>
        <w:t>Table 1. Characteristics of the study cohort by family income group.</w:t>
      </w:r>
      <w:r>
        <w:rPr>
          <w:rFonts w:ascii="Arial" w:hAnsi="Arial" w:eastAsia="Arial" w:cs="Arial"/>
          <w:b w:val="0"/>
          <w:i w:val="0"/>
          <w:color w:val="000000"/>
          <w:sz w:val="22"/>
        </w:rPr>
        <w:t xml:space="preserve"> Unweighted values for 12,546 NHANES 2013–2018 adults. Continuous variables are mean ± standard deviation, except ALT and triglycerides (median [interquartile range]). CKD was defined as eGFR &lt; 60 mL/min/1.73 m</w:t>
      </w:r>
      <w:r>
        <w:rPr>
          <w:rFonts w:ascii="Arial" w:hAnsi="Arial" w:eastAsia="Arial" w:cs="Arial"/>
          <w:b w:val="0"/>
          <w:i w:val="0"/>
          <w:color w:val="000000"/>
          <w:sz w:val="22"/>
          <w:vertAlign w:val="superscript"/>
        </w:rPr>
        <w:t>2</w:t>
      </w:r>
      <w:r>
        <w:rPr>
          <w:rFonts w:ascii="Arial" w:hAnsi="Arial" w:eastAsia="Arial" w:cs="Arial"/>
          <w:b w:val="0"/>
          <w:i w:val="0"/>
          <w:color w:val="000000"/>
          <w:sz w:val="22"/>
        </w:rPr>
        <w:t xml:space="preserve"> or UACR ≥ 30 mg/g at one visit; survey-weighted prevalence uses examination weights. Excluded adults were more often low-income and had higher CKD prevalence (see Materials and Methods). NHANES, National Health and Nutrition Examination Survey; PIR, poverty income ratio; BMI, body mass index; BP, blood pressure; HbA1c, glycated hemoglobin; ALT, alanine aminotransferase; eGFR, estimated glomerular filtration rate; UACR, urine albumin-to-creatinine ratio; CKD, chronic kidney disease.</w:t>
      </w:r>
    </w:p>
    <w:p>
      <w:pPr>
        <w:spacing w:after="0"/>
      </w:pPr>
      <w:r>
        <w:br w:type="page"/>
      </w:r>
    </w:p>
    <w:tbl>
      <w:tblPr>
        <w:tblW w:type="dxa" w:w="9360"/>
        <w:jc w:val="center"/>
        <w:tblLayout w:type="fixed"/>
        <w:tblLook w:firstColumn="1" w:firstRow="1" w:lastColumn="0" w:lastRow="0" w:noHBand="0" w:noVBand="1" w:val="04A0"/>
        <w:tblLayout w:type="fixed"/>
      </w:tblPr>
      <w:tblGrid>
        <w:gridCol w:w="3024"/>
        <w:gridCol w:w="1584"/>
        <w:gridCol w:w="1584"/>
        <w:gridCol w:w="1584"/>
        <w:gridCol w:w="1584"/>
      </w:tblGrid>
      <w:tr>
        <w:tc>
          <w:tcPr>
            <w:tcW w:type="dxa" w:w="3024"/>
            <w:tcBorders>
              <w:top w:val="single" w:sz="12" w:color="000000"/>
              <w:bottom w:val="single" w:sz="8" w:color="000000"/>
            </w:tcBorders>
          </w:tcPr>
          <w:p>
            <w:pPr>
              <w:spacing w:line="240" w:lineRule="auto"/>
            </w:pPr>
            <w:r/>
            <w:r>
              <w:rPr>
                <w:rFonts w:ascii="Arial" w:hAnsi="Arial" w:eastAsia="Arial" w:cs="Arial"/>
                <w:b/>
                <w:i w:val="0"/>
                <w:color w:val="000000"/>
                <w:sz w:val="18"/>
              </w:rPr>
              <w:t>Condition</w:t>
            </w:r>
          </w:p>
        </w:tc>
        <w:tc>
          <w:tcPr>
            <w:tcW w:type="dxa" w:w="1584"/>
            <w:tcBorders>
              <w:top w:val="single" w:sz="12" w:color="000000"/>
              <w:bottom w:val="single" w:sz="8" w:color="000000"/>
            </w:tcBorders>
          </w:tcPr>
          <w:p>
            <w:pPr>
              <w:spacing w:line="240" w:lineRule="auto"/>
            </w:pPr>
            <w:r/>
            <w:r>
              <w:rPr>
                <w:rFonts w:ascii="Arial" w:hAnsi="Arial" w:eastAsia="Arial" w:cs="Arial"/>
                <w:b/>
                <w:i w:val="0"/>
                <w:color w:val="000000"/>
                <w:sz w:val="18"/>
              </w:rPr>
              <w:t>Low income</w:t>
            </w:r>
          </w:p>
        </w:tc>
        <w:tc>
          <w:tcPr>
            <w:tcW w:type="dxa" w:w="1584"/>
            <w:tcBorders>
              <w:top w:val="single" w:sz="12" w:color="000000"/>
              <w:bottom w:val="single" w:sz="8" w:color="000000"/>
            </w:tcBorders>
          </w:tcPr>
          <w:p>
            <w:pPr>
              <w:spacing w:line="240" w:lineRule="auto"/>
            </w:pPr>
            <w:r/>
            <w:r>
              <w:rPr>
                <w:rFonts w:ascii="Arial" w:hAnsi="Arial" w:eastAsia="Arial" w:cs="Arial"/>
                <w:b/>
                <w:i w:val="0"/>
                <w:color w:val="000000"/>
                <w:sz w:val="18"/>
              </w:rPr>
              <w:t>Middle income</w:t>
            </w:r>
          </w:p>
        </w:tc>
        <w:tc>
          <w:tcPr>
            <w:tcW w:type="dxa" w:w="1584"/>
            <w:tcBorders>
              <w:top w:val="single" w:sz="12" w:color="000000"/>
              <w:bottom w:val="single" w:sz="8" w:color="000000"/>
            </w:tcBorders>
          </w:tcPr>
          <w:p>
            <w:pPr>
              <w:spacing w:line="240" w:lineRule="auto"/>
            </w:pPr>
            <w:r/>
            <w:r>
              <w:rPr>
                <w:rFonts w:ascii="Arial" w:hAnsi="Arial" w:eastAsia="Arial" w:cs="Arial"/>
                <w:b/>
                <w:i w:val="0"/>
                <w:color w:val="000000"/>
                <w:sz w:val="18"/>
              </w:rPr>
              <w:t>High income</w:t>
            </w:r>
          </w:p>
        </w:tc>
        <w:tc>
          <w:tcPr>
            <w:tcW w:type="dxa" w:w="1584"/>
            <w:tcBorders>
              <w:top w:val="single" w:sz="12" w:color="000000"/>
              <w:bottom w:val="single" w:sz="8" w:color="000000"/>
            </w:tcBorders>
          </w:tcPr>
          <w:p>
            <w:pPr>
              <w:spacing w:line="240" w:lineRule="auto"/>
            </w:pPr>
            <w:r/>
            <w:r>
              <w:rPr>
                <w:rFonts w:ascii="Arial" w:hAnsi="Arial" w:eastAsia="Arial" w:cs="Arial"/>
                <w:b/>
                <w:i w:val="0"/>
                <w:color w:val="000000"/>
                <w:sz w:val="18"/>
              </w:rPr>
              <w:t>Low minus high</w:t>
            </w:r>
          </w:p>
        </w:tc>
      </w:tr>
      <w:tr>
        <w:tc>
          <w:tcPr>
            <w:tcW w:type="dxa" w:w="3024"/>
          </w:tcPr>
          <w:p>
            <w:pPr>
              <w:spacing w:line="240" w:lineRule="auto" w:before="20" w:after="20"/>
            </w:pPr>
            <w:r/>
            <w:r>
              <w:rPr>
                <w:rFonts w:ascii="Arial" w:hAnsi="Arial" w:eastAsia="Arial" w:cs="Arial"/>
                <w:b w:val="0"/>
                <w:i w:val="0"/>
                <w:color w:val="000000"/>
                <w:sz w:val="18"/>
              </w:rPr>
              <w:t>Complete data, FNR (%)</w:t>
            </w:r>
          </w:p>
        </w:tc>
        <w:tc>
          <w:tcPr>
            <w:tcW w:type="dxa" w:w="1584"/>
          </w:tcPr>
          <w:p>
            <w:pPr>
              <w:spacing w:line="240" w:lineRule="auto" w:before="20" w:after="20"/>
              <w:jc w:val="center"/>
            </w:pPr>
            <w:r/>
            <w:r>
              <w:rPr>
                <w:rFonts w:ascii="Arial" w:hAnsi="Arial" w:eastAsia="Arial" w:cs="Arial"/>
                <w:b w:val="0"/>
                <w:i w:val="0"/>
                <w:color w:val="000000"/>
                <w:sz w:val="18"/>
              </w:rPr>
              <w:t>22.9 (16.6, 28.8)</w:t>
            </w:r>
          </w:p>
        </w:tc>
        <w:tc>
          <w:tcPr>
            <w:tcW w:type="dxa" w:w="1584"/>
          </w:tcPr>
          <w:p>
            <w:pPr>
              <w:spacing w:line="240" w:lineRule="auto" w:before="20" w:after="20"/>
              <w:jc w:val="center"/>
            </w:pPr>
            <w:r/>
            <w:r>
              <w:rPr>
                <w:rFonts w:ascii="Arial" w:hAnsi="Arial" w:eastAsia="Arial" w:cs="Arial"/>
                <w:b w:val="0"/>
                <w:i w:val="0"/>
                <w:color w:val="000000"/>
                <w:sz w:val="18"/>
              </w:rPr>
              <w:t>17.2 (11.7, 23.3)</w:t>
            </w:r>
          </w:p>
        </w:tc>
        <w:tc>
          <w:tcPr>
            <w:tcW w:type="dxa" w:w="1584"/>
          </w:tcPr>
          <w:p>
            <w:pPr>
              <w:spacing w:line="240" w:lineRule="auto" w:before="20" w:after="20"/>
              <w:jc w:val="center"/>
            </w:pPr>
            <w:r/>
            <w:r>
              <w:rPr>
                <w:rFonts w:ascii="Arial" w:hAnsi="Arial" w:eastAsia="Arial" w:cs="Arial"/>
                <w:b w:val="0"/>
                <w:i w:val="0"/>
                <w:color w:val="000000"/>
                <w:sz w:val="18"/>
              </w:rPr>
              <w:t>21.3 (13.2, 28.1)</w:t>
            </w:r>
          </w:p>
        </w:tc>
        <w:tc>
          <w:tcPr>
            <w:tcW w:type="dxa" w:w="1584"/>
          </w:tcPr>
          <w:p>
            <w:pPr>
              <w:spacing w:line="240" w:lineRule="auto" w:before="20" w:after="20"/>
              <w:jc w:val="center"/>
            </w:pPr>
            <w:r/>
          </w:p>
        </w:tc>
      </w:tr>
      <w:tr>
        <w:tc>
          <w:tcPr>
            <w:tcW w:type="dxa" w:w="9360"/>
            <w:gridSpan w:val="5"/>
          </w:tcPr>
          <w:p>
            <w:pPr>
              <w:spacing w:line="240" w:lineRule="auto" w:before="20" w:after="20"/>
            </w:pPr>
            <w:r/>
            <w:r>
              <w:rPr>
                <w:rFonts w:ascii="Arial" w:hAnsi="Arial" w:eastAsia="Arial" w:cs="Arial"/>
                <w:b/>
                <w:i w:val="0"/>
                <w:color w:val="000000"/>
                <w:sz w:val="18"/>
              </w:rPr>
              <w:t>S0 preregistered design: cell deletion of all 15 features (H1 confirmatory for KNN and CE)</w:t>
            </w:r>
          </w:p>
        </w:tc>
      </w:tr>
      <w:tr>
        <w:tc>
          <w:tcPr>
            <w:tcW w:type="dxa" w:w="3024"/>
          </w:tcPr>
          <w:p>
            <w:pPr>
              <w:spacing w:line="240" w:lineRule="auto" w:before="20" w:after="20"/>
            </w:pPr>
            <w:r/>
            <w:r>
              <w:rPr>
                <w:rFonts w:ascii="Arial" w:hAnsi="Arial" w:eastAsia="Arial" w:cs="Arial"/>
                <w:b w:val="0"/>
                <w:i w:val="0"/>
                <w:color w:val="000000"/>
                <w:sz w:val="18"/>
              </w:rPr>
              <w:t xml:space="preserve">    KNN *</w:t>
            </w:r>
          </w:p>
        </w:tc>
        <w:tc>
          <w:tcPr>
            <w:tcW w:type="dxa" w:w="1584"/>
          </w:tcPr>
          <w:p>
            <w:pPr>
              <w:spacing w:line="240" w:lineRule="auto" w:before="20" w:after="20"/>
              <w:jc w:val="center"/>
            </w:pPr>
            <w:r/>
            <w:r>
              <w:rPr>
                <w:rFonts w:ascii="Arial" w:hAnsi="Arial" w:eastAsia="Arial" w:cs="Arial"/>
                <w:b w:val="0"/>
                <w:i w:val="0"/>
                <w:color w:val="000000"/>
                <w:sz w:val="18"/>
              </w:rPr>
              <w:t>4.9 (0.9, 8.3)</w:t>
            </w:r>
          </w:p>
        </w:tc>
        <w:tc>
          <w:tcPr>
            <w:tcW w:type="dxa" w:w="1584"/>
          </w:tcPr>
          <w:p>
            <w:pPr>
              <w:spacing w:line="240" w:lineRule="auto" w:before="20" w:after="20"/>
              <w:jc w:val="center"/>
            </w:pPr>
            <w:r/>
            <w:r>
              <w:rPr>
                <w:rFonts w:ascii="Arial" w:hAnsi="Arial" w:eastAsia="Arial" w:cs="Arial"/>
                <w:b w:val="0"/>
                <w:i w:val="0"/>
                <w:color w:val="000000"/>
                <w:sz w:val="18"/>
              </w:rPr>
              <w:t>1.5 (−0.6, 3.3)</w:t>
            </w:r>
          </w:p>
        </w:tc>
        <w:tc>
          <w:tcPr>
            <w:tcW w:type="dxa" w:w="1584"/>
          </w:tcPr>
          <w:p>
            <w:pPr>
              <w:spacing w:line="240" w:lineRule="auto" w:before="20" w:after="20"/>
              <w:jc w:val="center"/>
            </w:pPr>
            <w:r/>
            <w:r>
              <w:rPr>
                <w:rFonts w:ascii="Arial" w:hAnsi="Arial" w:eastAsia="Arial" w:cs="Arial"/>
                <w:b w:val="0"/>
                <w:i w:val="0"/>
                <w:color w:val="000000"/>
                <w:sz w:val="18"/>
              </w:rPr>
              <w:t>1.0 (−1.2, 3.7)</w:t>
            </w:r>
          </w:p>
        </w:tc>
        <w:tc>
          <w:tcPr>
            <w:tcW w:type="dxa" w:w="1584"/>
          </w:tcPr>
          <w:p>
            <w:pPr>
              <w:spacing w:line="240" w:lineRule="auto" w:before="20" w:after="20"/>
              <w:jc w:val="center"/>
            </w:pPr>
            <w:r/>
            <w:r>
              <w:rPr>
                <w:rFonts w:ascii="Arial" w:hAnsi="Arial" w:eastAsia="Arial" w:cs="Arial"/>
                <w:b w:val="0"/>
                <w:i w:val="0"/>
                <w:color w:val="000000"/>
                <w:sz w:val="18"/>
              </w:rPr>
              <w:t>4.0 (−0.7, 8.0)</w:t>
            </w:r>
          </w:p>
        </w:tc>
      </w:tr>
      <w:tr>
        <w:tc>
          <w:tcPr>
            <w:tcW w:type="dxa" w:w="3024"/>
          </w:tcPr>
          <w:p>
            <w:pPr>
              <w:spacing w:line="240" w:lineRule="auto" w:before="20" w:after="20"/>
            </w:pPr>
            <w:r/>
            <w:r>
              <w:rPr>
                <w:rFonts w:ascii="Arial" w:hAnsi="Arial" w:eastAsia="Arial" w:cs="Arial"/>
                <w:b w:val="0"/>
                <w:i w:val="0"/>
                <w:color w:val="000000"/>
                <w:sz w:val="18"/>
              </w:rPr>
              <w:t xml:space="preserve">    Chained-equation (CE; preregistered 'MICE') *</w:t>
            </w:r>
          </w:p>
        </w:tc>
        <w:tc>
          <w:tcPr>
            <w:tcW w:type="dxa" w:w="1584"/>
          </w:tcPr>
          <w:p>
            <w:pPr>
              <w:spacing w:line="240" w:lineRule="auto" w:before="20" w:after="20"/>
              <w:jc w:val="center"/>
            </w:pPr>
            <w:r/>
            <w:r>
              <w:rPr>
                <w:rFonts w:ascii="Arial" w:hAnsi="Arial" w:eastAsia="Arial" w:cs="Arial"/>
                <w:b w:val="0"/>
                <w:i w:val="0"/>
                <w:color w:val="000000"/>
                <w:sz w:val="18"/>
              </w:rPr>
              <w:t>6.0 (2.1, 10.1)</w:t>
            </w:r>
          </w:p>
        </w:tc>
        <w:tc>
          <w:tcPr>
            <w:tcW w:type="dxa" w:w="1584"/>
          </w:tcPr>
          <w:p>
            <w:pPr>
              <w:spacing w:line="240" w:lineRule="auto" w:before="20" w:after="20"/>
              <w:jc w:val="center"/>
            </w:pPr>
            <w:r/>
            <w:r>
              <w:rPr>
                <w:rFonts w:ascii="Arial" w:hAnsi="Arial" w:eastAsia="Arial" w:cs="Arial"/>
                <w:b w:val="0"/>
                <w:i w:val="0"/>
                <w:color w:val="000000"/>
                <w:sz w:val="18"/>
              </w:rPr>
              <w:t>1.3 (−0.5, 3.4)</w:t>
            </w:r>
          </w:p>
        </w:tc>
        <w:tc>
          <w:tcPr>
            <w:tcW w:type="dxa" w:w="1584"/>
          </w:tcPr>
          <w:p>
            <w:pPr>
              <w:spacing w:line="240" w:lineRule="auto" w:before="20" w:after="20"/>
              <w:jc w:val="center"/>
            </w:pPr>
            <w:r/>
            <w:r>
              <w:rPr>
                <w:rFonts w:ascii="Arial" w:hAnsi="Arial" w:eastAsia="Arial" w:cs="Arial"/>
                <w:b w:val="0"/>
                <w:i w:val="0"/>
                <w:color w:val="000000"/>
                <w:sz w:val="18"/>
              </w:rPr>
              <w:t>0.8 (−1.1, 2.7)</w:t>
            </w:r>
          </w:p>
        </w:tc>
        <w:tc>
          <w:tcPr>
            <w:tcW w:type="dxa" w:w="1584"/>
          </w:tcPr>
          <w:p>
            <w:pPr>
              <w:spacing w:line="240" w:lineRule="auto" w:before="20" w:after="20"/>
              <w:jc w:val="center"/>
            </w:pPr>
            <w:r/>
            <w:r>
              <w:rPr>
                <w:rFonts w:ascii="Arial" w:hAnsi="Arial" w:eastAsia="Arial" w:cs="Arial"/>
                <w:b w:val="0"/>
                <w:i w:val="0"/>
                <w:color w:val="000000"/>
                <w:sz w:val="18"/>
              </w:rPr>
              <w:t>5.1 (1.0, 9.7)</w:t>
            </w:r>
          </w:p>
        </w:tc>
      </w:tr>
      <w:tr>
        <w:tc>
          <w:tcPr>
            <w:tcW w:type="dxa" w:w="3024"/>
          </w:tcPr>
          <w:p>
            <w:pPr>
              <w:spacing w:line="240" w:lineRule="auto" w:before="20" w:after="20"/>
            </w:pPr>
            <w:r/>
            <w:r>
              <w:rPr>
                <w:rFonts w:ascii="Arial" w:hAnsi="Arial" w:eastAsia="Arial" w:cs="Arial"/>
                <w:b w:val="0"/>
                <w:i w:val="0"/>
                <w:color w:val="000000"/>
                <w:sz w:val="18"/>
              </w:rPr>
              <w:t xml:space="preserve">    Mean</w:t>
            </w:r>
          </w:p>
        </w:tc>
        <w:tc>
          <w:tcPr>
            <w:tcW w:type="dxa" w:w="1584"/>
          </w:tcPr>
          <w:p>
            <w:pPr>
              <w:spacing w:line="240" w:lineRule="auto" w:before="20" w:after="20"/>
              <w:jc w:val="center"/>
            </w:pPr>
            <w:r/>
            <w:r>
              <w:rPr>
                <w:rFonts w:ascii="Arial" w:hAnsi="Arial" w:eastAsia="Arial" w:cs="Arial"/>
                <w:b w:val="0"/>
                <w:i w:val="0"/>
                <w:color w:val="000000"/>
                <w:sz w:val="18"/>
              </w:rPr>
              <w:t>9.3 (3.6, 15.8)</w:t>
            </w:r>
          </w:p>
        </w:tc>
        <w:tc>
          <w:tcPr>
            <w:tcW w:type="dxa" w:w="1584"/>
          </w:tcPr>
          <w:p>
            <w:pPr>
              <w:spacing w:line="240" w:lineRule="auto" w:before="20" w:after="20"/>
              <w:jc w:val="center"/>
            </w:pPr>
            <w:r/>
            <w:r>
              <w:rPr>
                <w:rFonts w:ascii="Arial" w:hAnsi="Arial" w:eastAsia="Arial" w:cs="Arial"/>
                <w:b w:val="0"/>
                <w:i w:val="0"/>
                <w:color w:val="000000"/>
                <w:sz w:val="18"/>
              </w:rPr>
              <w:t>2.2 (−0.1, 5.0)</w:t>
            </w:r>
          </w:p>
        </w:tc>
        <w:tc>
          <w:tcPr>
            <w:tcW w:type="dxa" w:w="1584"/>
          </w:tcPr>
          <w:p>
            <w:pPr>
              <w:spacing w:line="240" w:lineRule="auto" w:before="20" w:after="20"/>
              <w:jc w:val="center"/>
            </w:pPr>
            <w:r/>
            <w:r>
              <w:rPr>
                <w:rFonts w:ascii="Arial" w:hAnsi="Arial" w:eastAsia="Arial" w:cs="Arial"/>
                <w:b w:val="0"/>
                <w:i w:val="0"/>
                <w:color w:val="000000"/>
                <w:sz w:val="18"/>
              </w:rPr>
              <w:t>1.5 (−0.9, 3.6)</w:t>
            </w:r>
          </w:p>
        </w:tc>
        <w:tc>
          <w:tcPr>
            <w:tcW w:type="dxa" w:w="1584"/>
          </w:tcPr>
          <w:p>
            <w:pPr>
              <w:spacing w:line="240" w:lineRule="auto" w:before="20" w:after="20"/>
              <w:jc w:val="center"/>
            </w:pPr>
            <w:r/>
            <w:r>
              <w:rPr>
                <w:rFonts w:ascii="Arial" w:hAnsi="Arial" w:eastAsia="Arial" w:cs="Arial"/>
                <w:b w:val="0"/>
                <w:i w:val="0"/>
                <w:color w:val="000000"/>
                <w:sz w:val="18"/>
              </w:rPr>
              <w:t>7.8 (2.5, 14.4)</w:t>
            </w:r>
          </w:p>
        </w:tc>
      </w:tr>
      <w:tr>
        <w:tc>
          <w:tcPr>
            <w:tcW w:type="dxa" w:w="3024"/>
          </w:tcPr>
          <w:p>
            <w:pPr>
              <w:spacing w:line="240" w:lineRule="auto" w:before="20" w:after="20"/>
            </w:pPr>
            <w:r/>
            <w:r>
              <w:rPr>
                <w:rFonts w:ascii="Arial" w:hAnsi="Arial" w:eastAsia="Arial" w:cs="Arial"/>
                <w:b w:val="0"/>
                <w:i w:val="0"/>
                <w:color w:val="000000"/>
                <w:sz w:val="18"/>
              </w:rPr>
              <w:t xml:space="preserve">    Median</w:t>
            </w:r>
          </w:p>
        </w:tc>
        <w:tc>
          <w:tcPr>
            <w:tcW w:type="dxa" w:w="1584"/>
          </w:tcPr>
          <w:p>
            <w:pPr>
              <w:spacing w:line="240" w:lineRule="auto" w:before="20" w:after="20"/>
              <w:jc w:val="center"/>
            </w:pPr>
            <w:r/>
            <w:r>
              <w:rPr>
                <w:rFonts w:ascii="Arial" w:hAnsi="Arial" w:eastAsia="Arial" w:cs="Arial"/>
                <w:b w:val="0"/>
                <w:i w:val="0"/>
                <w:color w:val="000000"/>
                <w:sz w:val="18"/>
              </w:rPr>
              <w:t>10.6 (4.4, 17.3)</w:t>
            </w:r>
          </w:p>
        </w:tc>
        <w:tc>
          <w:tcPr>
            <w:tcW w:type="dxa" w:w="1584"/>
          </w:tcPr>
          <w:p>
            <w:pPr>
              <w:spacing w:line="240" w:lineRule="auto" w:before="20" w:after="20"/>
              <w:jc w:val="center"/>
            </w:pPr>
            <w:r/>
            <w:r>
              <w:rPr>
                <w:rFonts w:ascii="Arial" w:hAnsi="Arial" w:eastAsia="Arial" w:cs="Arial"/>
                <w:b w:val="0"/>
                <w:i w:val="0"/>
                <w:color w:val="000000"/>
                <w:sz w:val="18"/>
              </w:rPr>
              <w:t>2.6 (0.4, 4.7)</w:t>
            </w:r>
          </w:p>
        </w:tc>
        <w:tc>
          <w:tcPr>
            <w:tcW w:type="dxa" w:w="1584"/>
          </w:tcPr>
          <w:p>
            <w:pPr>
              <w:spacing w:line="240" w:lineRule="auto" w:before="20" w:after="20"/>
              <w:jc w:val="center"/>
            </w:pPr>
            <w:r/>
            <w:r>
              <w:rPr>
                <w:rFonts w:ascii="Arial" w:hAnsi="Arial" w:eastAsia="Arial" w:cs="Arial"/>
                <w:b w:val="0"/>
                <w:i w:val="0"/>
                <w:color w:val="000000"/>
                <w:sz w:val="18"/>
              </w:rPr>
              <w:t>1.5 (−1.1, 3.8)</w:t>
            </w:r>
          </w:p>
        </w:tc>
        <w:tc>
          <w:tcPr>
            <w:tcW w:type="dxa" w:w="1584"/>
          </w:tcPr>
          <w:p>
            <w:pPr>
              <w:spacing w:line="240" w:lineRule="auto" w:before="20" w:after="20"/>
              <w:jc w:val="center"/>
            </w:pPr>
            <w:r/>
            <w:r>
              <w:rPr>
                <w:rFonts w:ascii="Arial" w:hAnsi="Arial" w:eastAsia="Arial" w:cs="Arial"/>
                <w:b w:val="0"/>
                <w:i w:val="0"/>
                <w:color w:val="000000"/>
                <w:sz w:val="18"/>
              </w:rPr>
              <w:t>9.0 (2.8, 14.6)</w:t>
            </w:r>
          </w:p>
        </w:tc>
      </w:tr>
      <w:tr>
        <w:tc>
          <w:tcPr>
            <w:tcW w:type="dxa" w:w="3024"/>
          </w:tcPr>
          <w:p>
            <w:pPr>
              <w:spacing w:line="240" w:lineRule="auto" w:before="20" w:after="20"/>
            </w:pPr>
            <w:r/>
            <w:r>
              <w:rPr>
                <w:rFonts w:ascii="Arial" w:hAnsi="Arial" w:eastAsia="Arial" w:cs="Arial"/>
                <w:b w:val="0"/>
                <w:i w:val="0"/>
                <w:color w:val="000000"/>
                <w:sz w:val="18"/>
              </w:rPr>
              <w:t xml:space="preserve">    Stochastic iterative imputation (SII)</w:t>
            </w:r>
          </w:p>
        </w:tc>
        <w:tc>
          <w:tcPr>
            <w:tcW w:type="dxa" w:w="1584"/>
          </w:tcPr>
          <w:p>
            <w:pPr>
              <w:spacing w:line="240" w:lineRule="auto" w:before="20" w:after="20"/>
              <w:jc w:val="center"/>
            </w:pPr>
            <w:r/>
            <w:r>
              <w:rPr>
                <w:rFonts w:ascii="Arial" w:hAnsi="Arial" w:eastAsia="Arial" w:cs="Arial"/>
                <w:b w:val="0"/>
                <w:i w:val="0"/>
                <w:color w:val="000000"/>
                <w:sz w:val="18"/>
              </w:rPr>
              <w:t>−3.1 (−6.9, 1.2)</w:t>
            </w:r>
          </w:p>
        </w:tc>
        <w:tc>
          <w:tcPr>
            <w:tcW w:type="dxa" w:w="1584"/>
          </w:tcPr>
          <w:p>
            <w:pPr>
              <w:spacing w:line="240" w:lineRule="auto" w:before="20" w:after="20"/>
              <w:jc w:val="center"/>
            </w:pPr>
            <w:r/>
            <w:r>
              <w:rPr>
                <w:rFonts w:ascii="Arial" w:hAnsi="Arial" w:eastAsia="Arial" w:cs="Arial"/>
                <w:b w:val="0"/>
                <w:i w:val="0"/>
                <w:color w:val="000000"/>
                <w:sz w:val="18"/>
              </w:rPr>
              <w:t>−0.6 (−3.0, 1.4)</w:t>
            </w:r>
          </w:p>
        </w:tc>
        <w:tc>
          <w:tcPr>
            <w:tcW w:type="dxa" w:w="1584"/>
          </w:tcPr>
          <w:p>
            <w:pPr>
              <w:spacing w:line="240" w:lineRule="auto" w:before="20" w:after="20"/>
              <w:jc w:val="center"/>
            </w:pPr>
            <w:r/>
            <w:r>
              <w:rPr>
                <w:rFonts w:ascii="Arial" w:hAnsi="Arial" w:eastAsia="Arial" w:cs="Arial"/>
                <w:b w:val="0"/>
                <w:i w:val="0"/>
                <w:color w:val="000000"/>
                <w:sz w:val="18"/>
              </w:rPr>
              <w:t>−0.2 (−2.5, 1.9)</w:t>
            </w:r>
          </w:p>
        </w:tc>
        <w:tc>
          <w:tcPr>
            <w:tcW w:type="dxa" w:w="1584"/>
          </w:tcPr>
          <w:p>
            <w:pPr>
              <w:spacing w:line="240" w:lineRule="auto" w:before="20" w:after="20"/>
              <w:jc w:val="center"/>
            </w:pPr>
            <w:r/>
            <w:r>
              <w:rPr>
                <w:rFonts w:ascii="Arial" w:hAnsi="Arial" w:eastAsia="Arial" w:cs="Arial"/>
                <w:b w:val="0"/>
                <w:i w:val="0"/>
                <w:color w:val="000000"/>
                <w:sz w:val="18"/>
              </w:rPr>
              <w:t>−2.9 (−7.9, 1.5)</w:t>
            </w:r>
          </w:p>
        </w:tc>
      </w:tr>
      <w:tr>
        <w:tc>
          <w:tcPr>
            <w:tcW w:type="dxa" w:w="3024"/>
          </w:tcPr>
          <w:p>
            <w:pPr>
              <w:spacing w:line="240" w:lineRule="auto" w:before="20" w:after="20"/>
            </w:pPr>
            <w:r/>
            <w:r>
              <w:rPr>
                <w:rFonts w:ascii="Arial" w:hAnsi="Arial" w:eastAsia="Arial" w:cs="Arial"/>
                <w:b w:val="0"/>
                <w:i w:val="0"/>
                <w:color w:val="000000"/>
                <w:sz w:val="18"/>
              </w:rPr>
              <w:t xml:space="preserve">    XGBoost native handling</w:t>
            </w:r>
          </w:p>
        </w:tc>
        <w:tc>
          <w:tcPr>
            <w:tcW w:type="dxa" w:w="1584"/>
          </w:tcPr>
          <w:p>
            <w:pPr>
              <w:spacing w:line="240" w:lineRule="auto" w:before="20" w:after="20"/>
              <w:jc w:val="center"/>
            </w:pPr>
            <w:r/>
            <w:r>
              <w:rPr>
                <w:rFonts w:ascii="Arial" w:hAnsi="Arial" w:eastAsia="Arial" w:cs="Arial"/>
                <w:b w:val="0"/>
                <w:i w:val="0"/>
                <w:color w:val="000000"/>
                <w:sz w:val="18"/>
              </w:rPr>
              <w:t>−18.7 (−24.6, −13.1)</w:t>
            </w:r>
          </w:p>
        </w:tc>
        <w:tc>
          <w:tcPr>
            <w:tcW w:type="dxa" w:w="1584"/>
          </w:tcPr>
          <w:p>
            <w:pPr>
              <w:spacing w:line="240" w:lineRule="auto" w:before="20" w:after="20"/>
              <w:jc w:val="center"/>
            </w:pPr>
            <w:r/>
            <w:r>
              <w:rPr>
                <w:rFonts w:ascii="Arial" w:hAnsi="Arial" w:eastAsia="Arial" w:cs="Arial"/>
                <w:b w:val="0"/>
                <w:i w:val="0"/>
                <w:color w:val="000000"/>
                <w:sz w:val="18"/>
              </w:rPr>
              <w:t>−7.1 (−10.1, −4.0)</w:t>
            </w:r>
          </w:p>
        </w:tc>
        <w:tc>
          <w:tcPr>
            <w:tcW w:type="dxa" w:w="1584"/>
          </w:tcPr>
          <w:p>
            <w:pPr>
              <w:spacing w:line="240" w:lineRule="auto" w:before="20" w:after="20"/>
              <w:jc w:val="center"/>
            </w:pPr>
            <w:r/>
            <w:r>
              <w:rPr>
                <w:rFonts w:ascii="Arial" w:hAnsi="Arial" w:eastAsia="Arial" w:cs="Arial"/>
                <w:b w:val="0"/>
                <w:i w:val="0"/>
                <w:color w:val="000000"/>
                <w:sz w:val="18"/>
              </w:rPr>
              <w:t>−4.9 (−8.3, −1.9)</w:t>
            </w:r>
          </w:p>
        </w:tc>
        <w:tc>
          <w:tcPr>
            <w:tcW w:type="dxa" w:w="1584"/>
          </w:tcPr>
          <w:p>
            <w:pPr>
              <w:spacing w:line="240" w:lineRule="auto" w:before="20" w:after="20"/>
              <w:jc w:val="center"/>
            </w:pPr>
            <w:r/>
            <w:r>
              <w:rPr>
                <w:rFonts w:ascii="Arial" w:hAnsi="Arial" w:eastAsia="Arial" w:cs="Arial"/>
                <w:b w:val="0"/>
                <w:i w:val="0"/>
                <w:color w:val="000000"/>
                <w:sz w:val="18"/>
              </w:rPr>
              <w:t>−13.8 (−19.1, −7.9)</w:t>
            </w:r>
          </w:p>
        </w:tc>
      </w:tr>
      <w:tr>
        <w:tc>
          <w:tcPr>
            <w:tcW w:type="dxa" w:w="9360"/>
            <w:gridSpan w:val="5"/>
          </w:tcPr>
          <w:p>
            <w:pPr>
              <w:spacing w:line="240" w:lineRule="auto" w:before="20" w:after="20"/>
            </w:pPr>
            <w:r/>
            <w:r>
              <w:rPr>
                <w:rFonts w:ascii="Arial" w:hAnsi="Arial" w:eastAsia="Arial" w:cs="Arial"/>
                <w:b/>
                <w:i w:val="0"/>
                <w:color w:val="000000"/>
                <w:sz w:val="18"/>
              </w:rPr>
              <w:t>S1 cell deletion, age and sex protected (exploratory)</w:t>
            </w:r>
          </w:p>
        </w:tc>
      </w:tr>
      <w:tr>
        <w:tc>
          <w:tcPr>
            <w:tcW w:type="dxa" w:w="3024"/>
          </w:tcPr>
          <w:p>
            <w:pPr>
              <w:spacing w:line="240" w:lineRule="auto" w:before="20" w:after="20"/>
            </w:pPr>
            <w:r/>
            <w:r>
              <w:rPr>
                <w:rFonts w:ascii="Arial" w:hAnsi="Arial" w:eastAsia="Arial" w:cs="Arial"/>
                <w:b w:val="0"/>
                <w:i w:val="0"/>
                <w:color w:val="000000"/>
                <w:sz w:val="18"/>
              </w:rPr>
              <w:t xml:space="preserve">    Mean</w:t>
            </w:r>
          </w:p>
        </w:tc>
        <w:tc>
          <w:tcPr>
            <w:tcW w:type="dxa" w:w="1584"/>
          </w:tcPr>
          <w:p>
            <w:pPr>
              <w:spacing w:line="240" w:lineRule="auto" w:before="20" w:after="20"/>
              <w:jc w:val="center"/>
            </w:pPr>
            <w:r/>
            <w:r>
              <w:rPr>
                <w:rFonts w:ascii="Arial" w:hAnsi="Arial" w:eastAsia="Arial" w:cs="Arial"/>
                <w:b w:val="0"/>
                <w:i w:val="0"/>
                <w:color w:val="000000"/>
                <w:sz w:val="18"/>
              </w:rPr>
              <w:t>7.7 (2.6, 14.4)</w:t>
            </w:r>
          </w:p>
        </w:tc>
        <w:tc>
          <w:tcPr>
            <w:tcW w:type="dxa" w:w="1584"/>
          </w:tcPr>
          <w:p>
            <w:pPr>
              <w:spacing w:line="240" w:lineRule="auto" w:before="20" w:after="20"/>
              <w:jc w:val="center"/>
            </w:pPr>
            <w:r/>
            <w:r>
              <w:rPr>
                <w:rFonts w:ascii="Arial" w:hAnsi="Arial" w:eastAsia="Arial" w:cs="Arial"/>
                <w:b w:val="0"/>
                <w:i w:val="0"/>
                <w:color w:val="000000"/>
                <w:sz w:val="18"/>
              </w:rPr>
              <w:t>1.6 (−0.7, 4.0)</w:t>
            </w:r>
          </w:p>
        </w:tc>
        <w:tc>
          <w:tcPr>
            <w:tcW w:type="dxa" w:w="1584"/>
          </w:tcPr>
          <w:p>
            <w:pPr>
              <w:spacing w:line="240" w:lineRule="auto" w:before="20" w:after="20"/>
              <w:jc w:val="center"/>
            </w:pPr>
            <w:r/>
            <w:r>
              <w:rPr>
                <w:rFonts w:ascii="Arial" w:hAnsi="Arial" w:eastAsia="Arial" w:cs="Arial"/>
                <w:b w:val="0"/>
                <w:i w:val="0"/>
                <w:color w:val="000000"/>
                <w:sz w:val="18"/>
              </w:rPr>
              <w:t>1.1 (−0.7, 3.1)</w:t>
            </w:r>
          </w:p>
        </w:tc>
        <w:tc>
          <w:tcPr>
            <w:tcW w:type="dxa" w:w="1584"/>
          </w:tcPr>
          <w:p>
            <w:pPr>
              <w:spacing w:line="240" w:lineRule="auto" w:before="20" w:after="20"/>
              <w:jc w:val="center"/>
            </w:pPr>
            <w:r/>
            <w:r>
              <w:rPr>
                <w:rFonts w:ascii="Arial" w:hAnsi="Arial" w:eastAsia="Arial" w:cs="Arial"/>
                <w:b w:val="0"/>
                <w:i w:val="0"/>
                <w:color w:val="000000"/>
                <w:sz w:val="18"/>
              </w:rPr>
              <w:t>6.6 (1.5, 14.1)</w:t>
            </w:r>
          </w:p>
        </w:tc>
      </w:tr>
      <w:tr>
        <w:tc>
          <w:tcPr>
            <w:tcW w:type="dxa" w:w="3024"/>
          </w:tcPr>
          <w:p>
            <w:pPr>
              <w:spacing w:line="240" w:lineRule="auto" w:before="20" w:after="20"/>
            </w:pPr>
            <w:r/>
            <w:r>
              <w:rPr>
                <w:rFonts w:ascii="Arial" w:hAnsi="Arial" w:eastAsia="Arial" w:cs="Arial"/>
                <w:b w:val="0"/>
                <w:i w:val="0"/>
                <w:color w:val="000000"/>
                <w:sz w:val="18"/>
              </w:rPr>
              <w:t xml:space="preserve">    Median</w:t>
            </w:r>
          </w:p>
        </w:tc>
        <w:tc>
          <w:tcPr>
            <w:tcW w:type="dxa" w:w="1584"/>
          </w:tcPr>
          <w:p>
            <w:pPr>
              <w:spacing w:line="240" w:lineRule="auto" w:before="20" w:after="20"/>
              <w:jc w:val="center"/>
            </w:pPr>
            <w:r/>
            <w:r>
              <w:rPr>
                <w:rFonts w:ascii="Arial" w:hAnsi="Arial" w:eastAsia="Arial" w:cs="Arial"/>
                <w:b w:val="0"/>
                <w:i w:val="0"/>
                <w:color w:val="000000"/>
                <w:sz w:val="18"/>
              </w:rPr>
              <w:t>8.9 (3.7, 14.9)</w:t>
            </w:r>
          </w:p>
        </w:tc>
        <w:tc>
          <w:tcPr>
            <w:tcW w:type="dxa" w:w="1584"/>
          </w:tcPr>
          <w:p>
            <w:pPr>
              <w:spacing w:line="240" w:lineRule="auto" w:before="20" w:after="20"/>
              <w:jc w:val="center"/>
            </w:pPr>
            <w:r/>
            <w:r>
              <w:rPr>
                <w:rFonts w:ascii="Arial" w:hAnsi="Arial" w:eastAsia="Arial" w:cs="Arial"/>
                <w:b w:val="0"/>
                <w:i w:val="0"/>
                <w:color w:val="000000"/>
                <w:sz w:val="18"/>
              </w:rPr>
              <w:t>2.0 (−0.2, 4.3)</w:t>
            </w:r>
          </w:p>
        </w:tc>
        <w:tc>
          <w:tcPr>
            <w:tcW w:type="dxa" w:w="1584"/>
          </w:tcPr>
          <w:p>
            <w:pPr>
              <w:spacing w:line="240" w:lineRule="auto" w:before="20" w:after="20"/>
              <w:jc w:val="center"/>
            </w:pPr>
            <w:r/>
            <w:r>
              <w:rPr>
                <w:rFonts w:ascii="Arial" w:hAnsi="Arial" w:eastAsia="Arial" w:cs="Arial"/>
                <w:b w:val="0"/>
                <w:i w:val="0"/>
                <w:color w:val="000000"/>
                <w:sz w:val="18"/>
              </w:rPr>
              <w:t>1.2 (−0.7, 3.2)</w:t>
            </w:r>
          </w:p>
        </w:tc>
        <w:tc>
          <w:tcPr>
            <w:tcW w:type="dxa" w:w="1584"/>
          </w:tcPr>
          <w:p>
            <w:pPr>
              <w:spacing w:line="240" w:lineRule="auto" w:before="20" w:after="20"/>
              <w:jc w:val="center"/>
            </w:pPr>
            <w:r/>
            <w:r>
              <w:rPr>
                <w:rFonts w:ascii="Arial" w:hAnsi="Arial" w:eastAsia="Arial" w:cs="Arial"/>
                <w:b w:val="0"/>
                <w:i w:val="0"/>
                <w:color w:val="000000"/>
                <w:sz w:val="18"/>
              </w:rPr>
              <w:t>7.7 (2.5, 13.3)</w:t>
            </w:r>
          </w:p>
        </w:tc>
      </w:tr>
      <w:tr>
        <w:tc>
          <w:tcPr>
            <w:tcW w:type="dxa" w:w="3024"/>
          </w:tcPr>
          <w:p>
            <w:pPr>
              <w:spacing w:line="240" w:lineRule="auto" w:before="20" w:after="20"/>
            </w:pPr>
            <w:r/>
            <w:r>
              <w:rPr>
                <w:rFonts w:ascii="Arial" w:hAnsi="Arial" w:eastAsia="Arial" w:cs="Arial"/>
                <w:b w:val="0"/>
                <w:i w:val="0"/>
                <w:color w:val="000000"/>
                <w:sz w:val="18"/>
              </w:rPr>
              <w:t xml:space="preserve">    KNN</w:t>
            </w:r>
          </w:p>
        </w:tc>
        <w:tc>
          <w:tcPr>
            <w:tcW w:type="dxa" w:w="1584"/>
          </w:tcPr>
          <w:p>
            <w:pPr>
              <w:spacing w:line="240" w:lineRule="auto" w:before="20" w:after="20"/>
              <w:jc w:val="center"/>
            </w:pPr>
            <w:r/>
            <w:r>
              <w:rPr>
                <w:rFonts w:ascii="Arial" w:hAnsi="Arial" w:eastAsia="Arial" w:cs="Arial"/>
                <w:b w:val="0"/>
                <w:i w:val="0"/>
                <w:color w:val="000000"/>
                <w:sz w:val="18"/>
              </w:rPr>
              <w:t>3.1 (−0.2, 7.2)</w:t>
            </w:r>
          </w:p>
        </w:tc>
        <w:tc>
          <w:tcPr>
            <w:tcW w:type="dxa" w:w="1584"/>
          </w:tcPr>
          <w:p>
            <w:pPr>
              <w:spacing w:line="240" w:lineRule="auto" w:before="20" w:after="20"/>
              <w:jc w:val="center"/>
            </w:pPr>
            <w:r/>
            <w:r>
              <w:rPr>
                <w:rFonts w:ascii="Arial" w:hAnsi="Arial" w:eastAsia="Arial" w:cs="Arial"/>
                <w:b w:val="0"/>
                <w:i w:val="0"/>
                <w:color w:val="000000"/>
                <w:sz w:val="18"/>
              </w:rPr>
              <w:t>0.7 (−1.2, 2.5)</w:t>
            </w:r>
          </w:p>
        </w:tc>
        <w:tc>
          <w:tcPr>
            <w:tcW w:type="dxa" w:w="1584"/>
          </w:tcPr>
          <w:p>
            <w:pPr>
              <w:spacing w:line="240" w:lineRule="auto" w:before="20" w:after="20"/>
              <w:jc w:val="center"/>
            </w:pPr>
            <w:r/>
            <w:r>
              <w:rPr>
                <w:rFonts w:ascii="Arial" w:hAnsi="Arial" w:eastAsia="Arial" w:cs="Arial"/>
                <w:b w:val="0"/>
                <w:i w:val="0"/>
                <w:color w:val="000000"/>
                <w:sz w:val="18"/>
              </w:rPr>
              <w:t>0.4 (−1.1, 2.4)</w:t>
            </w:r>
          </w:p>
        </w:tc>
        <w:tc>
          <w:tcPr>
            <w:tcW w:type="dxa" w:w="1584"/>
          </w:tcPr>
          <w:p>
            <w:pPr>
              <w:spacing w:line="240" w:lineRule="auto" w:before="20" w:after="20"/>
              <w:jc w:val="center"/>
            </w:pPr>
            <w:r/>
            <w:r>
              <w:rPr>
                <w:rFonts w:ascii="Arial" w:hAnsi="Arial" w:eastAsia="Arial" w:cs="Arial"/>
                <w:b w:val="0"/>
                <w:i w:val="0"/>
                <w:color w:val="000000"/>
                <w:sz w:val="18"/>
              </w:rPr>
              <w:t>2.7 (−1.3, 6.8)</w:t>
            </w:r>
          </w:p>
        </w:tc>
      </w:tr>
      <w:tr>
        <w:tc>
          <w:tcPr>
            <w:tcW w:type="dxa" w:w="3024"/>
          </w:tcPr>
          <w:p>
            <w:pPr>
              <w:spacing w:line="240" w:lineRule="auto" w:before="20" w:after="20"/>
            </w:pPr>
            <w:r/>
            <w:r>
              <w:rPr>
                <w:rFonts w:ascii="Arial" w:hAnsi="Arial" w:eastAsia="Arial" w:cs="Arial"/>
                <w:b w:val="0"/>
                <w:i w:val="0"/>
                <w:color w:val="000000"/>
                <w:sz w:val="18"/>
              </w:rPr>
              <w:t xml:space="preserve">    Chained-equation (CE; preregistered 'MICE')</w:t>
            </w:r>
          </w:p>
        </w:tc>
        <w:tc>
          <w:tcPr>
            <w:tcW w:type="dxa" w:w="1584"/>
          </w:tcPr>
          <w:p>
            <w:pPr>
              <w:spacing w:line="240" w:lineRule="auto" w:before="20" w:after="20"/>
              <w:jc w:val="center"/>
            </w:pPr>
            <w:r/>
            <w:r>
              <w:rPr>
                <w:rFonts w:ascii="Arial" w:hAnsi="Arial" w:eastAsia="Arial" w:cs="Arial"/>
                <w:b w:val="0"/>
                <w:i w:val="0"/>
                <w:color w:val="000000"/>
                <w:sz w:val="18"/>
              </w:rPr>
              <w:t>3.6 (0.0, 8.1)</w:t>
            </w:r>
          </w:p>
        </w:tc>
        <w:tc>
          <w:tcPr>
            <w:tcW w:type="dxa" w:w="1584"/>
          </w:tcPr>
          <w:p>
            <w:pPr>
              <w:spacing w:line="240" w:lineRule="auto" w:before="20" w:after="20"/>
              <w:jc w:val="center"/>
            </w:pPr>
            <w:r/>
            <w:r>
              <w:rPr>
                <w:rFonts w:ascii="Arial" w:hAnsi="Arial" w:eastAsia="Arial" w:cs="Arial"/>
                <w:b w:val="0"/>
                <w:i w:val="0"/>
                <w:color w:val="000000"/>
                <w:sz w:val="18"/>
              </w:rPr>
              <w:t>0.7 (−1.4, 3.3)</w:t>
            </w:r>
          </w:p>
        </w:tc>
        <w:tc>
          <w:tcPr>
            <w:tcW w:type="dxa" w:w="1584"/>
          </w:tcPr>
          <w:p>
            <w:pPr>
              <w:spacing w:line="240" w:lineRule="auto" w:before="20" w:after="20"/>
              <w:jc w:val="center"/>
            </w:pPr>
            <w:r/>
            <w:r>
              <w:rPr>
                <w:rFonts w:ascii="Arial" w:hAnsi="Arial" w:eastAsia="Arial" w:cs="Arial"/>
                <w:b w:val="0"/>
                <w:i w:val="0"/>
                <w:color w:val="000000"/>
                <w:sz w:val="18"/>
              </w:rPr>
              <w:t>0.4 (−1.7, 2.3)</w:t>
            </w:r>
          </w:p>
        </w:tc>
        <w:tc>
          <w:tcPr>
            <w:tcW w:type="dxa" w:w="1584"/>
          </w:tcPr>
          <w:p>
            <w:pPr>
              <w:spacing w:line="240" w:lineRule="auto" w:before="20" w:after="20"/>
              <w:jc w:val="center"/>
            </w:pPr>
            <w:r/>
            <w:r>
              <w:rPr>
                <w:rFonts w:ascii="Arial" w:hAnsi="Arial" w:eastAsia="Arial" w:cs="Arial"/>
                <w:b w:val="0"/>
                <w:i w:val="0"/>
                <w:color w:val="000000"/>
                <w:sz w:val="18"/>
              </w:rPr>
              <w:t>3.2 (−0.4, 7.9)</w:t>
            </w:r>
          </w:p>
        </w:tc>
      </w:tr>
      <w:tr>
        <w:tc>
          <w:tcPr>
            <w:tcW w:type="dxa" w:w="3024"/>
          </w:tcPr>
          <w:p>
            <w:pPr>
              <w:spacing w:line="240" w:lineRule="auto" w:before="20" w:after="20"/>
            </w:pPr>
            <w:r/>
            <w:r>
              <w:rPr>
                <w:rFonts w:ascii="Arial" w:hAnsi="Arial" w:eastAsia="Arial" w:cs="Arial"/>
                <w:b w:val="0"/>
                <w:i w:val="0"/>
                <w:color w:val="000000"/>
                <w:sz w:val="18"/>
              </w:rPr>
              <w:t xml:space="preserve">    Stochastic iterative imputation (SII)</w:t>
            </w:r>
          </w:p>
        </w:tc>
        <w:tc>
          <w:tcPr>
            <w:tcW w:type="dxa" w:w="1584"/>
          </w:tcPr>
          <w:p>
            <w:pPr>
              <w:spacing w:line="240" w:lineRule="auto" w:before="20" w:after="20"/>
              <w:jc w:val="center"/>
            </w:pPr>
            <w:r/>
            <w:r>
              <w:rPr>
                <w:rFonts w:ascii="Arial" w:hAnsi="Arial" w:eastAsia="Arial" w:cs="Arial"/>
                <w:b w:val="0"/>
                <w:i w:val="0"/>
                <w:color w:val="000000"/>
                <w:sz w:val="18"/>
              </w:rPr>
              <w:t>−3.0 (−6.8, 1.0)</w:t>
            </w:r>
          </w:p>
        </w:tc>
        <w:tc>
          <w:tcPr>
            <w:tcW w:type="dxa" w:w="1584"/>
          </w:tcPr>
          <w:p>
            <w:pPr>
              <w:spacing w:line="240" w:lineRule="auto" w:before="20" w:after="20"/>
              <w:jc w:val="center"/>
            </w:pPr>
            <w:r/>
            <w:r>
              <w:rPr>
                <w:rFonts w:ascii="Arial" w:hAnsi="Arial" w:eastAsia="Arial" w:cs="Arial"/>
                <w:b w:val="0"/>
                <w:i w:val="0"/>
                <w:color w:val="000000"/>
                <w:sz w:val="18"/>
              </w:rPr>
              <w:t>−1.0 (−2.8, 1.3)</w:t>
            </w:r>
          </w:p>
        </w:tc>
        <w:tc>
          <w:tcPr>
            <w:tcW w:type="dxa" w:w="1584"/>
          </w:tcPr>
          <w:p>
            <w:pPr>
              <w:spacing w:line="240" w:lineRule="auto" w:before="20" w:after="20"/>
              <w:jc w:val="center"/>
            </w:pPr>
            <w:r/>
            <w:r>
              <w:rPr>
                <w:rFonts w:ascii="Arial" w:hAnsi="Arial" w:eastAsia="Arial" w:cs="Arial"/>
                <w:b w:val="0"/>
                <w:i w:val="0"/>
                <w:color w:val="000000"/>
                <w:sz w:val="18"/>
              </w:rPr>
              <w:t>−0.5 (−2.4, 1.4)</w:t>
            </w:r>
          </w:p>
        </w:tc>
        <w:tc>
          <w:tcPr>
            <w:tcW w:type="dxa" w:w="1584"/>
          </w:tcPr>
          <w:p>
            <w:pPr>
              <w:spacing w:line="240" w:lineRule="auto" w:before="20" w:after="20"/>
              <w:jc w:val="center"/>
            </w:pPr>
            <w:r/>
            <w:r>
              <w:rPr>
                <w:rFonts w:ascii="Arial" w:hAnsi="Arial" w:eastAsia="Arial" w:cs="Arial"/>
                <w:b w:val="0"/>
                <w:i w:val="0"/>
                <w:color w:val="000000"/>
                <w:sz w:val="18"/>
              </w:rPr>
              <w:t>−2.5 (−6.0, 1.6)</w:t>
            </w:r>
          </w:p>
        </w:tc>
      </w:tr>
      <w:tr>
        <w:tc>
          <w:tcPr>
            <w:tcW w:type="dxa" w:w="3024"/>
          </w:tcPr>
          <w:p>
            <w:pPr>
              <w:spacing w:line="240" w:lineRule="auto" w:before="20" w:after="20"/>
            </w:pPr>
            <w:r/>
            <w:r>
              <w:rPr>
                <w:rFonts w:ascii="Arial" w:hAnsi="Arial" w:eastAsia="Arial" w:cs="Arial"/>
                <w:b w:val="0"/>
                <w:i w:val="0"/>
                <w:color w:val="000000"/>
                <w:sz w:val="18"/>
              </w:rPr>
              <w:t xml:space="preserve">    XGBoost native handling</w:t>
            </w:r>
          </w:p>
        </w:tc>
        <w:tc>
          <w:tcPr>
            <w:tcW w:type="dxa" w:w="1584"/>
          </w:tcPr>
          <w:p>
            <w:pPr>
              <w:spacing w:line="240" w:lineRule="auto" w:before="20" w:after="20"/>
              <w:jc w:val="center"/>
            </w:pPr>
            <w:r/>
            <w:r>
              <w:rPr>
                <w:rFonts w:ascii="Arial" w:hAnsi="Arial" w:eastAsia="Arial" w:cs="Arial"/>
                <w:b w:val="0"/>
                <w:i w:val="0"/>
                <w:color w:val="000000"/>
                <w:sz w:val="18"/>
              </w:rPr>
              <w:t>−16.5 (−22.0, −10.8)</w:t>
            </w:r>
          </w:p>
        </w:tc>
        <w:tc>
          <w:tcPr>
            <w:tcW w:type="dxa" w:w="1584"/>
          </w:tcPr>
          <w:p>
            <w:pPr>
              <w:spacing w:line="240" w:lineRule="auto" w:before="20" w:after="20"/>
              <w:jc w:val="center"/>
            </w:pPr>
            <w:r/>
            <w:r>
              <w:rPr>
                <w:rFonts w:ascii="Arial" w:hAnsi="Arial" w:eastAsia="Arial" w:cs="Arial"/>
                <w:b w:val="0"/>
                <w:i w:val="0"/>
                <w:color w:val="000000"/>
                <w:sz w:val="18"/>
              </w:rPr>
              <w:t>−5.8 (−9.6, −2.8)</w:t>
            </w:r>
          </w:p>
        </w:tc>
        <w:tc>
          <w:tcPr>
            <w:tcW w:type="dxa" w:w="1584"/>
          </w:tcPr>
          <w:p>
            <w:pPr>
              <w:spacing w:line="240" w:lineRule="auto" w:before="20" w:after="20"/>
              <w:jc w:val="center"/>
            </w:pPr>
            <w:r/>
            <w:r>
              <w:rPr>
                <w:rFonts w:ascii="Arial" w:hAnsi="Arial" w:eastAsia="Arial" w:cs="Arial"/>
                <w:b w:val="0"/>
                <w:i w:val="0"/>
                <w:color w:val="000000"/>
                <w:sz w:val="18"/>
              </w:rPr>
              <w:t>−3.9 (−7.2, −0.7)</w:t>
            </w:r>
          </w:p>
        </w:tc>
        <w:tc>
          <w:tcPr>
            <w:tcW w:type="dxa" w:w="1584"/>
          </w:tcPr>
          <w:p>
            <w:pPr>
              <w:spacing w:line="240" w:lineRule="auto" w:before="20" w:after="20"/>
              <w:jc w:val="center"/>
            </w:pPr>
            <w:r/>
            <w:r>
              <w:rPr>
                <w:rFonts w:ascii="Arial" w:hAnsi="Arial" w:eastAsia="Arial" w:cs="Arial"/>
                <w:b w:val="0"/>
                <w:i w:val="0"/>
                <w:color w:val="000000"/>
                <w:sz w:val="18"/>
              </w:rPr>
              <w:t>−12.6 (−18.6, −6.1)</w:t>
            </w:r>
          </w:p>
        </w:tc>
      </w:tr>
      <w:tr>
        <w:tc>
          <w:tcPr>
            <w:tcW w:type="dxa" w:w="9360"/>
            <w:gridSpan w:val="5"/>
          </w:tcPr>
          <w:p>
            <w:pPr>
              <w:spacing w:line="240" w:lineRule="auto" w:before="20" w:after="20"/>
            </w:pPr>
            <w:r/>
            <w:r>
              <w:rPr>
                <w:rFonts w:ascii="Arial" w:hAnsi="Arial" w:eastAsia="Arial" w:cs="Arial"/>
                <w:b/>
                <w:i w:val="0"/>
                <w:color w:val="000000"/>
                <w:sz w:val="18"/>
              </w:rPr>
              <w:t>S2 block deletion (exploratory)</w:t>
            </w:r>
          </w:p>
        </w:tc>
      </w:tr>
      <w:tr>
        <w:tc>
          <w:tcPr>
            <w:tcW w:type="dxa" w:w="3024"/>
          </w:tcPr>
          <w:p>
            <w:pPr>
              <w:spacing w:line="240" w:lineRule="auto" w:before="20" w:after="20"/>
            </w:pPr>
            <w:r/>
            <w:r>
              <w:rPr>
                <w:rFonts w:ascii="Arial" w:hAnsi="Arial" w:eastAsia="Arial" w:cs="Arial"/>
                <w:b w:val="0"/>
                <w:i w:val="0"/>
                <w:color w:val="000000"/>
                <w:sz w:val="18"/>
              </w:rPr>
              <w:t xml:space="preserve">    Mean</w:t>
            </w:r>
          </w:p>
        </w:tc>
        <w:tc>
          <w:tcPr>
            <w:tcW w:type="dxa" w:w="1584"/>
          </w:tcPr>
          <w:p>
            <w:pPr>
              <w:spacing w:line="240" w:lineRule="auto" w:before="20" w:after="20"/>
              <w:jc w:val="center"/>
            </w:pPr>
            <w:r/>
            <w:r>
              <w:rPr>
                <w:rFonts w:ascii="Arial" w:hAnsi="Arial" w:eastAsia="Arial" w:cs="Arial"/>
                <w:b w:val="0"/>
                <w:i w:val="0"/>
                <w:color w:val="000000"/>
                <w:sz w:val="18"/>
              </w:rPr>
              <w:t>11.1 (5.5, 17.5)</w:t>
            </w:r>
          </w:p>
        </w:tc>
        <w:tc>
          <w:tcPr>
            <w:tcW w:type="dxa" w:w="1584"/>
          </w:tcPr>
          <w:p>
            <w:pPr>
              <w:spacing w:line="240" w:lineRule="auto" w:before="20" w:after="20"/>
              <w:jc w:val="center"/>
            </w:pPr>
            <w:r/>
            <w:r>
              <w:rPr>
                <w:rFonts w:ascii="Arial" w:hAnsi="Arial" w:eastAsia="Arial" w:cs="Arial"/>
                <w:b w:val="0"/>
                <w:i w:val="0"/>
                <w:color w:val="000000"/>
                <w:sz w:val="18"/>
              </w:rPr>
              <w:t>2.5 (0.7, 4.7)</w:t>
            </w:r>
          </w:p>
        </w:tc>
        <w:tc>
          <w:tcPr>
            <w:tcW w:type="dxa" w:w="1584"/>
          </w:tcPr>
          <w:p>
            <w:pPr>
              <w:spacing w:line="240" w:lineRule="auto" w:before="20" w:after="20"/>
              <w:jc w:val="center"/>
            </w:pPr>
            <w:r/>
            <w:r>
              <w:rPr>
                <w:rFonts w:ascii="Arial" w:hAnsi="Arial" w:eastAsia="Arial" w:cs="Arial"/>
                <w:b w:val="0"/>
                <w:i w:val="0"/>
                <w:color w:val="000000"/>
                <w:sz w:val="18"/>
              </w:rPr>
              <w:t>1.5 (−0.5, 3.6)</w:t>
            </w:r>
          </w:p>
        </w:tc>
        <w:tc>
          <w:tcPr>
            <w:tcW w:type="dxa" w:w="1584"/>
          </w:tcPr>
          <w:p>
            <w:pPr>
              <w:spacing w:line="240" w:lineRule="auto" w:before="20" w:after="20"/>
              <w:jc w:val="center"/>
            </w:pPr>
            <w:r/>
            <w:r>
              <w:rPr>
                <w:rFonts w:ascii="Arial" w:hAnsi="Arial" w:eastAsia="Arial" w:cs="Arial"/>
                <w:b w:val="0"/>
                <w:i w:val="0"/>
                <w:color w:val="000000"/>
                <w:sz w:val="18"/>
              </w:rPr>
              <w:t>9.7 (4.9, 14.9)</w:t>
            </w:r>
          </w:p>
        </w:tc>
      </w:tr>
      <w:tr>
        <w:tc>
          <w:tcPr>
            <w:tcW w:type="dxa" w:w="3024"/>
          </w:tcPr>
          <w:p>
            <w:pPr>
              <w:spacing w:line="240" w:lineRule="auto" w:before="20" w:after="20"/>
            </w:pPr>
            <w:r/>
            <w:r>
              <w:rPr>
                <w:rFonts w:ascii="Arial" w:hAnsi="Arial" w:eastAsia="Arial" w:cs="Arial"/>
                <w:b w:val="0"/>
                <w:i w:val="0"/>
                <w:color w:val="000000"/>
                <w:sz w:val="18"/>
              </w:rPr>
              <w:t xml:space="preserve">    Median</w:t>
            </w:r>
          </w:p>
        </w:tc>
        <w:tc>
          <w:tcPr>
            <w:tcW w:type="dxa" w:w="1584"/>
          </w:tcPr>
          <w:p>
            <w:pPr>
              <w:spacing w:line="240" w:lineRule="auto" w:before="20" w:after="20"/>
              <w:jc w:val="center"/>
            </w:pPr>
            <w:r/>
            <w:r>
              <w:rPr>
                <w:rFonts w:ascii="Arial" w:hAnsi="Arial" w:eastAsia="Arial" w:cs="Arial"/>
                <w:b w:val="0"/>
                <w:i w:val="0"/>
                <w:color w:val="000000"/>
                <w:sz w:val="18"/>
              </w:rPr>
              <w:t>11.9 (6.7, 16.8)</w:t>
            </w:r>
          </w:p>
        </w:tc>
        <w:tc>
          <w:tcPr>
            <w:tcW w:type="dxa" w:w="1584"/>
          </w:tcPr>
          <w:p>
            <w:pPr>
              <w:spacing w:line="240" w:lineRule="auto" w:before="20" w:after="20"/>
              <w:jc w:val="center"/>
            </w:pPr>
            <w:r/>
            <w:r>
              <w:rPr>
                <w:rFonts w:ascii="Arial" w:hAnsi="Arial" w:eastAsia="Arial" w:cs="Arial"/>
                <w:b w:val="0"/>
                <w:i w:val="0"/>
                <w:color w:val="000000"/>
                <w:sz w:val="18"/>
              </w:rPr>
              <w:t>2.9 (0.9, 5.2)</w:t>
            </w:r>
          </w:p>
        </w:tc>
        <w:tc>
          <w:tcPr>
            <w:tcW w:type="dxa" w:w="1584"/>
          </w:tcPr>
          <w:p>
            <w:pPr>
              <w:spacing w:line="240" w:lineRule="auto" w:before="20" w:after="20"/>
              <w:jc w:val="center"/>
            </w:pPr>
            <w:r/>
            <w:r>
              <w:rPr>
                <w:rFonts w:ascii="Arial" w:hAnsi="Arial" w:eastAsia="Arial" w:cs="Arial"/>
                <w:b w:val="0"/>
                <w:i w:val="0"/>
                <w:color w:val="000000"/>
                <w:sz w:val="18"/>
              </w:rPr>
              <w:t>1.5 (0.0, 3.4)</w:t>
            </w:r>
          </w:p>
        </w:tc>
        <w:tc>
          <w:tcPr>
            <w:tcW w:type="dxa" w:w="1584"/>
          </w:tcPr>
          <w:p>
            <w:pPr>
              <w:spacing w:line="240" w:lineRule="auto" w:before="20" w:after="20"/>
              <w:jc w:val="center"/>
            </w:pPr>
            <w:r/>
            <w:r>
              <w:rPr>
                <w:rFonts w:ascii="Arial" w:hAnsi="Arial" w:eastAsia="Arial" w:cs="Arial"/>
                <w:b w:val="0"/>
                <w:i w:val="0"/>
                <w:color w:val="000000"/>
                <w:sz w:val="18"/>
              </w:rPr>
              <w:t>10.4 (5.8, 15.2)</w:t>
            </w:r>
          </w:p>
        </w:tc>
      </w:tr>
      <w:tr>
        <w:tc>
          <w:tcPr>
            <w:tcW w:type="dxa" w:w="3024"/>
          </w:tcPr>
          <w:p>
            <w:pPr>
              <w:spacing w:line="240" w:lineRule="auto" w:before="20" w:after="20"/>
            </w:pPr>
            <w:r/>
            <w:r>
              <w:rPr>
                <w:rFonts w:ascii="Arial" w:hAnsi="Arial" w:eastAsia="Arial" w:cs="Arial"/>
                <w:b w:val="0"/>
                <w:i w:val="0"/>
                <w:color w:val="000000"/>
                <w:sz w:val="18"/>
              </w:rPr>
              <w:t xml:space="preserve">    KNN</w:t>
            </w:r>
          </w:p>
        </w:tc>
        <w:tc>
          <w:tcPr>
            <w:tcW w:type="dxa" w:w="1584"/>
          </w:tcPr>
          <w:p>
            <w:pPr>
              <w:spacing w:line="240" w:lineRule="auto" w:before="20" w:after="20"/>
              <w:jc w:val="center"/>
            </w:pPr>
            <w:r/>
            <w:r>
              <w:rPr>
                <w:rFonts w:ascii="Arial" w:hAnsi="Arial" w:eastAsia="Arial" w:cs="Arial"/>
                <w:b w:val="0"/>
                <w:i w:val="0"/>
                <w:color w:val="000000"/>
                <w:sz w:val="18"/>
              </w:rPr>
              <w:t>4.9 (1.5, 8.3)</w:t>
            </w:r>
          </w:p>
        </w:tc>
        <w:tc>
          <w:tcPr>
            <w:tcW w:type="dxa" w:w="1584"/>
          </w:tcPr>
          <w:p>
            <w:pPr>
              <w:spacing w:line="240" w:lineRule="auto" w:before="20" w:after="20"/>
              <w:jc w:val="center"/>
            </w:pPr>
            <w:r/>
            <w:r>
              <w:rPr>
                <w:rFonts w:ascii="Arial" w:hAnsi="Arial" w:eastAsia="Arial" w:cs="Arial"/>
                <w:b w:val="0"/>
                <w:i w:val="0"/>
                <w:color w:val="000000"/>
                <w:sz w:val="18"/>
              </w:rPr>
              <w:t>0.8 (−0.6, 2.4)</w:t>
            </w:r>
          </w:p>
        </w:tc>
        <w:tc>
          <w:tcPr>
            <w:tcW w:type="dxa" w:w="1584"/>
          </w:tcPr>
          <w:p>
            <w:pPr>
              <w:spacing w:line="240" w:lineRule="auto" w:before="20" w:after="20"/>
              <w:jc w:val="center"/>
            </w:pPr>
            <w:r/>
            <w:r>
              <w:rPr>
                <w:rFonts w:ascii="Arial" w:hAnsi="Arial" w:eastAsia="Arial" w:cs="Arial"/>
                <w:b w:val="0"/>
                <w:i w:val="0"/>
                <w:color w:val="000000"/>
                <w:sz w:val="18"/>
              </w:rPr>
              <w:t>0.5 (−0.8, 1.9)</w:t>
            </w:r>
          </w:p>
        </w:tc>
        <w:tc>
          <w:tcPr>
            <w:tcW w:type="dxa" w:w="1584"/>
          </w:tcPr>
          <w:p>
            <w:pPr>
              <w:spacing w:line="240" w:lineRule="auto" w:before="20" w:after="20"/>
              <w:jc w:val="center"/>
            </w:pPr>
            <w:r/>
            <w:r>
              <w:rPr>
                <w:rFonts w:ascii="Arial" w:hAnsi="Arial" w:eastAsia="Arial" w:cs="Arial"/>
                <w:b w:val="0"/>
                <w:i w:val="0"/>
                <w:color w:val="000000"/>
                <w:sz w:val="18"/>
              </w:rPr>
              <w:t>4.4 (0.2, 7.7)</w:t>
            </w:r>
          </w:p>
        </w:tc>
      </w:tr>
      <w:tr>
        <w:tc>
          <w:tcPr>
            <w:tcW w:type="dxa" w:w="3024"/>
          </w:tcPr>
          <w:p>
            <w:pPr>
              <w:spacing w:line="240" w:lineRule="auto" w:before="20" w:after="20"/>
            </w:pPr>
            <w:r/>
            <w:r>
              <w:rPr>
                <w:rFonts w:ascii="Arial" w:hAnsi="Arial" w:eastAsia="Arial" w:cs="Arial"/>
                <w:b w:val="0"/>
                <w:i w:val="0"/>
                <w:color w:val="000000"/>
                <w:sz w:val="18"/>
              </w:rPr>
              <w:t xml:space="preserve">    Chained-equation (CE; preregistered 'MICE')</w:t>
            </w:r>
          </w:p>
        </w:tc>
        <w:tc>
          <w:tcPr>
            <w:tcW w:type="dxa" w:w="1584"/>
          </w:tcPr>
          <w:p>
            <w:pPr>
              <w:spacing w:line="240" w:lineRule="auto" w:before="20" w:after="20"/>
              <w:jc w:val="center"/>
            </w:pPr>
            <w:r/>
            <w:r>
              <w:rPr>
                <w:rFonts w:ascii="Arial" w:hAnsi="Arial" w:eastAsia="Arial" w:cs="Arial"/>
                <w:b w:val="0"/>
                <w:i w:val="0"/>
                <w:color w:val="000000"/>
                <w:sz w:val="18"/>
              </w:rPr>
              <w:t>8.0 (3.5, 12.5)</w:t>
            </w:r>
          </w:p>
        </w:tc>
        <w:tc>
          <w:tcPr>
            <w:tcW w:type="dxa" w:w="1584"/>
          </w:tcPr>
          <w:p>
            <w:pPr>
              <w:spacing w:line="240" w:lineRule="auto" w:before="20" w:after="20"/>
              <w:jc w:val="center"/>
            </w:pPr>
            <w:r/>
            <w:r>
              <w:rPr>
                <w:rFonts w:ascii="Arial" w:hAnsi="Arial" w:eastAsia="Arial" w:cs="Arial"/>
                <w:b w:val="0"/>
                <w:i w:val="0"/>
                <w:color w:val="000000"/>
                <w:sz w:val="18"/>
              </w:rPr>
              <w:t>1.6 (0.2, 3.1)</w:t>
            </w:r>
          </w:p>
        </w:tc>
        <w:tc>
          <w:tcPr>
            <w:tcW w:type="dxa" w:w="1584"/>
          </w:tcPr>
          <w:p>
            <w:pPr>
              <w:spacing w:line="240" w:lineRule="auto" w:before="20" w:after="20"/>
              <w:jc w:val="center"/>
            </w:pPr>
            <w:r/>
            <w:r>
              <w:rPr>
                <w:rFonts w:ascii="Arial" w:hAnsi="Arial" w:eastAsia="Arial" w:cs="Arial"/>
                <w:b w:val="0"/>
                <w:i w:val="0"/>
                <w:color w:val="000000"/>
                <w:sz w:val="18"/>
              </w:rPr>
              <w:t>0.8 (−0.5, 2.5)</w:t>
            </w:r>
          </w:p>
        </w:tc>
        <w:tc>
          <w:tcPr>
            <w:tcW w:type="dxa" w:w="1584"/>
          </w:tcPr>
          <w:p>
            <w:pPr>
              <w:spacing w:line="240" w:lineRule="auto" w:before="20" w:after="20"/>
              <w:jc w:val="center"/>
            </w:pPr>
            <w:r/>
            <w:r>
              <w:rPr>
                <w:rFonts w:ascii="Arial" w:hAnsi="Arial" w:eastAsia="Arial" w:cs="Arial"/>
                <w:b w:val="0"/>
                <w:i w:val="0"/>
                <w:color w:val="000000"/>
                <w:sz w:val="18"/>
              </w:rPr>
              <w:t>7.2 (2.5, 11.6)</w:t>
            </w:r>
          </w:p>
        </w:tc>
      </w:tr>
      <w:tr>
        <w:tc>
          <w:tcPr>
            <w:tcW w:type="dxa" w:w="3024"/>
          </w:tcPr>
          <w:p>
            <w:pPr>
              <w:spacing w:line="240" w:lineRule="auto" w:before="20" w:after="20"/>
            </w:pPr>
            <w:r/>
            <w:r>
              <w:rPr>
                <w:rFonts w:ascii="Arial" w:hAnsi="Arial" w:eastAsia="Arial" w:cs="Arial"/>
                <w:b w:val="0"/>
                <w:i w:val="0"/>
                <w:color w:val="000000"/>
                <w:sz w:val="18"/>
              </w:rPr>
              <w:t xml:space="preserve">    Stochastic iterative imputation (SII)</w:t>
            </w:r>
          </w:p>
        </w:tc>
        <w:tc>
          <w:tcPr>
            <w:tcW w:type="dxa" w:w="1584"/>
          </w:tcPr>
          <w:p>
            <w:pPr>
              <w:spacing w:line="240" w:lineRule="auto" w:before="20" w:after="20"/>
              <w:jc w:val="center"/>
            </w:pPr>
            <w:r/>
            <w:r>
              <w:rPr>
                <w:rFonts w:ascii="Arial" w:hAnsi="Arial" w:eastAsia="Arial" w:cs="Arial"/>
                <w:b w:val="0"/>
                <w:i w:val="0"/>
                <w:color w:val="000000"/>
                <w:sz w:val="18"/>
              </w:rPr>
              <w:t>−3.4 (−6.8, −0.2)</w:t>
            </w:r>
          </w:p>
        </w:tc>
        <w:tc>
          <w:tcPr>
            <w:tcW w:type="dxa" w:w="1584"/>
          </w:tcPr>
          <w:p>
            <w:pPr>
              <w:spacing w:line="240" w:lineRule="auto" w:before="20" w:after="20"/>
              <w:jc w:val="center"/>
            </w:pPr>
            <w:r/>
            <w:r>
              <w:rPr>
                <w:rFonts w:ascii="Arial" w:hAnsi="Arial" w:eastAsia="Arial" w:cs="Arial"/>
                <w:b w:val="0"/>
                <w:i w:val="0"/>
                <w:color w:val="000000"/>
                <w:sz w:val="18"/>
              </w:rPr>
              <w:t>−1.1 (−2.8, 0.2)</w:t>
            </w:r>
          </w:p>
        </w:tc>
        <w:tc>
          <w:tcPr>
            <w:tcW w:type="dxa" w:w="1584"/>
          </w:tcPr>
          <w:p>
            <w:pPr>
              <w:spacing w:line="240" w:lineRule="auto" w:before="20" w:after="20"/>
              <w:jc w:val="center"/>
            </w:pPr>
            <w:r/>
            <w:r>
              <w:rPr>
                <w:rFonts w:ascii="Arial" w:hAnsi="Arial" w:eastAsia="Arial" w:cs="Arial"/>
                <w:b w:val="0"/>
                <w:i w:val="0"/>
                <w:color w:val="000000"/>
                <w:sz w:val="18"/>
              </w:rPr>
              <w:t>−0.7 (−2.3, 0.6)</w:t>
            </w:r>
          </w:p>
        </w:tc>
        <w:tc>
          <w:tcPr>
            <w:tcW w:type="dxa" w:w="1584"/>
          </w:tcPr>
          <w:p>
            <w:pPr>
              <w:spacing w:line="240" w:lineRule="auto" w:before="20" w:after="20"/>
              <w:jc w:val="center"/>
            </w:pPr>
            <w:r/>
            <w:r>
              <w:rPr>
                <w:rFonts w:ascii="Arial" w:hAnsi="Arial" w:eastAsia="Arial" w:cs="Arial"/>
                <w:b w:val="0"/>
                <w:i w:val="0"/>
                <w:color w:val="000000"/>
                <w:sz w:val="18"/>
              </w:rPr>
              <w:t>−2.6 (−6.4, 1.1)</w:t>
            </w:r>
          </w:p>
        </w:tc>
      </w:tr>
      <w:tr>
        <w:tc>
          <w:tcPr>
            <w:tcW w:type="dxa" w:w="3024"/>
          </w:tcPr>
          <w:p>
            <w:pPr>
              <w:spacing w:line="240" w:lineRule="auto" w:before="20" w:after="20"/>
            </w:pPr>
            <w:r/>
            <w:r>
              <w:rPr>
                <w:rFonts w:ascii="Arial" w:hAnsi="Arial" w:eastAsia="Arial" w:cs="Arial"/>
                <w:b w:val="0"/>
                <w:i w:val="0"/>
                <w:color w:val="000000"/>
                <w:sz w:val="18"/>
              </w:rPr>
              <w:t xml:space="preserve">    XGBoost native handling</w:t>
            </w:r>
          </w:p>
        </w:tc>
        <w:tc>
          <w:tcPr>
            <w:tcW w:type="dxa" w:w="1584"/>
          </w:tcPr>
          <w:p>
            <w:pPr>
              <w:spacing w:line="240" w:lineRule="auto" w:before="20" w:after="20"/>
              <w:jc w:val="center"/>
            </w:pPr>
            <w:r/>
            <w:r>
              <w:rPr>
                <w:rFonts w:ascii="Arial" w:hAnsi="Arial" w:eastAsia="Arial" w:cs="Arial"/>
                <w:b w:val="0"/>
                <w:i w:val="0"/>
                <w:color w:val="000000"/>
                <w:sz w:val="18"/>
              </w:rPr>
              <w:t>−10.5 (−13.9, −6.6)</w:t>
            </w:r>
          </w:p>
        </w:tc>
        <w:tc>
          <w:tcPr>
            <w:tcW w:type="dxa" w:w="1584"/>
          </w:tcPr>
          <w:p>
            <w:pPr>
              <w:spacing w:line="240" w:lineRule="auto" w:before="20" w:after="20"/>
              <w:jc w:val="center"/>
            </w:pPr>
            <w:r/>
            <w:r>
              <w:rPr>
                <w:rFonts w:ascii="Arial" w:hAnsi="Arial" w:eastAsia="Arial" w:cs="Arial"/>
                <w:b w:val="0"/>
                <w:i w:val="0"/>
                <w:color w:val="000000"/>
                <w:sz w:val="18"/>
              </w:rPr>
              <w:t>−3.3 (−5.4, −1.5)</w:t>
            </w:r>
          </w:p>
        </w:tc>
        <w:tc>
          <w:tcPr>
            <w:tcW w:type="dxa" w:w="1584"/>
          </w:tcPr>
          <w:p>
            <w:pPr>
              <w:spacing w:line="240" w:lineRule="auto" w:before="20" w:after="20"/>
              <w:jc w:val="center"/>
            </w:pPr>
            <w:r/>
            <w:r>
              <w:rPr>
                <w:rFonts w:ascii="Arial" w:hAnsi="Arial" w:eastAsia="Arial" w:cs="Arial"/>
                <w:b w:val="0"/>
                <w:i w:val="0"/>
                <w:color w:val="000000"/>
                <w:sz w:val="18"/>
              </w:rPr>
              <w:t>−2.0 (−4.1, −0.5)</w:t>
            </w:r>
          </w:p>
        </w:tc>
        <w:tc>
          <w:tcPr>
            <w:tcW w:type="dxa" w:w="1584"/>
          </w:tcPr>
          <w:p>
            <w:pPr>
              <w:spacing w:line="240" w:lineRule="auto" w:before="20" w:after="20"/>
              <w:jc w:val="center"/>
            </w:pPr>
            <w:r/>
            <w:r>
              <w:rPr>
                <w:rFonts w:ascii="Arial" w:hAnsi="Arial" w:eastAsia="Arial" w:cs="Arial"/>
                <w:b w:val="0"/>
                <w:i w:val="0"/>
                <w:color w:val="000000"/>
                <w:sz w:val="18"/>
              </w:rPr>
              <w:t>−8.4 (−11.9, −4.5)</w:t>
            </w:r>
          </w:p>
        </w:tc>
      </w:tr>
      <w:tr>
        <w:tc>
          <w:tcPr>
            <w:tcW w:type="dxa" w:w="9360"/>
            <w:gridSpan w:val="5"/>
          </w:tcPr>
          <w:p>
            <w:pPr>
              <w:spacing w:line="240" w:lineRule="auto" w:before="20" w:after="20"/>
            </w:pPr>
            <w:r/>
            <w:r>
              <w:rPr>
                <w:rFonts w:ascii="Arial" w:hAnsi="Arial" w:eastAsia="Arial" w:cs="Arial"/>
                <w:b/>
                <w:i w:val="0"/>
                <w:color w:val="000000"/>
                <w:sz w:val="18"/>
              </w:rPr>
              <w:t>S3 empirically calibrated NHANES nonmeasurement patterns (exploratory)</w:t>
            </w:r>
          </w:p>
        </w:tc>
      </w:tr>
      <w:tr>
        <w:tc>
          <w:tcPr>
            <w:tcW w:type="dxa" w:w="3024"/>
          </w:tcPr>
          <w:p>
            <w:pPr>
              <w:spacing w:line="240" w:lineRule="auto" w:before="20" w:after="20"/>
            </w:pPr>
            <w:r/>
            <w:r>
              <w:rPr>
                <w:rFonts w:ascii="Arial" w:hAnsi="Arial" w:eastAsia="Arial" w:cs="Arial"/>
                <w:b w:val="0"/>
                <w:i w:val="0"/>
                <w:color w:val="000000"/>
                <w:sz w:val="18"/>
              </w:rPr>
              <w:t xml:space="preserve">    Mean</w:t>
            </w:r>
          </w:p>
        </w:tc>
        <w:tc>
          <w:tcPr>
            <w:tcW w:type="dxa" w:w="1584"/>
          </w:tcPr>
          <w:p>
            <w:pPr>
              <w:spacing w:line="240" w:lineRule="auto" w:before="20" w:after="20"/>
              <w:jc w:val="center"/>
            </w:pPr>
            <w:r/>
            <w:r>
              <w:rPr>
                <w:rFonts w:ascii="Arial" w:hAnsi="Arial" w:eastAsia="Arial" w:cs="Arial"/>
                <w:b w:val="0"/>
                <w:i w:val="0"/>
                <w:color w:val="000000"/>
                <w:sz w:val="18"/>
              </w:rPr>
              <w:t>2.1 (0.2, 4.1)</w:t>
            </w:r>
          </w:p>
        </w:tc>
        <w:tc>
          <w:tcPr>
            <w:tcW w:type="dxa" w:w="1584"/>
          </w:tcPr>
          <w:p>
            <w:pPr>
              <w:spacing w:line="240" w:lineRule="auto" w:before="20" w:after="20"/>
              <w:jc w:val="center"/>
            </w:pPr>
            <w:r/>
            <w:r>
              <w:rPr>
                <w:rFonts w:ascii="Arial" w:hAnsi="Arial" w:eastAsia="Arial" w:cs="Arial"/>
                <w:b w:val="0"/>
                <w:i w:val="0"/>
                <w:color w:val="000000"/>
                <w:sz w:val="18"/>
              </w:rPr>
              <w:t>1.3 (−0.4, 3.0)</w:t>
            </w:r>
          </w:p>
        </w:tc>
        <w:tc>
          <w:tcPr>
            <w:tcW w:type="dxa" w:w="1584"/>
          </w:tcPr>
          <w:p>
            <w:pPr>
              <w:spacing w:line="240" w:lineRule="auto" w:before="20" w:after="20"/>
              <w:jc w:val="center"/>
            </w:pPr>
            <w:r/>
            <w:r>
              <w:rPr>
                <w:rFonts w:ascii="Arial" w:hAnsi="Arial" w:eastAsia="Arial" w:cs="Arial"/>
                <w:b w:val="0"/>
                <w:i w:val="0"/>
                <w:color w:val="000000"/>
                <w:sz w:val="18"/>
              </w:rPr>
              <w:t>1.4 (−0.7, 3.2)</w:t>
            </w:r>
          </w:p>
        </w:tc>
        <w:tc>
          <w:tcPr>
            <w:tcW w:type="dxa" w:w="1584"/>
          </w:tcPr>
          <w:p>
            <w:pPr>
              <w:spacing w:line="240" w:lineRule="auto" w:before="20" w:after="20"/>
              <w:jc w:val="center"/>
            </w:pPr>
            <w:r/>
            <w:r>
              <w:rPr>
                <w:rFonts w:ascii="Arial" w:hAnsi="Arial" w:eastAsia="Arial" w:cs="Arial"/>
                <w:b w:val="0"/>
                <w:i w:val="0"/>
                <w:color w:val="000000"/>
                <w:sz w:val="18"/>
              </w:rPr>
              <w:t>0.7 (−1.5, 2.9)</w:t>
            </w:r>
          </w:p>
        </w:tc>
      </w:tr>
      <w:tr>
        <w:tc>
          <w:tcPr>
            <w:tcW w:type="dxa" w:w="3024"/>
          </w:tcPr>
          <w:p>
            <w:pPr>
              <w:spacing w:line="240" w:lineRule="auto" w:before="20" w:after="20"/>
            </w:pPr>
            <w:r/>
            <w:r>
              <w:rPr>
                <w:rFonts w:ascii="Arial" w:hAnsi="Arial" w:eastAsia="Arial" w:cs="Arial"/>
                <w:b w:val="0"/>
                <w:i w:val="0"/>
                <w:color w:val="000000"/>
                <w:sz w:val="18"/>
              </w:rPr>
              <w:t xml:space="preserve">    Median</w:t>
            </w:r>
          </w:p>
        </w:tc>
        <w:tc>
          <w:tcPr>
            <w:tcW w:type="dxa" w:w="1584"/>
          </w:tcPr>
          <w:p>
            <w:pPr>
              <w:spacing w:line="240" w:lineRule="auto" w:before="20" w:after="20"/>
              <w:jc w:val="center"/>
            </w:pPr>
            <w:r/>
            <w:r>
              <w:rPr>
                <w:rFonts w:ascii="Arial" w:hAnsi="Arial" w:eastAsia="Arial" w:cs="Arial"/>
                <w:b w:val="0"/>
                <w:i w:val="0"/>
                <w:color w:val="000000"/>
                <w:sz w:val="18"/>
              </w:rPr>
              <w:t>2.5 (0.4, 4.5)</w:t>
            </w:r>
          </w:p>
        </w:tc>
        <w:tc>
          <w:tcPr>
            <w:tcW w:type="dxa" w:w="1584"/>
          </w:tcPr>
          <w:p>
            <w:pPr>
              <w:spacing w:line="240" w:lineRule="auto" w:before="20" w:after="20"/>
              <w:jc w:val="center"/>
            </w:pPr>
            <w:r/>
            <w:r>
              <w:rPr>
                <w:rFonts w:ascii="Arial" w:hAnsi="Arial" w:eastAsia="Arial" w:cs="Arial"/>
                <w:b w:val="0"/>
                <w:i w:val="0"/>
                <w:color w:val="000000"/>
                <w:sz w:val="18"/>
              </w:rPr>
              <w:t>1.6 (0.1, 3.0)</w:t>
            </w:r>
          </w:p>
        </w:tc>
        <w:tc>
          <w:tcPr>
            <w:tcW w:type="dxa" w:w="1584"/>
          </w:tcPr>
          <w:p>
            <w:pPr>
              <w:spacing w:line="240" w:lineRule="auto" w:before="20" w:after="20"/>
              <w:jc w:val="center"/>
            </w:pPr>
            <w:r/>
            <w:r>
              <w:rPr>
                <w:rFonts w:ascii="Arial" w:hAnsi="Arial" w:eastAsia="Arial" w:cs="Arial"/>
                <w:b w:val="0"/>
                <w:i w:val="0"/>
                <w:color w:val="000000"/>
                <w:sz w:val="18"/>
              </w:rPr>
              <w:t>1.6 (−0.2, 3.7)</w:t>
            </w:r>
          </w:p>
        </w:tc>
        <w:tc>
          <w:tcPr>
            <w:tcW w:type="dxa" w:w="1584"/>
          </w:tcPr>
          <w:p>
            <w:pPr>
              <w:spacing w:line="240" w:lineRule="auto" w:before="20" w:after="20"/>
              <w:jc w:val="center"/>
            </w:pPr>
            <w:r/>
            <w:r>
              <w:rPr>
                <w:rFonts w:ascii="Arial" w:hAnsi="Arial" w:eastAsia="Arial" w:cs="Arial"/>
                <w:b w:val="0"/>
                <w:i w:val="0"/>
                <w:color w:val="000000"/>
                <w:sz w:val="18"/>
              </w:rPr>
              <w:t>0.9 (−1.3, 3.1)</w:t>
            </w:r>
          </w:p>
        </w:tc>
      </w:tr>
      <w:tr>
        <w:tc>
          <w:tcPr>
            <w:tcW w:type="dxa" w:w="3024"/>
          </w:tcPr>
          <w:p>
            <w:pPr>
              <w:spacing w:line="240" w:lineRule="auto" w:before="20" w:after="20"/>
            </w:pPr>
            <w:r/>
            <w:r>
              <w:rPr>
                <w:rFonts w:ascii="Arial" w:hAnsi="Arial" w:eastAsia="Arial" w:cs="Arial"/>
                <w:b w:val="0"/>
                <w:i w:val="0"/>
                <w:color w:val="000000"/>
                <w:sz w:val="18"/>
              </w:rPr>
              <w:t xml:space="preserve">    KNN</w:t>
            </w:r>
          </w:p>
        </w:tc>
        <w:tc>
          <w:tcPr>
            <w:tcW w:type="dxa" w:w="1584"/>
          </w:tcPr>
          <w:p>
            <w:pPr>
              <w:spacing w:line="240" w:lineRule="auto" w:before="20" w:after="20"/>
              <w:jc w:val="center"/>
            </w:pPr>
            <w:r/>
            <w:r>
              <w:rPr>
                <w:rFonts w:ascii="Arial" w:hAnsi="Arial" w:eastAsia="Arial" w:cs="Arial"/>
                <w:b w:val="0"/>
                <w:i w:val="0"/>
                <w:color w:val="000000"/>
                <w:sz w:val="18"/>
              </w:rPr>
              <w:t>1.0 (−0.3, 2.5)</w:t>
            </w:r>
          </w:p>
        </w:tc>
        <w:tc>
          <w:tcPr>
            <w:tcW w:type="dxa" w:w="1584"/>
          </w:tcPr>
          <w:p>
            <w:pPr>
              <w:spacing w:line="240" w:lineRule="auto" w:before="20" w:after="20"/>
              <w:jc w:val="center"/>
            </w:pPr>
            <w:r/>
            <w:r>
              <w:rPr>
                <w:rFonts w:ascii="Arial" w:hAnsi="Arial" w:eastAsia="Arial" w:cs="Arial"/>
                <w:b w:val="0"/>
                <w:i w:val="0"/>
                <w:color w:val="000000"/>
                <w:sz w:val="18"/>
              </w:rPr>
              <w:t>0.5 (−0.8, 1.6)</w:t>
            </w:r>
          </w:p>
        </w:tc>
        <w:tc>
          <w:tcPr>
            <w:tcW w:type="dxa" w:w="1584"/>
          </w:tcPr>
          <w:p>
            <w:pPr>
              <w:spacing w:line="240" w:lineRule="auto" w:before="20" w:after="20"/>
              <w:jc w:val="center"/>
            </w:pPr>
            <w:r/>
            <w:r>
              <w:rPr>
                <w:rFonts w:ascii="Arial" w:hAnsi="Arial" w:eastAsia="Arial" w:cs="Arial"/>
                <w:b w:val="0"/>
                <w:i w:val="0"/>
                <w:color w:val="000000"/>
                <w:sz w:val="18"/>
              </w:rPr>
              <w:t>0.3 (−0.9, 1.7)</w:t>
            </w:r>
          </w:p>
        </w:tc>
        <w:tc>
          <w:tcPr>
            <w:tcW w:type="dxa" w:w="1584"/>
          </w:tcPr>
          <w:p>
            <w:pPr>
              <w:spacing w:line="240" w:lineRule="auto" w:before="20" w:after="20"/>
              <w:jc w:val="center"/>
            </w:pPr>
            <w:r/>
            <w:r>
              <w:rPr>
                <w:rFonts w:ascii="Arial" w:hAnsi="Arial" w:eastAsia="Arial" w:cs="Arial"/>
                <w:b w:val="0"/>
                <w:i w:val="0"/>
                <w:color w:val="000000"/>
                <w:sz w:val="18"/>
              </w:rPr>
              <w:t>0.8 (−1.1, 2.4)</w:t>
            </w:r>
          </w:p>
        </w:tc>
      </w:tr>
      <w:tr>
        <w:tc>
          <w:tcPr>
            <w:tcW w:type="dxa" w:w="3024"/>
          </w:tcPr>
          <w:p>
            <w:pPr>
              <w:spacing w:line="240" w:lineRule="auto" w:before="20" w:after="20"/>
            </w:pPr>
            <w:r/>
            <w:r>
              <w:rPr>
                <w:rFonts w:ascii="Arial" w:hAnsi="Arial" w:eastAsia="Arial" w:cs="Arial"/>
                <w:b w:val="0"/>
                <w:i w:val="0"/>
                <w:color w:val="000000"/>
                <w:sz w:val="18"/>
              </w:rPr>
              <w:t xml:space="preserve">    Chained-equation (CE; preregistered 'MICE')</w:t>
            </w:r>
          </w:p>
        </w:tc>
        <w:tc>
          <w:tcPr>
            <w:tcW w:type="dxa" w:w="1584"/>
          </w:tcPr>
          <w:p>
            <w:pPr>
              <w:spacing w:line="240" w:lineRule="auto" w:before="20" w:after="20"/>
              <w:jc w:val="center"/>
            </w:pPr>
            <w:r/>
            <w:r>
              <w:rPr>
                <w:rFonts w:ascii="Arial" w:hAnsi="Arial" w:eastAsia="Arial" w:cs="Arial"/>
                <w:b w:val="0"/>
                <w:i w:val="0"/>
                <w:color w:val="000000"/>
                <w:sz w:val="18"/>
              </w:rPr>
              <w:t>1.5 (0.0, 3.4)</w:t>
            </w:r>
          </w:p>
        </w:tc>
        <w:tc>
          <w:tcPr>
            <w:tcW w:type="dxa" w:w="1584"/>
          </w:tcPr>
          <w:p>
            <w:pPr>
              <w:spacing w:line="240" w:lineRule="auto" w:before="20" w:after="20"/>
              <w:jc w:val="center"/>
            </w:pPr>
            <w:r/>
            <w:r>
              <w:rPr>
                <w:rFonts w:ascii="Arial" w:hAnsi="Arial" w:eastAsia="Arial" w:cs="Arial"/>
                <w:b w:val="0"/>
                <w:i w:val="0"/>
                <w:color w:val="000000"/>
                <w:sz w:val="18"/>
              </w:rPr>
              <w:t>0.9 (−0.2, 2.3)</w:t>
            </w:r>
          </w:p>
        </w:tc>
        <w:tc>
          <w:tcPr>
            <w:tcW w:type="dxa" w:w="1584"/>
          </w:tcPr>
          <w:p>
            <w:pPr>
              <w:spacing w:line="240" w:lineRule="auto" w:before="20" w:after="20"/>
              <w:jc w:val="center"/>
            </w:pPr>
            <w:r/>
            <w:r>
              <w:rPr>
                <w:rFonts w:ascii="Arial" w:hAnsi="Arial" w:eastAsia="Arial" w:cs="Arial"/>
                <w:b w:val="0"/>
                <w:i w:val="0"/>
                <w:color w:val="000000"/>
                <w:sz w:val="18"/>
              </w:rPr>
              <w:t>0.7 (−0.8, 2.5)</w:t>
            </w:r>
          </w:p>
        </w:tc>
        <w:tc>
          <w:tcPr>
            <w:tcW w:type="dxa" w:w="1584"/>
          </w:tcPr>
          <w:p>
            <w:pPr>
              <w:spacing w:line="240" w:lineRule="auto" w:before="20" w:after="20"/>
              <w:jc w:val="center"/>
            </w:pPr>
            <w:r/>
            <w:r>
              <w:rPr>
                <w:rFonts w:ascii="Arial" w:hAnsi="Arial" w:eastAsia="Arial" w:cs="Arial"/>
                <w:b w:val="0"/>
                <w:i w:val="0"/>
                <w:color w:val="000000"/>
                <w:sz w:val="18"/>
              </w:rPr>
              <w:t>0.8 (−1.0, 2.7)</w:t>
            </w:r>
          </w:p>
        </w:tc>
      </w:tr>
      <w:tr>
        <w:tc>
          <w:tcPr>
            <w:tcW w:type="dxa" w:w="3024"/>
          </w:tcPr>
          <w:p>
            <w:pPr>
              <w:spacing w:line="240" w:lineRule="auto" w:before="20" w:after="20"/>
            </w:pPr>
            <w:r/>
            <w:r>
              <w:rPr>
                <w:rFonts w:ascii="Arial" w:hAnsi="Arial" w:eastAsia="Arial" w:cs="Arial"/>
                <w:b w:val="0"/>
                <w:i w:val="0"/>
                <w:color w:val="000000"/>
                <w:sz w:val="18"/>
              </w:rPr>
              <w:t xml:space="preserve">    Stochastic iterative imputation (SII)</w:t>
            </w:r>
          </w:p>
        </w:tc>
        <w:tc>
          <w:tcPr>
            <w:tcW w:type="dxa" w:w="1584"/>
          </w:tcPr>
          <w:p>
            <w:pPr>
              <w:spacing w:line="240" w:lineRule="auto" w:before="20" w:after="20"/>
              <w:jc w:val="center"/>
            </w:pPr>
            <w:r/>
            <w:r>
              <w:rPr>
                <w:rFonts w:ascii="Arial" w:hAnsi="Arial" w:eastAsia="Arial" w:cs="Arial"/>
                <w:b w:val="0"/>
                <w:i w:val="0"/>
                <w:color w:val="000000"/>
                <w:sz w:val="18"/>
              </w:rPr>
              <w:t>−0.9 (−2.3, 0.3)</w:t>
            </w:r>
          </w:p>
        </w:tc>
        <w:tc>
          <w:tcPr>
            <w:tcW w:type="dxa" w:w="1584"/>
          </w:tcPr>
          <w:p>
            <w:pPr>
              <w:spacing w:line="240" w:lineRule="auto" w:before="20" w:after="20"/>
              <w:jc w:val="center"/>
            </w:pPr>
            <w:r/>
            <w:r>
              <w:rPr>
                <w:rFonts w:ascii="Arial" w:hAnsi="Arial" w:eastAsia="Arial" w:cs="Arial"/>
                <w:b w:val="0"/>
                <w:i w:val="0"/>
                <w:color w:val="000000"/>
                <w:sz w:val="18"/>
              </w:rPr>
              <w:t>−0.8 (−2.0, 0.1)</w:t>
            </w:r>
          </w:p>
        </w:tc>
        <w:tc>
          <w:tcPr>
            <w:tcW w:type="dxa" w:w="1584"/>
          </w:tcPr>
          <w:p>
            <w:pPr>
              <w:spacing w:line="240" w:lineRule="auto" w:before="20" w:after="20"/>
              <w:jc w:val="center"/>
            </w:pPr>
            <w:r/>
            <w:r>
              <w:rPr>
                <w:rFonts w:ascii="Arial" w:hAnsi="Arial" w:eastAsia="Arial" w:cs="Arial"/>
                <w:b w:val="0"/>
                <w:i w:val="0"/>
                <w:color w:val="000000"/>
                <w:sz w:val="18"/>
              </w:rPr>
              <w:t>−1.0 (−3.2, 0.6)</w:t>
            </w:r>
          </w:p>
        </w:tc>
        <w:tc>
          <w:tcPr>
            <w:tcW w:type="dxa" w:w="1584"/>
          </w:tcPr>
          <w:p>
            <w:pPr>
              <w:spacing w:line="240" w:lineRule="auto" w:before="20" w:after="20"/>
              <w:jc w:val="center"/>
            </w:pPr>
            <w:r/>
            <w:r>
              <w:rPr>
                <w:rFonts w:ascii="Arial" w:hAnsi="Arial" w:eastAsia="Arial" w:cs="Arial"/>
                <w:b w:val="0"/>
                <w:i w:val="0"/>
                <w:color w:val="000000"/>
                <w:sz w:val="18"/>
              </w:rPr>
              <w:t>0.1 (−1.9, 2.3)</w:t>
            </w:r>
          </w:p>
        </w:tc>
      </w:tr>
      <w:tr>
        <w:tc>
          <w:tcPr>
            <w:tcW w:type="dxa" w:w="3024"/>
            <w:tcBorders>
              <w:bottom w:val="single" w:sz="12" w:color="000000"/>
            </w:tcBorders>
          </w:tcPr>
          <w:p>
            <w:pPr>
              <w:spacing w:line="240" w:lineRule="auto" w:before="20" w:after="20"/>
            </w:pPr>
            <w:r/>
            <w:r>
              <w:rPr>
                <w:rFonts w:ascii="Arial" w:hAnsi="Arial" w:eastAsia="Arial" w:cs="Arial"/>
                <w:b w:val="0"/>
                <w:i w:val="0"/>
                <w:color w:val="000000"/>
                <w:sz w:val="18"/>
              </w:rPr>
              <w:t xml:space="preserve">    XGBoost native handling</w:t>
            </w:r>
          </w:p>
        </w:tc>
        <w:tc>
          <w:tcPr>
            <w:tcW w:type="dxa" w:w="1584"/>
            <w:tcBorders>
              <w:bottom w:val="single" w:sz="12" w:color="000000"/>
            </w:tcBorders>
          </w:tcPr>
          <w:p>
            <w:pPr>
              <w:spacing w:line="240" w:lineRule="auto" w:before="20" w:after="20"/>
              <w:jc w:val="center"/>
            </w:pPr>
            <w:r/>
            <w:r>
              <w:rPr>
                <w:rFonts w:ascii="Arial" w:hAnsi="Arial" w:eastAsia="Arial" w:cs="Arial"/>
                <w:b w:val="0"/>
                <w:i w:val="0"/>
                <w:color w:val="000000"/>
                <w:sz w:val="18"/>
              </w:rPr>
              <w:t>−2.7 (−4.5, −1.2)</w:t>
            </w:r>
          </w:p>
        </w:tc>
        <w:tc>
          <w:tcPr>
            <w:tcW w:type="dxa" w:w="1584"/>
            <w:tcBorders>
              <w:bottom w:val="single" w:sz="12" w:color="000000"/>
            </w:tcBorders>
          </w:tcPr>
          <w:p>
            <w:pPr>
              <w:spacing w:line="240" w:lineRule="auto" w:before="20" w:after="20"/>
              <w:jc w:val="center"/>
            </w:pPr>
            <w:r/>
            <w:r>
              <w:rPr>
                <w:rFonts w:ascii="Arial" w:hAnsi="Arial" w:eastAsia="Arial" w:cs="Arial"/>
                <w:b w:val="0"/>
                <w:i w:val="0"/>
                <w:color w:val="000000"/>
                <w:sz w:val="18"/>
              </w:rPr>
              <w:t>−1.7 (−3.2, −0.6)</w:t>
            </w:r>
          </w:p>
        </w:tc>
        <w:tc>
          <w:tcPr>
            <w:tcW w:type="dxa" w:w="1584"/>
            <w:tcBorders>
              <w:bottom w:val="single" w:sz="12" w:color="000000"/>
            </w:tcBorders>
          </w:tcPr>
          <w:p>
            <w:pPr>
              <w:spacing w:line="240" w:lineRule="auto" w:before="20" w:after="20"/>
              <w:jc w:val="center"/>
            </w:pPr>
            <w:r/>
            <w:r>
              <w:rPr>
                <w:rFonts w:ascii="Arial" w:hAnsi="Arial" w:eastAsia="Arial" w:cs="Arial"/>
                <w:b w:val="0"/>
                <w:i w:val="0"/>
                <w:color w:val="000000"/>
                <w:sz w:val="18"/>
              </w:rPr>
              <w:t>−2.0 (−3.9, −0.2)</w:t>
            </w:r>
          </w:p>
        </w:tc>
        <w:tc>
          <w:tcPr>
            <w:tcW w:type="dxa" w:w="1584"/>
            <w:tcBorders>
              <w:bottom w:val="single" w:sz="12" w:color="000000"/>
            </w:tcBorders>
          </w:tcPr>
          <w:p>
            <w:pPr>
              <w:spacing w:line="240" w:lineRule="auto" w:before="20" w:after="20"/>
              <w:jc w:val="center"/>
            </w:pPr>
            <w:r/>
            <w:r>
              <w:rPr>
                <w:rFonts w:ascii="Arial" w:hAnsi="Arial" w:eastAsia="Arial" w:cs="Arial"/>
                <w:b w:val="0"/>
                <w:i w:val="0"/>
                <w:color w:val="000000"/>
                <w:sz w:val="18"/>
              </w:rPr>
              <w:t>−0.7 (−3.3, 1.8)</w:t>
            </w:r>
          </w:p>
        </w:tc>
      </w:tr>
    </w:tbl>
    <w:p>
      <w:pPr>
        <w:spacing w:line="360" w:lineRule="auto" w:before="0" w:after="0"/>
      </w:pPr>
      <w:r>
        <w:rPr>
          <w:rFonts w:ascii="Arial" w:hAnsi="Arial" w:eastAsia="Arial" w:cs="Arial"/>
          <w:b/>
          <w:i w:val="0"/>
          <w:color w:val="000000"/>
          <w:sz w:val="22"/>
        </w:rPr>
        <w:t>Table 2. Change in missed CKD cases by income group in the preregistered design and three exploratory scenarios (simulation).</w:t>
      </w:r>
      <w:r>
        <w:rPr>
          <w:rFonts w:ascii="Arial" w:hAnsi="Arial" w:eastAsia="Arial" w:cs="Arial"/>
          <w:b w:val="0"/>
          <w:i w:val="0"/>
          <w:color w:val="000000"/>
          <w:sz w:val="22"/>
        </w:rPr>
        <w:t xml:space="preserve"> First row: FNR (%) with complete data. Other rows: change in FNR (pp) after deletion and repair, XGBoost at the 80%-sensitivity threshold, averaged over 20 splits and 10 masks per split. S0 deletes all 15 features with probability 30%, 10%, and 5% for low-, middle-, and high-income participants; S1 is S0 with age and sex protected; S2 deletes whole blocks at the same rates; S3 uses missingness patterns observed in NHANES. *Confirmatory (H1, low-income column only). The last column is low-income minus high-income. Mean test set: n = 3,344; 199 low-, 250 middle-, and 129 high-income CKD cases. 95% CIs come from a hierarchical survey bootstrap (B = 120): whole PSUs were resampled within strata, the splits (four-fold stratum cross-fitting with refitting) and masks were redone in each replicate, and the percentile interval was widened by √2 for two PSUs per stratum; a simulation suggested these intervals are conservative. Analysis labels: in S0, the low-income change for CE and KNN is confirmatory (H1); other S0 repairs are prespecified secondary conditions; S1, S2, S3, and SII are exploratory. CKD, chronic kidney disease; FNR, false negative rate; FPR, false positive rate; PIR, poverty income ratio; KNN, k-nearest neighbors; CE, chained-equation imputation (preregistered, deterministic); SII, stochastic iterative imputation with prediction averaging (m = 10); PSU, primary sampling unit; CI, confidence interval; pp, percentage points.</w:t>
      </w:r>
    </w:p>
    <w:p>
      <w:pPr>
        <w:spacing w:after="0"/>
      </w:pPr>
      <w:r>
        <w:br w:type="page"/>
      </w:r>
    </w:p>
    <w:tbl>
      <w:tblPr>
        <w:tblW w:type="dxa" w:w="9360"/>
        <w:jc w:val="center"/>
        <w:tblLayout w:type="fixed"/>
        <w:tblLook w:firstColumn="1" w:firstRow="1" w:lastColumn="0" w:lastRow="0" w:noHBand="0" w:noVBand="1" w:val="04A0"/>
        <w:tblLayout w:type="fixed"/>
      </w:tblPr>
      <w:tblGrid>
        <w:gridCol w:w="3744"/>
        <w:gridCol w:w="1872"/>
        <w:gridCol w:w="1872"/>
        <w:gridCol w:w="1872"/>
      </w:tblGrid>
      <w:tr>
        <w:tc>
          <w:tcPr>
            <w:tcW w:type="dxa" w:w="3744"/>
            <w:tcBorders>
              <w:top w:val="single" w:sz="12" w:color="000000"/>
              <w:bottom w:val="single" w:sz="8" w:color="000000"/>
            </w:tcBorders>
          </w:tcPr>
          <w:p>
            <w:pPr>
              <w:spacing w:line="240" w:lineRule="auto"/>
            </w:pPr>
            <w:r/>
            <w:r>
              <w:rPr>
                <w:rFonts w:ascii="Arial" w:hAnsi="Arial" w:eastAsia="Arial" w:cs="Arial"/>
                <w:b/>
                <w:i w:val="0"/>
                <w:color w:val="000000"/>
                <w:sz w:val="17"/>
              </w:rPr>
              <w:t>Analysis / repair</w:t>
            </w:r>
          </w:p>
        </w:tc>
        <w:tc>
          <w:tcPr>
            <w:tcW w:type="dxa" w:w="1872"/>
            <w:tcBorders>
              <w:top w:val="single" w:sz="12" w:color="000000"/>
              <w:bottom w:val="single" w:sz="8" w:color="000000"/>
            </w:tcBorders>
          </w:tcPr>
          <w:p>
            <w:pPr>
              <w:spacing w:line="240" w:lineRule="auto"/>
            </w:pPr>
            <w:r/>
            <w:r>
              <w:rPr>
                <w:rFonts w:ascii="Arial" w:hAnsi="Arial" w:eastAsia="Arial" w:cs="Arial"/>
                <w:b/>
                <w:i w:val="0"/>
                <w:color w:val="000000"/>
                <w:sz w:val="17"/>
              </w:rPr>
              <w:t>Low income</w:t>
            </w:r>
          </w:p>
        </w:tc>
        <w:tc>
          <w:tcPr>
            <w:tcW w:type="dxa" w:w="1872"/>
            <w:tcBorders>
              <w:top w:val="single" w:sz="12" w:color="000000"/>
              <w:bottom w:val="single" w:sz="8" w:color="000000"/>
            </w:tcBorders>
          </w:tcPr>
          <w:p>
            <w:pPr>
              <w:spacing w:line="240" w:lineRule="auto"/>
            </w:pPr>
            <w:r/>
            <w:r>
              <w:rPr>
                <w:rFonts w:ascii="Arial" w:hAnsi="Arial" w:eastAsia="Arial" w:cs="Arial"/>
                <w:b/>
                <w:i w:val="0"/>
                <w:color w:val="000000"/>
                <w:sz w:val="17"/>
              </w:rPr>
              <w:t>High income</w:t>
            </w:r>
          </w:p>
        </w:tc>
        <w:tc>
          <w:tcPr>
            <w:tcW w:type="dxa" w:w="1872"/>
            <w:tcBorders>
              <w:top w:val="single" w:sz="12" w:color="000000"/>
              <w:bottom w:val="single" w:sz="8" w:color="000000"/>
            </w:tcBorders>
          </w:tcPr>
          <w:p>
            <w:pPr>
              <w:spacing w:line="240" w:lineRule="auto"/>
            </w:pPr>
            <w:r/>
            <w:r>
              <w:rPr>
                <w:rFonts w:ascii="Arial" w:hAnsi="Arial" w:eastAsia="Arial" w:cs="Arial"/>
                <w:b/>
                <w:i w:val="0"/>
                <w:color w:val="000000"/>
                <w:sz w:val="17"/>
              </w:rPr>
              <w:t>Low minus high</w:t>
            </w:r>
          </w:p>
        </w:tc>
      </w:tr>
      <w:tr>
        <w:tc>
          <w:tcPr>
            <w:tcW w:type="dxa" w:w="9360"/>
            <w:gridSpan w:val="4"/>
          </w:tcPr>
          <w:p>
            <w:pPr>
              <w:spacing w:line="240" w:lineRule="auto" w:before="20" w:after="20"/>
            </w:pPr>
            <w:r/>
            <w:r>
              <w:rPr>
                <w:rFonts w:ascii="Arial" w:hAnsi="Arial" w:eastAsia="Arial" w:cs="Arial"/>
                <w:b/>
                <w:i w:val="0"/>
                <w:color w:val="000000"/>
                <w:sz w:val="17"/>
              </w:rPr>
              <w:t>H2 control (prespecified): uniform 15% cell deletion, all 15 features (S11)</w:t>
            </w:r>
          </w:p>
        </w:tc>
      </w:tr>
      <w:tr>
        <w:tc>
          <w:tcPr>
            <w:tcW w:type="dxa" w:w="3744"/>
          </w:tcPr>
          <w:p>
            <w:pPr>
              <w:spacing w:line="240" w:lineRule="auto" w:before="20" w:after="20"/>
            </w:pPr>
            <w:r/>
            <w:r>
              <w:rPr>
                <w:rFonts w:ascii="Arial" w:hAnsi="Arial" w:eastAsia="Arial" w:cs="Arial"/>
                <w:b w:val="0"/>
                <w:i w:val="0"/>
                <w:color w:val="000000"/>
                <w:sz w:val="17"/>
              </w:rPr>
              <w:t xml:space="preserve">    KNN</w:t>
            </w:r>
          </w:p>
        </w:tc>
        <w:tc>
          <w:tcPr>
            <w:tcW w:type="dxa" w:w="1872"/>
          </w:tcPr>
          <w:p>
            <w:pPr>
              <w:spacing w:line="240" w:lineRule="auto" w:before="20" w:after="20"/>
              <w:jc w:val="center"/>
            </w:pPr>
            <w:r/>
            <w:r>
              <w:rPr>
                <w:rFonts w:ascii="Arial" w:hAnsi="Arial" w:eastAsia="Arial" w:cs="Arial"/>
                <w:b w:val="0"/>
                <w:i w:val="0"/>
                <w:color w:val="000000"/>
                <w:sz w:val="17"/>
              </w:rPr>
              <w:t>2.3 (−0.2, 4.9)</w:t>
            </w:r>
          </w:p>
        </w:tc>
        <w:tc>
          <w:tcPr>
            <w:tcW w:type="dxa" w:w="1872"/>
          </w:tcPr>
          <w:p>
            <w:pPr>
              <w:spacing w:line="240" w:lineRule="auto" w:before="20" w:after="20"/>
              <w:jc w:val="center"/>
            </w:pPr>
            <w:r/>
            <w:r>
              <w:rPr>
                <w:rFonts w:ascii="Arial" w:hAnsi="Arial" w:eastAsia="Arial" w:cs="Arial"/>
                <w:b w:val="0"/>
                <w:i w:val="0"/>
                <w:color w:val="000000"/>
                <w:sz w:val="17"/>
              </w:rPr>
              <w:t>2.8 (−1.3, 7.1)</w:t>
            </w:r>
          </w:p>
        </w:tc>
        <w:tc>
          <w:tcPr>
            <w:tcW w:type="dxa" w:w="1872"/>
          </w:tcPr>
          <w:p>
            <w:pPr>
              <w:spacing w:line="240" w:lineRule="auto" w:before="20" w:after="20"/>
              <w:jc w:val="center"/>
            </w:pPr>
            <w:r/>
            <w:r>
              <w:rPr>
                <w:rFonts w:ascii="Arial" w:hAnsi="Arial" w:eastAsia="Arial" w:cs="Arial"/>
                <w:b w:val="0"/>
                <w:i w:val="0"/>
                <w:color w:val="000000"/>
                <w:sz w:val="17"/>
              </w:rPr>
              <w:t>−0.5 (−4.8, 4.4)</w:t>
            </w:r>
          </w:p>
        </w:tc>
      </w:tr>
      <w:tr>
        <w:tc>
          <w:tcPr>
            <w:tcW w:type="dxa" w:w="3744"/>
          </w:tcPr>
          <w:p>
            <w:pPr>
              <w:spacing w:line="240" w:lineRule="auto" w:before="20" w:after="20"/>
            </w:pPr>
            <w:r/>
            <w:r>
              <w:rPr>
                <w:rFonts w:ascii="Arial" w:hAnsi="Arial" w:eastAsia="Arial" w:cs="Arial"/>
                <w:b w:val="0"/>
                <w:i w:val="0"/>
                <w:color w:val="000000"/>
                <w:sz w:val="17"/>
              </w:rPr>
              <w:t xml:space="preserve">    Chained-equation</w:t>
            </w:r>
          </w:p>
        </w:tc>
        <w:tc>
          <w:tcPr>
            <w:tcW w:type="dxa" w:w="1872"/>
          </w:tcPr>
          <w:p>
            <w:pPr>
              <w:spacing w:line="240" w:lineRule="auto" w:before="20" w:after="20"/>
              <w:jc w:val="center"/>
            </w:pPr>
            <w:r/>
            <w:r>
              <w:rPr>
                <w:rFonts w:ascii="Arial" w:hAnsi="Arial" w:eastAsia="Arial" w:cs="Arial"/>
                <w:b w:val="0"/>
                <w:i w:val="0"/>
                <w:color w:val="000000"/>
                <w:sz w:val="17"/>
              </w:rPr>
              <w:t>2.5 (0.0, 5.6)</w:t>
            </w:r>
          </w:p>
        </w:tc>
        <w:tc>
          <w:tcPr>
            <w:tcW w:type="dxa" w:w="1872"/>
          </w:tcPr>
          <w:p>
            <w:pPr>
              <w:spacing w:line="240" w:lineRule="auto" w:before="20" w:after="20"/>
              <w:jc w:val="center"/>
            </w:pPr>
            <w:r/>
            <w:r>
              <w:rPr>
                <w:rFonts w:ascii="Arial" w:hAnsi="Arial" w:eastAsia="Arial" w:cs="Arial"/>
                <w:b w:val="0"/>
                <w:i w:val="0"/>
                <w:color w:val="000000"/>
                <w:sz w:val="17"/>
              </w:rPr>
              <w:t>3.1 (−0.2, 6.7)</w:t>
            </w:r>
          </w:p>
        </w:tc>
        <w:tc>
          <w:tcPr>
            <w:tcW w:type="dxa" w:w="1872"/>
          </w:tcPr>
          <w:p>
            <w:pPr>
              <w:spacing w:line="240" w:lineRule="auto" w:before="20" w:after="20"/>
              <w:jc w:val="center"/>
            </w:pPr>
            <w:r/>
            <w:r>
              <w:rPr>
                <w:rFonts w:ascii="Arial" w:hAnsi="Arial" w:eastAsia="Arial" w:cs="Arial"/>
                <w:b w:val="0"/>
                <w:i w:val="0"/>
                <w:color w:val="000000"/>
                <w:sz w:val="17"/>
              </w:rPr>
              <w:t>−0.6 (−5.0, 4.0)</w:t>
            </w:r>
          </w:p>
        </w:tc>
      </w:tr>
      <w:tr>
        <w:tc>
          <w:tcPr>
            <w:tcW w:type="dxa" w:w="3744"/>
          </w:tcPr>
          <w:p>
            <w:pPr>
              <w:spacing w:line="240" w:lineRule="auto" w:before="20" w:after="20"/>
            </w:pPr>
            <w:r/>
            <w:r>
              <w:rPr>
                <w:rFonts w:ascii="Arial" w:hAnsi="Arial" w:eastAsia="Arial" w:cs="Arial"/>
                <w:b w:val="0"/>
                <w:i w:val="0"/>
                <w:color w:val="000000"/>
                <w:sz w:val="17"/>
              </w:rPr>
              <w:t xml:space="preserve">    Mean</w:t>
            </w:r>
          </w:p>
        </w:tc>
        <w:tc>
          <w:tcPr>
            <w:tcW w:type="dxa" w:w="1872"/>
          </w:tcPr>
          <w:p>
            <w:pPr>
              <w:spacing w:line="240" w:lineRule="auto" w:before="20" w:after="20"/>
              <w:jc w:val="center"/>
            </w:pPr>
            <w:r/>
            <w:r>
              <w:rPr>
                <w:rFonts w:ascii="Arial" w:hAnsi="Arial" w:eastAsia="Arial" w:cs="Arial"/>
                <w:b w:val="0"/>
                <w:i w:val="0"/>
                <w:color w:val="000000"/>
                <w:sz w:val="17"/>
              </w:rPr>
              <w:t>4.1 (0.1, 7.8)</w:t>
            </w:r>
          </w:p>
        </w:tc>
        <w:tc>
          <w:tcPr>
            <w:tcW w:type="dxa" w:w="1872"/>
          </w:tcPr>
          <w:p>
            <w:pPr>
              <w:spacing w:line="240" w:lineRule="auto" w:before="20" w:after="20"/>
              <w:jc w:val="center"/>
            </w:pPr>
            <w:r/>
            <w:r>
              <w:rPr>
                <w:rFonts w:ascii="Arial" w:hAnsi="Arial" w:eastAsia="Arial" w:cs="Arial"/>
                <w:b w:val="0"/>
                <w:i w:val="0"/>
                <w:color w:val="000000"/>
                <w:sz w:val="17"/>
              </w:rPr>
              <w:t>4.7 (0.2, 9.8)</w:t>
            </w:r>
          </w:p>
        </w:tc>
        <w:tc>
          <w:tcPr>
            <w:tcW w:type="dxa" w:w="1872"/>
          </w:tcPr>
          <w:p>
            <w:pPr>
              <w:spacing w:line="240" w:lineRule="auto" w:before="20" w:after="20"/>
              <w:jc w:val="center"/>
            </w:pPr>
            <w:r/>
            <w:r>
              <w:rPr>
                <w:rFonts w:ascii="Arial" w:hAnsi="Arial" w:eastAsia="Arial" w:cs="Arial"/>
                <w:b w:val="0"/>
                <w:i w:val="0"/>
                <w:color w:val="000000"/>
                <w:sz w:val="17"/>
              </w:rPr>
              <w:t>−0.6 (−5.3, 3.9)</w:t>
            </w:r>
          </w:p>
        </w:tc>
      </w:tr>
      <w:tr>
        <w:tc>
          <w:tcPr>
            <w:tcW w:type="dxa" w:w="3744"/>
          </w:tcPr>
          <w:p>
            <w:pPr>
              <w:spacing w:line="240" w:lineRule="auto" w:before="20" w:after="20"/>
            </w:pPr>
            <w:r/>
            <w:r>
              <w:rPr>
                <w:rFonts w:ascii="Arial" w:hAnsi="Arial" w:eastAsia="Arial" w:cs="Arial"/>
                <w:b w:val="0"/>
                <w:i w:val="0"/>
                <w:color w:val="000000"/>
                <w:sz w:val="17"/>
              </w:rPr>
              <w:t xml:space="preserve">    Median</w:t>
            </w:r>
          </w:p>
        </w:tc>
        <w:tc>
          <w:tcPr>
            <w:tcW w:type="dxa" w:w="1872"/>
          </w:tcPr>
          <w:p>
            <w:pPr>
              <w:spacing w:line="240" w:lineRule="auto" w:before="20" w:after="20"/>
              <w:jc w:val="center"/>
            </w:pPr>
            <w:r/>
            <w:r>
              <w:rPr>
                <w:rFonts w:ascii="Arial" w:hAnsi="Arial" w:eastAsia="Arial" w:cs="Arial"/>
                <w:b w:val="0"/>
                <w:i w:val="0"/>
                <w:color w:val="000000"/>
                <w:sz w:val="17"/>
              </w:rPr>
              <w:t>4.5 (1.1, 8.4)</w:t>
            </w:r>
          </w:p>
        </w:tc>
        <w:tc>
          <w:tcPr>
            <w:tcW w:type="dxa" w:w="1872"/>
          </w:tcPr>
          <w:p>
            <w:pPr>
              <w:spacing w:line="240" w:lineRule="auto" w:before="20" w:after="20"/>
              <w:jc w:val="center"/>
            </w:pPr>
            <w:r/>
            <w:r>
              <w:rPr>
                <w:rFonts w:ascii="Arial" w:hAnsi="Arial" w:eastAsia="Arial" w:cs="Arial"/>
                <w:b w:val="0"/>
                <w:i w:val="0"/>
                <w:color w:val="000000"/>
                <w:sz w:val="17"/>
              </w:rPr>
              <w:t>5.0 (0.9, 9.2)</w:t>
            </w:r>
          </w:p>
        </w:tc>
        <w:tc>
          <w:tcPr>
            <w:tcW w:type="dxa" w:w="1872"/>
          </w:tcPr>
          <w:p>
            <w:pPr>
              <w:spacing w:line="240" w:lineRule="auto" w:before="20" w:after="20"/>
              <w:jc w:val="center"/>
            </w:pPr>
            <w:r/>
            <w:r>
              <w:rPr>
                <w:rFonts w:ascii="Arial" w:hAnsi="Arial" w:eastAsia="Arial" w:cs="Arial"/>
                <w:b w:val="0"/>
                <w:i w:val="0"/>
                <w:color w:val="000000"/>
                <w:sz w:val="17"/>
              </w:rPr>
              <w:t>−0.5 (−4.9, 3.3)</w:t>
            </w:r>
          </w:p>
        </w:tc>
      </w:tr>
      <w:tr>
        <w:tc>
          <w:tcPr>
            <w:tcW w:type="dxa" w:w="3744"/>
          </w:tcPr>
          <w:p>
            <w:pPr>
              <w:spacing w:line="240" w:lineRule="auto" w:before="20" w:after="20"/>
            </w:pPr>
            <w:r/>
            <w:r>
              <w:rPr>
                <w:rFonts w:ascii="Arial" w:hAnsi="Arial" w:eastAsia="Arial" w:cs="Arial"/>
                <w:b w:val="0"/>
                <w:i w:val="0"/>
                <w:color w:val="000000"/>
                <w:sz w:val="17"/>
              </w:rPr>
              <w:t xml:space="preserve">    XGBoost native handling</w:t>
            </w:r>
          </w:p>
        </w:tc>
        <w:tc>
          <w:tcPr>
            <w:tcW w:type="dxa" w:w="1872"/>
          </w:tcPr>
          <w:p>
            <w:pPr>
              <w:spacing w:line="240" w:lineRule="auto" w:before="20" w:after="20"/>
              <w:jc w:val="center"/>
            </w:pPr>
            <w:r/>
            <w:r>
              <w:rPr>
                <w:rFonts w:ascii="Arial" w:hAnsi="Arial" w:eastAsia="Arial" w:cs="Arial"/>
                <w:b w:val="0"/>
                <w:i w:val="0"/>
                <w:color w:val="000000"/>
                <w:sz w:val="17"/>
              </w:rPr>
              <w:t>−12.4 (−17.9, −7.1)</w:t>
            </w:r>
          </w:p>
        </w:tc>
        <w:tc>
          <w:tcPr>
            <w:tcW w:type="dxa" w:w="1872"/>
          </w:tcPr>
          <w:p>
            <w:pPr>
              <w:spacing w:line="240" w:lineRule="auto" w:before="20" w:after="20"/>
              <w:jc w:val="center"/>
            </w:pPr>
            <w:r/>
            <w:r>
              <w:rPr>
                <w:rFonts w:ascii="Arial" w:hAnsi="Arial" w:eastAsia="Arial" w:cs="Arial"/>
                <w:b w:val="0"/>
                <w:i w:val="0"/>
                <w:color w:val="000000"/>
                <w:sz w:val="17"/>
              </w:rPr>
              <w:t>−12.2 (−16.9, −6.5)</w:t>
            </w:r>
          </w:p>
        </w:tc>
        <w:tc>
          <w:tcPr>
            <w:tcW w:type="dxa" w:w="1872"/>
          </w:tcPr>
          <w:p>
            <w:pPr>
              <w:spacing w:line="240" w:lineRule="auto" w:before="20" w:after="20"/>
              <w:jc w:val="center"/>
            </w:pPr>
            <w:r/>
            <w:r>
              <w:rPr>
                <w:rFonts w:ascii="Arial" w:hAnsi="Arial" w:eastAsia="Arial" w:cs="Arial"/>
                <w:b w:val="0"/>
                <w:i w:val="0"/>
                <w:color w:val="000000"/>
                <w:sz w:val="17"/>
              </w:rPr>
              <w:t>−0.3 (−8.0, 4.9)</w:t>
            </w:r>
          </w:p>
        </w:tc>
      </w:tr>
      <w:tr>
        <w:tc>
          <w:tcPr>
            <w:tcW w:type="dxa" w:w="9360"/>
            <w:gridSpan w:val="4"/>
          </w:tcPr>
          <w:p>
            <w:pPr>
              <w:spacing w:line="240" w:lineRule="auto" w:before="20" w:after="20"/>
            </w:pPr>
            <w:r/>
            <w:r>
              <w:rPr>
                <w:rFonts w:ascii="Arial" w:hAnsi="Arial" w:eastAsia="Arial" w:cs="Arial"/>
                <w:b/>
                <w:i w:val="0"/>
                <w:color w:val="000000"/>
                <w:sz w:val="17"/>
              </w:rPr>
              <w:t>Selection weighting (inverse probability of complete case)</w:t>
            </w:r>
          </w:p>
        </w:tc>
      </w:tr>
      <w:tr>
        <w:tc>
          <w:tcPr>
            <w:tcW w:type="dxa" w:w="3744"/>
          </w:tcPr>
          <w:p>
            <w:pPr>
              <w:spacing w:line="240" w:lineRule="auto" w:before="20" w:after="20"/>
            </w:pPr>
            <w:r/>
            <w:r>
              <w:rPr>
                <w:rFonts w:ascii="Arial" w:hAnsi="Arial" w:eastAsia="Arial" w:cs="Arial"/>
                <w:b w:val="0"/>
                <w:i w:val="0"/>
                <w:color w:val="000000"/>
                <w:sz w:val="17"/>
              </w:rPr>
              <w:t xml:space="preserve">    S0, KNN</w:t>
            </w:r>
          </w:p>
        </w:tc>
        <w:tc>
          <w:tcPr>
            <w:tcW w:type="dxa" w:w="1872"/>
          </w:tcPr>
          <w:p>
            <w:pPr>
              <w:spacing w:line="240" w:lineRule="auto" w:before="20" w:after="20"/>
              <w:jc w:val="center"/>
            </w:pPr>
            <w:r/>
            <w:r>
              <w:rPr>
                <w:rFonts w:ascii="Arial" w:hAnsi="Arial" w:eastAsia="Arial" w:cs="Arial"/>
                <w:b w:val="0"/>
                <w:i w:val="0"/>
                <w:color w:val="000000"/>
                <w:sz w:val="17"/>
              </w:rPr>
              <w:t>5.0 (0.4, 8.4)</w:t>
            </w:r>
          </w:p>
        </w:tc>
        <w:tc>
          <w:tcPr>
            <w:tcW w:type="dxa" w:w="1872"/>
          </w:tcPr>
          <w:p>
            <w:pPr>
              <w:spacing w:line="240" w:lineRule="auto" w:before="20" w:after="20"/>
              <w:jc w:val="center"/>
            </w:pPr>
            <w:r/>
            <w:r>
              <w:rPr>
                <w:rFonts w:ascii="Arial" w:hAnsi="Arial" w:eastAsia="Arial" w:cs="Arial"/>
                <w:b w:val="0"/>
                <w:i w:val="0"/>
                <w:color w:val="000000"/>
                <w:sz w:val="17"/>
              </w:rPr>
              <w:t>1.1 (−1.3, 3.4)</w:t>
            </w:r>
          </w:p>
        </w:tc>
        <w:tc>
          <w:tcPr>
            <w:tcW w:type="dxa" w:w="1872"/>
          </w:tcPr>
          <w:p>
            <w:pPr>
              <w:spacing w:line="240" w:lineRule="auto" w:before="20" w:after="20"/>
              <w:jc w:val="center"/>
            </w:pPr>
            <w:r/>
            <w:r>
              <w:rPr>
                <w:rFonts w:ascii="Arial" w:hAnsi="Arial" w:eastAsia="Arial" w:cs="Arial"/>
                <w:b w:val="0"/>
                <w:i w:val="0"/>
                <w:color w:val="000000"/>
                <w:sz w:val="17"/>
              </w:rPr>
              <w:t>3.9 (−0.3, 7.9)</w:t>
            </w:r>
          </w:p>
        </w:tc>
      </w:tr>
      <w:tr>
        <w:tc>
          <w:tcPr>
            <w:tcW w:type="dxa" w:w="3744"/>
          </w:tcPr>
          <w:p>
            <w:pPr>
              <w:spacing w:line="240" w:lineRule="auto" w:before="20" w:after="20"/>
            </w:pPr>
            <w:r/>
            <w:r>
              <w:rPr>
                <w:rFonts w:ascii="Arial" w:hAnsi="Arial" w:eastAsia="Arial" w:cs="Arial"/>
                <w:b w:val="0"/>
                <w:i w:val="0"/>
                <w:color w:val="000000"/>
                <w:sz w:val="17"/>
              </w:rPr>
              <w:t xml:space="preserve">    S0, Chained-equation</w:t>
            </w:r>
          </w:p>
        </w:tc>
        <w:tc>
          <w:tcPr>
            <w:tcW w:type="dxa" w:w="1872"/>
          </w:tcPr>
          <w:p>
            <w:pPr>
              <w:spacing w:line="240" w:lineRule="auto" w:before="20" w:after="20"/>
              <w:jc w:val="center"/>
            </w:pPr>
            <w:r/>
            <w:r>
              <w:rPr>
                <w:rFonts w:ascii="Arial" w:hAnsi="Arial" w:eastAsia="Arial" w:cs="Arial"/>
                <w:b w:val="0"/>
                <w:i w:val="0"/>
                <w:color w:val="000000"/>
                <w:sz w:val="17"/>
              </w:rPr>
              <w:t>5.9 (1.5, 10.4)</w:t>
            </w:r>
          </w:p>
        </w:tc>
        <w:tc>
          <w:tcPr>
            <w:tcW w:type="dxa" w:w="1872"/>
          </w:tcPr>
          <w:p>
            <w:pPr>
              <w:spacing w:line="240" w:lineRule="auto" w:before="20" w:after="20"/>
              <w:jc w:val="center"/>
            </w:pPr>
            <w:r/>
            <w:r>
              <w:rPr>
                <w:rFonts w:ascii="Arial" w:hAnsi="Arial" w:eastAsia="Arial" w:cs="Arial"/>
                <w:b w:val="0"/>
                <w:i w:val="0"/>
                <w:color w:val="000000"/>
                <w:sz w:val="17"/>
              </w:rPr>
              <w:t>0.9 (−1.2, 2.7)</w:t>
            </w:r>
          </w:p>
        </w:tc>
        <w:tc>
          <w:tcPr>
            <w:tcW w:type="dxa" w:w="1872"/>
          </w:tcPr>
          <w:p>
            <w:pPr>
              <w:spacing w:line="240" w:lineRule="auto" w:before="20" w:after="20"/>
              <w:jc w:val="center"/>
            </w:pPr>
            <w:r/>
            <w:r>
              <w:rPr>
                <w:rFonts w:ascii="Arial" w:hAnsi="Arial" w:eastAsia="Arial" w:cs="Arial"/>
                <w:b w:val="0"/>
                <w:i w:val="0"/>
                <w:color w:val="000000"/>
                <w:sz w:val="17"/>
              </w:rPr>
              <w:t>5.0 (0.8, 10.0)</w:t>
            </w:r>
          </w:p>
        </w:tc>
      </w:tr>
      <w:tr>
        <w:tc>
          <w:tcPr>
            <w:tcW w:type="dxa" w:w="3744"/>
          </w:tcPr>
          <w:p>
            <w:pPr>
              <w:spacing w:line="240" w:lineRule="auto" w:before="20" w:after="20"/>
            </w:pPr>
            <w:r/>
            <w:r>
              <w:rPr>
                <w:rFonts w:ascii="Arial" w:hAnsi="Arial" w:eastAsia="Arial" w:cs="Arial"/>
                <w:b w:val="0"/>
                <w:i w:val="0"/>
                <w:color w:val="000000"/>
                <w:sz w:val="17"/>
              </w:rPr>
              <w:t xml:space="preserve">    S2, Mean</w:t>
            </w:r>
          </w:p>
        </w:tc>
        <w:tc>
          <w:tcPr>
            <w:tcW w:type="dxa" w:w="1872"/>
          </w:tcPr>
          <w:p>
            <w:pPr>
              <w:spacing w:line="240" w:lineRule="auto" w:before="20" w:after="20"/>
              <w:jc w:val="center"/>
            </w:pPr>
            <w:r/>
            <w:r>
              <w:rPr>
                <w:rFonts w:ascii="Arial" w:hAnsi="Arial" w:eastAsia="Arial" w:cs="Arial"/>
                <w:b w:val="0"/>
                <w:i w:val="0"/>
                <w:color w:val="000000"/>
                <w:sz w:val="17"/>
              </w:rPr>
              <w:t>10.8 (5.8, 16.4)</w:t>
            </w:r>
          </w:p>
        </w:tc>
        <w:tc>
          <w:tcPr>
            <w:tcW w:type="dxa" w:w="1872"/>
          </w:tcPr>
          <w:p>
            <w:pPr>
              <w:spacing w:line="240" w:lineRule="auto" w:before="20" w:after="20"/>
              <w:jc w:val="center"/>
            </w:pPr>
            <w:r/>
            <w:r>
              <w:rPr>
                <w:rFonts w:ascii="Arial" w:hAnsi="Arial" w:eastAsia="Arial" w:cs="Arial"/>
                <w:b w:val="0"/>
                <w:i w:val="0"/>
                <w:color w:val="000000"/>
                <w:sz w:val="17"/>
              </w:rPr>
              <w:t>1.4 (−0.2, 3.3)</w:t>
            </w:r>
          </w:p>
        </w:tc>
        <w:tc>
          <w:tcPr>
            <w:tcW w:type="dxa" w:w="1872"/>
          </w:tcPr>
          <w:p>
            <w:pPr>
              <w:spacing w:line="240" w:lineRule="auto" w:before="20" w:after="20"/>
              <w:jc w:val="center"/>
            </w:pPr>
            <w:r/>
            <w:r>
              <w:rPr>
                <w:rFonts w:ascii="Arial" w:hAnsi="Arial" w:eastAsia="Arial" w:cs="Arial"/>
                <w:b w:val="0"/>
                <w:i w:val="0"/>
                <w:color w:val="000000"/>
                <w:sz w:val="17"/>
              </w:rPr>
              <w:t>9.4 (4.8, 14.7)</w:t>
            </w:r>
          </w:p>
        </w:tc>
      </w:tr>
      <w:tr>
        <w:tc>
          <w:tcPr>
            <w:tcW w:type="dxa" w:w="3744"/>
          </w:tcPr>
          <w:p>
            <w:pPr>
              <w:spacing w:line="240" w:lineRule="auto" w:before="20" w:after="20"/>
            </w:pPr>
            <w:r/>
            <w:r>
              <w:rPr>
                <w:rFonts w:ascii="Arial" w:hAnsi="Arial" w:eastAsia="Arial" w:cs="Arial"/>
                <w:b w:val="0"/>
                <w:i w:val="0"/>
                <w:color w:val="000000"/>
                <w:sz w:val="17"/>
              </w:rPr>
              <w:t xml:space="preserve">    S2, Stochastic iterative imputation</w:t>
            </w:r>
          </w:p>
        </w:tc>
        <w:tc>
          <w:tcPr>
            <w:tcW w:type="dxa" w:w="1872"/>
          </w:tcPr>
          <w:p>
            <w:pPr>
              <w:spacing w:line="240" w:lineRule="auto" w:before="20" w:after="20"/>
              <w:jc w:val="center"/>
            </w:pPr>
            <w:r/>
            <w:r>
              <w:rPr>
                <w:rFonts w:ascii="Arial" w:hAnsi="Arial" w:eastAsia="Arial" w:cs="Arial"/>
                <w:b w:val="0"/>
                <w:i w:val="0"/>
                <w:color w:val="000000"/>
                <w:sz w:val="17"/>
              </w:rPr>
              <w:t>−3.2 (−6.9, 0.1)</w:t>
            </w:r>
          </w:p>
        </w:tc>
        <w:tc>
          <w:tcPr>
            <w:tcW w:type="dxa" w:w="1872"/>
          </w:tcPr>
          <w:p>
            <w:pPr>
              <w:spacing w:line="240" w:lineRule="auto" w:before="20" w:after="20"/>
              <w:jc w:val="center"/>
            </w:pPr>
            <w:r/>
            <w:r>
              <w:rPr>
                <w:rFonts w:ascii="Arial" w:hAnsi="Arial" w:eastAsia="Arial" w:cs="Arial"/>
                <w:b w:val="0"/>
                <w:i w:val="0"/>
                <w:color w:val="000000"/>
                <w:sz w:val="17"/>
              </w:rPr>
              <w:t>−0.6 (−2.0, 0.5)</w:t>
            </w:r>
          </w:p>
        </w:tc>
        <w:tc>
          <w:tcPr>
            <w:tcW w:type="dxa" w:w="1872"/>
          </w:tcPr>
          <w:p>
            <w:pPr>
              <w:spacing w:line="240" w:lineRule="auto" w:before="20" w:after="20"/>
              <w:jc w:val="center"/>
            </w:pPr>
            <w:r/>
            <w:r>
              <w:rPr>
                <w:rFonts w:ascii="Arial" w:hAnsi="Arial" w:eastAsia="Arial" w:cs="Arial"/>
                <w:b w:val="0"/>
                <w:i w:val="0"/>
                <w:color w:val="000000"/>
                <w:sz w:val="17"/>
              </w:rPr>
              <w:t>−2.6 (−6.2, 0.9)</w:t>
            </w:r>
          </w:p>
        </w:tc>
      </w:tr>
      <w:tr>
        <w:tc>
          <w:tcPr>
            <w:tcW w:type="dxa" w:w="3744"/>
          </w:tcPr>
          <w:p>
            <w:pPr>
              <w:spacing w:line="240" w:lineRule="auto" w:before="20" w:after="20"/>
            </w:pPr>
            <w:r/>
            <w:r>
              <w:rPr>
                <w:rFonts w:ascii="Arial" w:hAnsi="Arial" w:eastAsia="Arial" w:cs="Arial"/>
                <w:b w:val="0"/>
                <w:i w:val="0"/>
                <w:color w:val="000000"/>
                <w:sz w:val="17"/>
              </w:rPr>
              <w:t xml:space="preserve">    S3, Mean</w:t>
            </w:r>
          </w:p>
        </w:tc>
        <w:tc>
          <w:tcPr>
            <w:tcW w:type="dxa" w:w="1872"/>
          </w:tcPr>
          <w:p>
            <w:pPr>
              <w:spacing w:line="240" w:lineRule="auto" w:before="20" w:after="20"/>
              <w:jc w:val="center"/>
            </w:pPr>
            <w:r/>
            <w:r>
              <w:rPr>
                <w:rFonts w:ascii="Arial" w:hAnsi="Arial" w:eastAsia="Arial" w:cs="Arial"/>
                <w:b w:val="0"/>
                <w:i w:val="0"/>
                <w:color w:val="000000"/>
                <w:sz w:val="17"/>
              </w:rPr>
              <w:t>2.1 (0.1, 4.1)</w:t>
            </w:r>
          </w:p>
        </w:tc>
        <w:tc>
          <w:tcPr>
            <w:tcW w:type="dxa" w:w="1872"/>
          </w:tcPr>
          <w:p>
            <w:pPr>
              <w:spacing w:line="240" w:lineRule="auto" w:before="20" w:after="20"/>
              <w:jc w:val="center"/>
            </w:pPr>
            <w:r/>
            <w:r>
              <w:rPr>
                <w:rFonts w:ascii="Arial" w:hAnsi="Arial" w:eastAsia="Arial" w:cs="Arial"/>
                <w:b w:val="0"/>
                <w:i w:val="0"/>
                <w:color w:val="000000"/>
                <w:sz w:val="17"/>
              </w:rPr>
              <w:t>1.4 (−0.7, 3.0)</w:t>
            </w:r>
          </w:p>
        </w:tc>
        <w:tc>
          <w:tcPr>
            <w:tcW w:type="dxa" w:w="1872"/>
          </w:tcPr>
          <w:p>
            <w:pPr>
              <w:spacing w:line="240" w:lineRule="auto" w:before="20" w:after="20"/>
              <w:jc w:val="center"/>
            </w:pPr>
            <w:r/>
            <w:r>
              <w:rPr>
                <w:rFonts w:ascii="Arial" w:hAnsi="Arial" w:eastAsia="Arial" w:cs="Arial"/>
                <w:b w:val="0"/>
                <w:i w:val="0"/>
                <w:color w:val="000000"/>
                <w:sz w:val="17"/>
              </w:rPr>
              <w:t>0.7 (−1.6, 2.7)</w:t>
            </w:r>
          </w:p>
        </w:tc>
      </w:tr>
      <w:tr>
        <w:tc>
          <w:tcPr>
            <w:tcW w:type="dxa" w:w="9360"/>
            <w:gridSpan w:val="4"/>
          </w:tcPr>
          <w:p>
            <w:pPr>
              <w:spacing w:line="240" w:lineRule="auto" w:before="20" w:after="20"/>
            </w:pPr>
            <w:r/>
            <w:r>
              <w:rPr>
                <w:rFonts w:ascii="Arial" w:hAnsi="Arial" w:eastAsia="Arial" w:cs="Arial"/>
                <w:b/>
                <w:i w:val="0"/>
                <w:color w:val="000000"/>
                <w:sz w:val="17"/>
              </w:rPr>
              <w:t>Binary-variable handling, S0 and S2</w:t>
            </w:r>
          </w:p>
        </w:tc>
      </w:tr>
      <w:tr>
        <w:tc>
          <w:tcPr>
            <w:tcW w:type="dxa" w:w="3744"/>
          </w:tcPr>
          <w:p>
            <w:pPr>
              <w:spacing w:line="240" w:lineRule="auto" w:before="20" w:after="20"/>
            </w:pPr>
            <w:r/>
            <w:r>
              <w:rPr>
                <w:rFonts w:ascii="Arial" w:hAnsi="Arial" w:eastAsia="Arial" w:cs="Arial"/>
                <w:b w:val="0"/>
                <w:i w:val="0"/>
                <w:color w:val="000000"/>
                <w:sz w:val="17"/>
              </w:rPr>
              <w:t xml:space="preserve">    S0, SII, rounded binaries (main)</w:t>
            </w:r>
          </w:p>
        </w:tc>
        <w:tc>
          <w:tcPr>
            <w:tcW w:type="dxa" w:w="1872"/>
          </w:tcPr>
          <w:p>
            <w:pPr>
              <w:spacing w:line="240" w:lineRule="auto" w:before="20" w:after="20"/>
              <w:jc w:val="center"/>
            </w:pPr>
            <w:r/>
            <w:r>
              <w:rPr>
                <w:rFonts w:ascii="Arial" w:hAnsi="Arial" w:eastAsia="Arial" w:cs="Arial"/>
                <w:b w:val="0"/>
                <w:i w:val="0"/>
                <w:color w:val="000000"/>
                <w:sz w:val="17"/>
              </w:rPr>
              <w:t>−3.1 (−6.9, 1.2)</w:t>
            </w:r>
          </w:p>
        </w:tc>
        <w:tc>
          <w:tcPr>
            <w:tcW w:type="dxa" w:w="1872"/>
          </w:tcPr>
          <w:p>
            <w:pPr>
              <w:spacing w:line="240" w:lineRule="auto" w:before="20" w:after="20"/>
              <w:jc w:val="center"/>
            </w:pPr>
            <w:r/>
            <w:r>
              <w:rPr>
                <w:rFonts w:ascii="Arial" w:hAnsi="Arial" w:eastAsia="Arial" w:cs="Arial"/>
                <w:b w:val="0"/>
                <w:i w:val="0"/>
                <w:color w:val="000000"/>
                <w:sz w:val="17"/>
              </w:rPr>
              <w:t>−0.2 (−2.5, 1.9)</w:t>
            </w:r>
          </w:p>
        </w:tc>
        <w:tc>
          <w:tcPr>
            <w:tcW w:type="dxa" w:w="1872"/>
          </w:tcPr>
          <w:p>
            <w:pPr>
              <w:spacing w:line="240" w:lineRule="auto" w:before="20" w:after="20"/>
              <w:jc w:val="center"/>
            </w:pPr>
            <w:r/>
            <w:r>
              <w:rPr>
                <w:rFonts w:ascii="Arial" w:hAnsi="Arial" w:eastAsia="Arial" w:cs="Arial"/>
                <w:b w:val="0"/>
                <w:i w:val="0"/>
                <w:color w:val="000000"/>
                <w:sz w:val="17"/>
              </w:rPr>
              <w:t>−2.9 (−7.9, 1.5)</w:t>
            </w:r>
          </w:p>
        </w:tc>
      </w:tr>
      <w:tr>
        <w:tc>
          <w:tcPr>
            <w:tcW w:type="dxa" w:w="3744"/>
          </w:tcPr>
          <w:p>
            <w:pPr>
              <w:spacing w:line="240" w:lineRule="auto" w:before="20" w:after="20"/>
            </w:pPr>
            <w:r/>
            <w:r>
              <w:rPr>
                <w:rFonts w:ascii="Arial" w:hAnsi="Arial" w:eastAsia="Arial" w:cs="Arial"/>
                <w:b w:val="0"/>
                <w:i w:val="0"/>
                <w:color w:val="000000"/>
                <w:sz w:val="17"/>
              </w:rPr>
              <w:t xml:space="preserve">    S0, SII, fractional binaries</w:t>
            </w:r>
          </w:p>
        </w:tc>
        <w:tc>
          <w:tcPr>
            <w:tcW w:type="dxa" w:w="1872"/>
          </w:tcPr>
          <w:p>
            <w:pPr>
              <w:spacing w:line="240" w:lineRule="auto" w:before="20" w:after="20"/>
              <w:jc w:val="center"/>
            </w:pPr>
            <w:r/>
            <w:r>
              <w:rPr>
                <w:rFonts w:ascii="Arial" w:hAnsi="Arial" w:eastAsia="Arial" w:cs="Arial"/>
                <w:b w:val="0"/>
                <w:i w:val="0"/>
                <w:color w:val="000000"/>
                <w:sz w:val="17"/>
              </w:rPr>
              <w:t>−0.7 [−5.7 to 2.5]</w:t>
            </w:r>
          </w:p>
        </w:tc>
        <w:tc>
          <w:tcPr>
            <w:tcW w:type="dxa" w:w="1872"/>
          </w:tcPr>
          <w:p>
            <w:pPr>
              <w:spacing w:line="240" w:lineRule="auto" w:before="20" w:after="20"/>
              <w:jc w:val="center"/>
            </w:pPr>
            <w:r/>
            <w:r>
              <w:rPr>
                <w:rFonts w:ascii="Arial" w:hAnsi="Arial" w:eastAsia="Arial" w:cs="Arial"/>
                <w:b w:val="0"/>
                <w:i w:val="0"/>
                <w:color w:val="000000"/>
                <w:sz w:val="17"/>
              </w:rPr>
              <w:t>0.1 [−1.4 to 1.3]</w:t>
            </w:r>
          </w:p>
        </w:tc>
        <w:tc>
          <w:tcPr>
            <w:tcW w:type="dxa" w:w="1872"/>
          </w:tcPr>
          <w:p>
            <w:pPr>
              <w:spacing w:line="240" w:lineRule="auto" w:before="20" w:after="20"/>
              <w:jc w:val="center"/>
            </w:pPr>
            <w:r/>
            <w:r>
              <w:rPr>
                <w:rFonts w:ascii="Arial" w:hAnsi="Arial" w:eastAsia="Arial" w:cs="Arial"/>
                <w:b w:val="0"/>
                <w:i w:val="0"/>
                <w:color w:val="000000"/>
                <w:sz w:val="17"/>
              </w:rPr>
              <w:t>−0.8 [−4.7 to 2.7]</w:t>
            </w:r>
          </w:p>
        </w:tc>
      </w:tr>
      <w:tr>
        <w:tc>
          <w:tcPr>
            <w:tcW w:type="dxa" w:w="3744"/>
          </w:tcPr>
          <w:p>
            <w:pPr>
              <w:spacing w:line="240" w:lineRule="auto" w:before="20" w:after="20"/>
            </w:pPr>
            <w:r/>
            <w:r>
              <w:rPr>
                <w:rFonts w:ascii="Arial" w:hAnsi="Arial" w:eastAsia="Arial" w:cs="Arial"/>
                <w:b w:val="0"/>
                <w:i w:val="0"/>
                <w:color w:val="000000"/>
                <w:sz w:val="17"/>
              </w:rPr>
              <w:t xml:space="preserve">    S0, Logistic chained imputation (LCI)</w:t>
            </w:r>
          </w:p>
        </w:tc>
        <w:tc>
          <w:tcPr>
            <w:tcW w:type="dxa" w:w="1872"/>
          </w:tcPr>
          <w:p>
            <w:pPr>
              <w:spacing w:line="240" w:lineRule="auto" w:before="20" w:after="20"/>
              <w:jc w:val="center"/>
            </w:pPr>
            <w:r/>
            <w:r>
              <w:rPr>
                <w:rFonts w:ascii="Arial" w:hAnsi="Arial" w:eastAsia="Arial" w:cs="Arial"/>
                <w:b w:val="0"/>
                <w:i w:val="0"/>
                <w:color w:val="000000"/>
                <w:sz w:val="17"/>
              </w:rPr>
              <w:t>−2.8 (−6.6, 1.3)</w:t>
            </w:r>
          </w:p>
        </w:tc>
        <w:tc>
          <w:tcPr>
            <w:tcW w:type="dxa" w:w="1872"/>
          </w:tcPr>
          <w:p>
            <w:pPr>
              <w:spacing w:line="240" w:lineRule="auto" w:before="20" w:after="20"/>
              <w:jc w:val="center"/>
            </w:pPr>
            <w:r/>
            <w:r>
              <w:rPr>
                <w:rFonts w:ascii="Arial" w:hAnsi="Arial" w:eastAsia="Arial" w:cs="Arial"/>
                <w:b w:val="0"/>
                <w:i w:val="0"/>
                <w:color w:val="000000"/>
                <w:sz w:val="17"/>
              </w:rPr>
              <w:t>−0.2 (−3.0, 2.1)</w:t>
            </w:r>
          </w:p>
        </w:tc>
        <w:tc>
          <w:tcPr>
            <w:tcW w:type="dxa" w:w="1872"/>
          </w:tcPr>
          <w:p>
            <w:pPr>
              <w:spacing w:line="240" w:lineRule="auto" w:before="20" w:after="20"/>
              <w:jc w:val="center"/>
            </w:pPr>
            <w:r/>
            <w:r>
              <w:rPr>
                <w:rFonts w:ascii="Arial" w:hAnsi="Arial" w:eastAsia="Arial" w:cs="Arial"/>
                <w:b w:val="0"/>
                <w:i w:val="0"/>
                <w:color w:val="000000"/>
                <w:sz w:val="17"/>
              </w:rPr>
              <w:t>−2.7 (−7.9, 1.3)</w:t>
            </w:r>
          </w:p>
        </w:tc>
      </w:tr>
      <w:tr>
        <w:tc>
          <w:tcPr>
            <w:tcW w:type="dxa" w:w="3744"/>
          </w:tcPr>
          <w:p>
            <w:pPr>
              <w:spacing w:line="240" w:lineRule="auto" w:before="20" w:after="20"/>
            </w:pPr>
            <w:r/>
            <w:r>
              <w:rPr>
                <w:rFonts w:ascii="Arial" w:hAnsi="Arial" w:eastAsia="Arial" w:cs="Arial"/>
                <w:b w:val="0"/>
                <w:i w:val="0"/>
                <w:color w:val="000000"/>
                <w:sz w:val="17"/>
              </w:rPr>
              <w:t xml:space="preserve">    S2, SII, rounded binaries (main)</w:t>
            </w:r>
          </w:p>
        </w:tc>
        <w:tc>
          <w:tcPr>
            <w:tcW w:type="dxa" w:w="1872"/>
          </w:tcPr>
          <w:p>
            <w:pPr>
              <w:spacing w:line="240" w:lineRule="auto" w:before="20" w:after="20"/>
              <w:jc w:val="center"/>
            </w:pPr>
            <w:r/>
            <w:r>
              <w:rPr>
                <w:rFonts w:ascii="Arial" w:hAnsi="Arial" w:eastAsia="Arial" w:cs="Arial"/>
                <w:b w:val="0"/>
                <w:i w:val="0"/>
                <w:color w:val="000000"/>
                <w:sz w:val="17"/>
              </w:rPr>
              <w:t>−3.4 (−6.8, −0.2)</w:t>
            </w:r>
          </w:p>
        </w:tc>
        <w:tc>
          <w:tcPr>
            <w:tcW w:type="dxa" w:w="1872"/>
          </w:tcPr>
          <w:p>
            <w:pPr>
              <w:spacing w:line="240" w:lineRule="auto" w:before="20" w:after="20"/>
              <w:jc w:val="center"/>
            </w:pPr>
            <w:r/>
            <w:r>
              <w:rPr>
                <w:rFonts w:ascii="Arial" w:hAnsi="Arial" w:eastAsia="Arial" w:cs="Arial"/>
                <w:b w:val="0"/>
                <w:i w:val="0"/>
                <w:color w:val="000000"/>
                <w:sz w:val="17"/>
              </w:rPr>
              <w:t>−0.7 (−2.3, 0.6)</w:t>
            </w:r>
          </w:p>
        </w:tc>
        <w:tc>
          <w:tcPr>
            <w:tcW w:type="dxa" w:w="1872"/>
          </w:tcPr>
          <w:p>
            <w:pPr>
              <w:spacing w:line="240" w:lineRule="auto" w:before="20" w:after="20"/>
              <w:jc w:val="center"/>
            </w:pPr>
            <w:r/>
            <w:r>
              <w:rPr>
                <w:rFonts w:ascii="Arial" w:hAnsi="Arial" w:eastAsia="Arial" w:cs="Arial"/>
                <w:b w:val="0"/>
                <w:i w:val="0"/>
                <w:color w:val="000000"/>
                <w:sz w:val="17"/>
              </w:rPr>
              <w:t>−2.6 (−6.4, 1.1)</w:t>
            </w:r>
          </w:p>
        </w:tc>
      </w:tr>
      <w:tr>
        <w:tc>
          <w:tcPr>
            <w:tcW w:type="dxa" w:w="3744"/>
          </w:tcPr>
          <w:p>
            <w:pPr>
              <w:spacing w:line="240" w:lineRule="auto" w:before="20" w:after="20"/>
            </w:pPr>
            <w:r/>
            <w:r>
              <w:rPr>
                <w:rFonts w:ascii="Arial" w:hAnsi="Arial" w:eastAsia="Arial" w:cs="Arial"/>
                <w:b w:val="0"/>
                <w:i w:val="0"/>
                <w:color w:val="000000"/>
                <w:sz w:val="17"/>
              </w:rPr>
              <w:t xml:space="preserve">    S2, SII, fractional binaries</w:t>
            </w:r>
          </w:p>
        </w:tc>
        <w:tc>
          <w:tcPr>
            <w:tcW w:type="dxa" w:w="1872"/>
          </w:tcPr>
          <w:p>
            <w:pPr>
              <w:spacing w:line="240" w:lineRule="auto" w:before="20" w:after="20"/>
              <w:jc w:val="center"/>
            </w:pPr>
            <w:r/>
            <w:r>
              <w:rPr>
                <w:rFonts w:ascii="Arial" w:hAnsi="Arial" w:eastAsia="Arial" w:cs="Arial"/>
                <w:b w:val="0"/>
                <w:i w:val="0"/>
                <w:color w:val="000000"/>
                <w:sz w:val="17"/>
              </w:rPr>
              <w:t>−2.1 [−5.4 to 0.7]</w:t>
            </w:r>
          </w:p>
        </w:tc>
        <w:tc>
          <w:tcPr>
            <w:tcW w:type="dxa" w:w="1872"/>
          </w:tcPr>
          <w:p>
            <w:pPr>
              <w:spacing w:line="240" w:lineRule="auto" w:before="20" w:after="20"/>
              <w:jc w:val="center"/>
            </w:pPr>
            <w:r/>
            <w:r>
              <w:rPr>
                <w:rFonts w:ascii="Arial" w:hAnsi="Arial" w:eastAsia="Arial" w:cs="Arial"/>
                <w:b w:val="0"/>
                <w:i w:val="0"/>
                <w:color w:val="000000"/>
                <w:sz w:val="17"/>
              </w:rPr>
              <w:t>−0.5 [−2.0 to 0.9]</w:t>
            </w:r>
          </w:p>
        </w:tc>
        <w:tc>
          <w:tcPr>
            <w:tcW w:type="dxa" w:w="1872"/>
          </w:tcPr>
          <w:p>
            <w:pPr>
              <w:spacing w:line="240" w:lineRule="auto" w:before="20" w:after="20"/>
              <w:jc w:val="center"/>
            </w:pPr>
            <w:r/>
            <w:r>
              <w:rPr>
                <w:rFonts w:ascii="Arial" w:hAnsi="Arial" w:eastAsia="Arial" w:cs="Arial"/>
                <w:b w:val="0"/>
                <w:i w:val="0"/>
                <w:color w:val="000000"/>
                <w:sz w:val="17"/>
              </w:rPr>
              <w:t>−1.6 [−4.7 to 1.1]</w:t>
            </w:r>
          </w:p>
        </w:tc>
      </w:tr>
      <w:tr>
        <w:tc>
          <w:tcPr>
            <w:tcW w:type="dxa" w:w="3744"/>
          </w:tcPr>
          <w:p>
            <w:pPr>
              <w:spacing w:line="240" w:lineRule="auto" w:before="20" w:after="20"/>
            </w:pPr>
            <w:r/>
            <w:r>
              <w:rPr>
                <w:rFonts w:ascii="Arial" w:hAnsi="Arial" w:eastAsia="Arial" w:cs="Arial"/>
                <w:b w:val="0"/>
                <w:i w:val="0"/>
                <w:color w:val="000000"/>
                <w:sz w:val="17"/>
              </w:rPr>
              <w:t xml:space="preserve">    S2, Logistic chained imputation (LCI)</w:t>
            </w:r>
          </w:p>
        </w:tc>
        <w:tc>
          <w:tcPr>
            <w:tcW w:type="dxa" w:w="1872"/>
          </w:tcPr>
          <w:p>
            <w:pPr>
              <w:spacing w:line="240" w:lineRule="auto" w:before="20" w:after="20"/>
              <w:jc w:val="center"/>
            </w:pPr>
            <w:r/>
            <w:r>
              <w:rPr>
                <w:rFonts w:ascii="Arial" w:hAnsi="Arial" w:eastAsia="Arial" w:cs="Arial"/>
                <w:b w:val="0"/>
                <w:i w:val="0"/>
                <w:color w:val="000000"/>
                <w:sz w:val="17"/>
              </w:rPr>
              <w:t>−3.4 (−7.1, 0.8)</w:t>
            </w:r>
          </w:p>
        </w:tc>
        <w:tc>
          <w:tcPr>
            <w:tcW w:type="dxa" w:w="1872"/>
          </w:tcPr>
          <w:p>
            <w:pPr>
              <w:spacing w:line="240" w:lineRule="auto" w:before="20" w:after="20"/>
              <w:jc w:val="center"/>
            </w:pPr>
            <w:r/>
            <w:r>
              <w:rPr>
                <w:rFonts w:ascii="Arial" w:hAnsi="Arial" w:eastAsia="Arial" w:cs="Arial"/>
                <w:b w:val="0"/>
                <w:i w:val="0"/>
                <w:color w:val="000000"/>
                <w:sz w:val="17"/>
              </w:rPr>
              <w:t>−0.8 (−2.5, 0.6)</w:t>
            </w:r>
          </w:p>
        </w:tc>
        <w:tc>
          <w:tcPr>
            <w:tcW w:type="dxa" w:w="1872"/>
          </w:tcPr>
          <w:p>
            <w:pPr>
              <w:spacing w:line="240" w:lineRule="auto" w:before="20" w:after="20"/>
              <w:jc w:val="center"/>
            </w:pPr>
            <w:r/>
            <w:r>
              <w:rPr>
                <w:rFonts w:ascii="Arial" w:hAnsi="Arial" w:eastAsia="Arial" w:cs="Arial"/>
                <w:b w:val="0"/>
                <w:i w:val="0"/>
                <w:color w:val="000000"/>
                <w:sz w:val="17"/>
              </w:rPr>
              <w:t>−2.6 (−6.3, 1.5)</w:t>
            </w:r>
          </w:p>
        </w:tc>
      </w:tr>
      <w:tr>
        <w:tc>
          <w:tcPr>
            <w:tcW w:type="dxa" w:w="9360"/>
            <w:gridSpan w:val="4"/>
          </w:tcPr>
          <w:p>
            <w:pPr>
              <w:spacing w:line="240" w:lineRule="auto" w:before="20" w:after="20"/>
            </w:pPr>
            <w:r/>
            <w:r>
              <w:rPr>
                <w:rFonts w:ascii="Arial" w:hAnsi="Arial" w:eastAsia="Arial" w:cs="Arial"/>
                <w:b/>
                <w:i w:val="0"/>
                <w:color w:val="000000"/>
                <w:sz w:val="17"/>
              </w:rPr>
              <w:t>Other thresholds and model families, S2</w:t>
            </w:r>
          </w:p>
        </w:tc>
      </w:tr>
      <w:tr>
        <w:tc>
          <w:tcPr>
            <w:tcW w:type="dxa" w:w="3744"/>
          </w:tcPr>
          <w:p>
            <w:pPr>
              <w:spacing w:line="240" w:lineRule="auto" w:before="20" w:after="20"/>
            </w:pPr>
            <w:r/>
            <w:r>
              <w:rPr>
                <w:rFonts w:ascii="Arial" w:hAnsi="Arial" w:eastAsia="Arial" w:cs="Arial"/>
                <w:b w:val="0"/>
                <w:i w:val="0"/>
                <w:color w:val="000000"/>
                <w:sz w:val="17"/>
              </w:rPr>
              <w:t xml:space="preserve">    XGBoost Youden, Mean</w:t>
            </w:r>
          </w:p>
        </w:tc>
        <w:tc>
          <w:tcPr>
            <w:tcW w:type="dxa" w:w="1872"/>
          </w:tcPr>
          <w:p>
            <w:pPr>
              <w:spacing w:line="240" w:lineRule="auto" w:before="20" w:after="20"/>
              <w:jc w:val="center"/>
            </w:pPr>
            <w:r/>
            <w:r>
              <w:rPr>
                <w:rFonts w:ascii="Arial" w:hAnsi="Arial" w:eastAsia="Arial" w:cs="Arial"/>
                <w:b w:val="0"/>
                <w:i w:val="0"/>
                <w:color w:val="000000"/>
                <w:sz w:val="17"/>
              </w:rPr>
              <w:t>12.9 (8.9, 17.5)</w:t>
            </w:r>
          </w:p>
        </w:tc>
        <w:tc>
          <w:tcPr>
            <w:tcW w:type="dxa" w:w="1872"/>
          </w:tcPr>
          <w:p>
            <w:pPr>
              <w:spacing w:line="240" w:lineRule="auto" w:before="20" w:after="20"/>
              <w:jc w:val="center"/>
            </w:pPr>
            <w:r/>
            <w:r>
              <w:rPr>
                <w:rFonts w:ascii="Arial" w:hAnsi="Arial" w:eastAsia="Arial" w:cs="Arial"/>
                <w:b w:val="0"/>
                <w:i w:val="0"/>
                <w:color w:val="000000"/>
                <w:sz w:val="17"/>
              </w:rPr>
              <w:t>1.8 (0.1, 3.9)</w:t>
            </w:r>
          </w:p>
        </w:tc>
        <w:tc>
          <w:tcPr>
            <w:tcW w:type="dxa" w:w="1872"/>
          </w:tcPr>
          <w:p>
            <w:pPr>
              <w:spacing w:line="240" w:lineRule="auto" w:before="20" w:after="20"/>
              <w:jc w:val="center"/>
            </w:pPr>
            <w:r/>
            <w:r>
              <w:rPr>
                <w:rFonts w:ascii="Arial" w:hAnsi="Arial" w:eastAsia="Arial" w:cs="Arial"/>
                <w:b w:val="0"/>
                <w:i w:val="0"/>
                <w:color w:val="000000"/>
                <w:sz w:val="17"/>
              </w:rPr>
              <w:t>11.1 (6.8, 14.9)</w:t>
            </w:r>
          </w:p>
        </w:tc>
      </w:tr>
      <w:tr>
        <w:tc>
          <w:tcPr>
            <w:tcW w:type="dxa" w:w="3744"/>
          </w:tcPr>
          <w:p>
            <w:pPr>
              <w:spacing w:line="240" w:lineRule="auto" w:before="20" w:after="20"/>
            </w:pPr>
            <w:r/>
            <w:r>
              <w:rPr>
                <w:rFonts w:ascii="Arial" w:hAnsi="Arial" w:eastAsia="Arial" w:cs="Arial"/>
                <w:b w:val="0"/>
                <w:i w:val="0"/>
                <w:color w:val="000000"/>
                <w:sz w:val="17"/>
              </w:rPr>
              <w:t xml:space="preserve">    XGBoost Youden, KNN</w:t>
            </w:r>
          </w:p>
        </w:tc>
        <w:tc>
          <w:tcPr>
            <w:tcW w:type="dxa" w:w="1872"/>
          </w:tcPr>
          <w:p>
            <w:pPr>
              <w:spacing w:line="240" w:lineRule="auto" w:before="20" w:after="20"/>
              <w:jc w:val="center"/>
            </w:pPr>
            <w:r/>
            <w:r>
              <w:rPr>
                <w:rFonts w:ascii="Arial" w:hAnsi="Arial" w:eastAsia="Arial" w:cs="Arial"/>
                <w:b w:val="0"/>
                <w:i w:val="0"/>
                <w:color w:val="000000"/>
                <w:sz w:val="17"/>
              </w:rPr>
              <w:t>5.7 (2.4, 8.8)</w:t>
            </w:r>
          </w:p>
        </w:tc>
        <w:tc>
          <w:tcPr>
            <w:tcW w:type="dxa" w:w="1872"/>
          </w:tcPr>
          <w:p>
            <w:pPr>
              <w:spacing w:line="240" w:lineRule="auto" w:before="20" w:after="20"/>
              <w:jc w:val="center"/>
            </w:pPr>
            <w:r/>
            <w:r>
              <w:rPr>
                <w:rFonts w:ascii="Arial" w:hAnsi="Arial" w:eastAsia="Arial" w:cs="Arial"/>
                <w:b w:val="0"/>
                <w:i w:val="0"/>
                <w:color w:val="000000"/>
                <w:sz w:val="17"/>
              </w:rPr>
              <w:t>0.6 (−1.1, 2.4)</w:t>
            </w:r>
          </w:p>
        </w:tc>
        <w:tc>
          <w:tcPr>
            <w:tcW w:type="dxa" w:w="1872"/>
          </w:tcPr>
          <w:p>
            <w:pPr>
              <w:spacing w:line="240" w:lineRule="auto" w:before="20" w:after="20"/>
              <w:jc w:val="center"/>
            </w:pPr>
            <w:r/>
            <w:r>
              <w:rPr>
                <w:rFonts w:ascii="Arial" w:hAnsi="Arial" w:eastAsia="Arial" w:cs="Arial"/>
                <w:b w:val="0"/>
                <w:i w:val="0"/>
                <w:color w:val="000000"/>
                <w:sz w:val="17"/>
              </w:rPr>
              <w:t>5.2 (1.8, 8.8)</w:t>
            </w:r>
          </w:p>
        </w:tc>
      </w:tr>
      <w:tr>
        <w:tc>
          <w:tcPr>
            <w:tcW w:type="dxa" w:w="3744"/>
          </w:tcPr>
          <w:p>
            <w:pPr>
              <w:spacing w:line="240" w:lineRule="auto" w:before="20" w:after="20"/>
            </w:pPr>
            <w:r/>
            <w:r>
              <w:rPr>
                <w:rFonts w:ascii="Arial" w:hAnsi="Arial" w:eastAsia="Arial" w:cs="Arial"/>
                <w:b w:val="0"/>
                <w:i w:val="0"/>
                <w:color w:val="000000"/>
                <w:sz w:val="17"/>
              </w:rPr>
              <w:t xml:space="preserve">    XGBoost Youden, Stochastic iterative imputation</w:t>
            </w:r>
          </w:p>
        </w:tc>
        <w:tc>
          <w:tcPr>
            <w:tcW w:type="dxa" w:w="1872"/>
          </w:tcPr>
          <w:p>
            <w:pPr>
              <w:spacing w:line="240" w:lineRule="auto" w:before="20" w:after="20"/>
              <w:jc w:val="center"/>
            </w:pPr>
            <w:r/>
            <w:r>
              <w:rPr>
                <w:rFonts w:ascii="Arial" w:hAnsi="Arial" w:eastAsia="Arial" w:cs="Arial"/>
                <w:b w:val="0"/>
                <w:i w:val="0"/>
                <w:color w:val="000000"/>
                <w:sz w:val="17"/>
              </w:rPr>
              <w:t>0.9 (−4.3, 5.1)</w:t>
            </w:r>
          </w:p>
        </w:tc>
        <w:tc>
          <w:tcPr>
            <w:tcW w:type="dxa" w:w="1872"/>
          </w:tcPr>
          <w:p>
            <w:pPr>
              <w:spacing w:line="240" w:lineRule="auto" w:before="20" w:after="20"/>
              <w:jc w:val="center"/>
            </w:pPr>
            <w:r/>
            <w:r>
              <w:rPr>
                <w:rFonts w:ascii="Arial" w:hAnsi="Arial" w:eastAsia="Arial" w:cs="Arial"/>
                <w:b w:val="0"/>
                <w:i w:val="0"/>
                <w:color w:val="000000"/>
                <w:sz w:val="17"/>
              </w:rPr>
              <w:t>−0.2 (−2.0, 1.3)</w:t>
            </w:r>
          </w:p>
        </w:tc>
        <w:tc>
          <w:tcPr>
            <w:tcW w:type="dxa" w:w="1872"/>
          </w:tcPr>
          <w:p>
            <w:pPr>
              <w:spacing w:line="240" w:lineRule="auto" w:before="20" w:after="20"/>
              <w:jc w:val="center"/>
            </w:pPr>
            <w:r/>
            <w:r>
              <w:rPr>
                <w:rFonts w:ascii="Arial" w:hAnsi="Arial" w:eastAsia="Arial" w:cs="Arial"/>
                <w:b w:val="0"/>
                <w:i w:val="0"/>
                <w:color w:val="000000"/>
                <w:sz w:val="17"/>
              </w:rPr>
              <w:t>1.1 (−4.2, 5.4)</w:t>
            </w:r>
          </w:p>
        </w:tc>
      </w:tr>
      <w:tr>
        <w:tc>
          <w:tcPr>
            <w:tcW w:type="dxa" w:w="3744"/>
          </w:tcPr>
          <w:p>
            <w:pPr>
              <w:spacing w:line="240" w:lineRule="auto" w:before="20" w:after="20"/>
            </w:pPr>
            <w:r/>
            <w:r>
              <w:rPr>
                <w:rFonts w:ascii="Arial" w:hAnsi="Arial" w:eastAsia="Arial" w:cs="Arial"/>
                <w:b w:val="0"/>
                <w:i w:val="0"/>
                <w:color w:val="000000"/>
                <w:sz w:val="17"/>
              </w:rPr>
              <w:t xml:space="preserve">    XGBoost 20% FPR, Mean</w:t>
            </w:r>
          </w:p>
        </w:tc>
        <w:tc>
          <w:tcPr>
            <w:tcW w:type="dxa" w:w="1872"/>
          </w:tcPr>
          <w:p>
            <w:pPr>
              <w:spacing w:line="240" w:lineRule="auto" w:before="20" w:after="20"/>
              <w:jc w:val="center"/>
            </w:pPr>
            <w:r/>
            <w:r>
              <w:rPr>
                <w:rFonts w:ascii="Arial" w:hAnsi="Arial" w:eastAsia="Arial" w:cs="Arial"/>
                <w:b w:val="0"/>
                <w:i w:val="0"/>
                <w:color w:val="000000"/>
                <w:sz w:val="17"/>
              </w:rPr>
              <w:t>12.6 (8.7, 18.2)</w:t>
            </w:r>
          </w:p>
        </w:tc>
        <w:tc>
          <w:tcPr>
            <w:tcW w:type="dxa" w:w="1872"/>
          </w:tcPr>
          <w:p>
            <w:pPr>
              <w:spacing w:line="240" w:lineRule="auto" w:before="20" w:after="20"/>
              <w:jc w:val="center"/>
            </w:pPr>
            <w:r/>
            <w:r>
              <w:rPr>
                <w:rFonts w:ascii="Arial" w:hAnsi="Arial" w:eastAsia="Arial" w:cs="Arial"/>
                <w:b w:val="0"/>
                <w:i w:val="0"/>
                <w:color w:val="000000"/>
                <w:sz w:val="17"/>
              </w:rPr>
              <w:t>1.8 (0.1, 4.0)</w:t>
            </w:r>
          </w:p>
        </w:tc>
        <w:tc>
          <w:tcPr>
            <w:tcW w:type="dxa" w:w="1872"/>
          </w:tcPr>
          <w:p>
            <w:pPr>
              <w:spacing w:line="240" w:lineRule="auto" w:before="20" w:after="20"/>
              <w:jc w:val="center"/>
            </w:pPr>
            <w:r/>
            <w:r>
              <w:rPr>
                <w:rFonts w:ascii="Arial" w:hAnsi="Arial" w:eastAsia="Arial" w:cs="Arial"/>
                <w:b w:val="0"/>
                <w:i w:val="0"/>
                <w:color w:val="000000"/>
                <w:sz w:val="17"/>
              </w:rPr>
              <w:t>10.7 (6.2, 15.9)</w:t>
            </w:r>
          </w:p>
        </w:tc>
      </w:tr>
      <w:tr>
        <w:tc>
          <w:tcPr>
            <w:tcW w:type="dxa" w:w="3744"/>
          </w:tcPr>
          <w:p>
            <w:pPr>
              <w:spacing w:line="240" w:lineRule="auto" w:before="20" w:after="20"/>
            </w:pPr>
            <w:r/>
            <w:r>
              <w:rPr>
                <w:rFonts w:ascii="Arial" w:hAnsi="Arial" w:eastAsia="Arial" w:cs="Arial"/>
                <w:b w:val="0"/>
                <w:i w:val="0"/>
                <w:color w:val="000000"/>
                <w:sz w:val="17"/>
              </w:rPr>
              <w:t xml:space="preserve">    XGBoost 20% FPR, KNN</w:t>
            </w:r>
          </w:p>
        </w:tc>
        <w:tc>
          <w:tcPr>
            <w:tcW w:type="dxa" w:w="1872"/>
          </w:tcPr>
          <w:p>
            <w:pPr>
              <w:spacing w:line="240" w:lineRule="auto" w:before="20" w:after="20"/>
              <w:jc w:val="center"/>
            </w:pPr>
            <w:r/>
            <w:r>
              <w:rPr>
                <w:rFonts w:ascii="Arial" w:hAnsi="Arial" w:eastAsia="Arial" w:cs="Arial"/>
                <w:b w:val="0"/>
                <w:i w:val="0"/>
                <w:color w:val="000000"/>
                <w:sz w:val="17"/>
              </w:rPr>
              <w:t>5.6 (2.1, 8.3)</w:t>
            </w:r>
          </w:p>
        </w:tc>
        <w:tc>
          <w:tcPr>
            <w:tcW w:type="dxa" w:w="1872"/>
          </w:tcPr>
          <w:p>
            <w:pPr>
              <w:spacing w:line="240" w:lineRule="auto" w:before="20" w:after="20"/>
              <w:jc w:val="center"/>
            </w:pPr>
            <w:r/>
            <w:r>
              <w:rPr>
                <w:rFonts w:ascii="Arial" w:hAnsi="Arial" w:eastAsia="Arial" w:cs="Arial"/>
                <w:b w:val="0"/>
                <w:i w:val="0"/>
                <w:color w:val="000000"/>
                <w:sz w:val="17"/>
              </w:rPr>
              <w:t>0.6 (−1.0, 2.4)</w:t>
            </w:r>
          </w:p>
        </w:tc>
        <w:tc>
          <w:tcPr>
            <w:tcW w:type="dxa" w:w="1872"/>
          </w:tcPr>
          <w:p>
            <w:pPr>
              <w:spacing w:line="240" w:lineRule="auto" w:before="20" w:after="20"/>
              <w:jc w:val="center"/>
            </w:pPr>
            <w:r/>
            <w:r>
              <w:rPr>
                <w:rFonts w:ascii="Arial" w:hAnsi="Arial" w:eastAsia="Arial" w:cs="Arial"/>
                <w:b w:val="0"/>
                <w:i w:val="0"/>
                <w:color w:val="000000"/>
                <w:sz w:val="17"/>
              </w:rPr>
              <w:t>5.0 (1.0, 8.1)</w:t>
            </w:r>
          </w:p>
        </w:tc>
      </w:tr>
      <w:tr>
        <w:tc>
          <w:tcPr>
            <w:tcW w:type="dxa" w:w="3744"/>
          </w:tcPr>
          <w:p>
            <w:pPr>
              <w:spacing w:line="240" w:lineRule="auto" w:before="20" w:after="20"/>
            </w:pPr>
            <w:r/>
            <w:r>
              <w:rPr>
                <w:rFonts w:ascii="Arial" w:hAnsi="Arial" w:eastAsia="Arial" w:cs="Arial"/>
                <w:b w:val="0"/>
                <w:i w:val="0"/>
                <w:color w:val="000000"/>
                <w:sz w:val="17"/>
              </w:rPr>
              <w:t xml:space="preserve">    XGBoost 20% FPR, Stochastic iterative imputation</w:t>
            </w:r>
          </w:p>
        </w:tc>
        <w:tc>
          <w:tcPr>
            <w:tcW w:type="dxa" w:w="1872"/>
          </w:tcPr>
          <w:p>
            <w:pPr>
              <w:spacing w:line="240" w:lineRule="auto" w:before="20" w:after="20"/>
              <w:jc w:val="center"/>
            </w:pPr>
            <w:r/>
            <w:r>
              <w:rPr>
                <w:rFonts w:ascii="Arial" w:hAnsi="Arial" w:eastAsia="Arial" w:cs="Arial"/>
                <w:b w:val="0"/>
                <w:i w:val="0"/>
                <w:color w:val="000000"/>
                <w:sz w:val="17"/>
              </w:rPr>
              <w:t>1.4 (−2.0, 5.2)</w:t>
            </w:r>
          </w:p>
        </w:tc>
        <w:tc>
          <w:tcPr>
            <w:tcW w:type="dxa" w:w="1872"/>
          </w:tcPr>
          <w:p>
            <w:pPr>
              <w:spacing w:line="240" w:lineRule="auto" w:before="20" w:after="20"/>
              <w:jc w:val="center"/>
            </w:pPr>
            <w:r/>
            <w:r>
              <w:rPr>
                <w:rFonts w:ascii="Arial" w:hAnsi="Arial" w:eastAsia="Arial" w:cs="Arial"/>
                <w:b w:val="0"/>
                <w:i w:val="0"/>
                <w:color w:val="000000"/>
                <w:sz w:val="17"/>
              </w:rPr>
              <w:t>0.0 (−1.7, 1.7)</w:t>
            </w:r>
          </w:p>
        </w:tc>
        <w:tc>
          <w:tcPr>
            <w:tcW w:type="dxa" w:w="1872"/>
          </w:tcPr>
          <w:p>
            <w:pPr>
              <w:spacing w:line="240" w:lineRule="auto" w:before="20" w:after="20"/>
              <w:jc w:val="center"/>
            </w:pPr>
            <w:r/>
            <w:r>
              <w:rPr>
                <w:rFonts w:ascii="Arial" w:hAnsi="Arial" w:eastAsia="Arial" w:cs="Arial"/>
                <w:b w:val="0"/>
                <w:i w:val="0"/>
                <w:color w:val="000000"/>
                <w:sz w:val="17"/>
              </w:rPr>
              <w:t>1.4 (−2.4, 5.2)</w:t>
            </w:r>
          </w:p>
        </w:tc>
      </w:tr>
      <w:tr>
        <w:tc>
          <w:tcPr>
            <w:tcW w:type="dxa" w:w="3744"/>
          </w:tcPr>
          <w:p>
            <w:pPr>
              <w:spacing w:line="240" w:lineRule="auto" w:before="20" w:after="20"/>
            </w:pPr>
            <w:r/>
            <w:r>
              <w:rPr>
                <w:rFonts w:ascii="Arial" w:hAnsi="Arial" w:eastAsia="Arial" w:cs="Arial"/>
                <w:b w:val="0"/>
                <w:i w:val="0"/>
                <w:color w:val="000000"/>
                <w:sz w:val="17"/>
              </w:rPr>
              <w:t xml:space="preserve">    Logistic regression, Mean</w:t>
            </w:r>
          </w:p>
        </w:tc>
        <w:tc>
          <w:tcPr>
            <w:tcW w:type="dxa" w:w="1872"/>
          </w:tcPr>
          <w:p>
            <w:pPr>
              <w:spacing w:line="240" w:lineRule="auto" w:before="20" w:after="20"/>
              <w:jc w:val="center"/>
            </w:pPr>
            <w:r/>
            <w:r>
              <w:rPr>
                <w:rFonts w:ascii="Arial" w:hAnsi="Arial" w:eastAsia="Arial" w:cs="Arial"/>
                <w:b w:val="0"/>
                <w:i w:val="0"/>
                <w:color w:val="000000"/>
                <w:sz w:val="17"/>
              </w:rPr>
              <w:t>2.5 [−0.4 to 4.6]</w:t>
            </w:r>
          </w:p>
        </w:tc>
        <w:tc>
          <w:tcPr>
            <w:tcW w:type="dxa" w:w="1872"/>
          </w:tcPr>
          <w:p>
            <w:pPr>
              <w:spacing w:line="240" w:lineRule="auto" w:before="20" w:after="20"/>
              <w:jc w:val="center"/>
            </w:pPr>
            <w:r/>
            <w:r>
              <w:rPr>
                <w:rFonts w:ascii="Arial" w:hAnsi="Arial" w:eastAsia="Arial" w:cs="Arial"/>
                <w:b w:val="0"/>
                <w:i w:val="0"/>
                <w:color w:val="000000"/>
                <w:sz w:val="17"/>
              </w:rPr>
              <w:t>0.1 [−1.6 to 1.5]</w:t>
            </w:r>
          </w:p>
        </w:tc>
        <w:tc>
          <w:tcPr>
            <w:tcW w:type="dxa" w:w="1872"/>
          </w:tcPr>
          <w:p>
            <w:pPr>
              <w:spacing w:line="240" w:lineRule="auto" w:before="20" w:after="20"/>
              <w:jc w:val="center"/>
            </w:pPr>
            <w:r/>
            <w:r>
              <w:rPr>
                <w:rFonts w:ascii="Arial" w:hAnsi="Arial" w:eastAsia="Arial" w:cs="Arial"/>
                <w:b w:val="0"/>
                <w:i w:val="0"/>
                <w:color w:val="000000"/>
                <w:sz w:val="17"/>
              </w:rPr>
              <w:t>2.4 [−1.0 to 4.8]</w:t>
            </w:r>
          </w:p>
        </w:tc>
      </w:tr>
      <w:tr>
        <w:tc>
          <w:tcPr>
            <w:tcW w:type="dxa" w:w="3744"/>
          </w:tcPr>
          <w:p>
            <w:pPr>
              <w:spacing w:line="240" w:lineRule="auto" w:before="20" w:after="20"/>
            </w:pPr>
            <w:r/>
            <w:r>
              <w:rPr>
                <w:rFonts w:ascii="Arial" w:hAnsi="Arial" w:eastAsia="Arial" w:cs="Arial"/>
                <w:b w:val="0"/>
                <w:i w:val="0"/>
                <w:color w:val="000000"/>
                <w:sz w:val="17"/>
              </w:rPr>
              <w:t xml:space="preserve">    Logistic regression, KNN</w:t>
            </w:r>
          </w:p>
        </w:tc>
        <w:tc>
          <w:tcPr>
            <w:tcW w:type="dxa" w:w="1872"/>
          </w:tcPr>
          <w:p>
            <w:pPr>
              <w:spacing w:line="240" w:lineRule="auto" w:before="20" w:after="20"/>
              <w:jc w:val="center"/>
            </w:pPr>
            <w:r/>
            <w:r>
              <w:rPr>
                <w:rFonts w:ascii="Arial" w:hAnsi="Arial" w:eastAsia="Arial" w:cs="Arial"/>
                <w:b w:val="0"/>
                <w:i w:val="0"/>
                <w:color w:val="000000"/>
                <w:sz w:val="17"/>
              </w:rPr>
              <w:t>1.4 [−1.0 to 4.3]</w:t>
            </w:r>
          </w:p>
        </w:tc>
        <w:tc>
          <w:tcPr>
            <w:tcW w:type="dxa" w:w="1872"/>
          </w:tcPr>
          <w:p>
            <w:pPr>
              <w:spacing w:line="240" w:lineRule="auto" w:before="20" w:after="20"/>
              <w:jc w:val="center"/>
            </w:pPr>
            <w:r/>
            <w:r>
              <w:rPr>
                <w:rFonts w:ascii="Arial" w:hAnsi="Arial" w:eastAsia="Arial" w:cs="Arial"/>
                <w:b w:val="0"/>
                <w:i w:val="0"/>
                <w:color w:val="000000"/>
                <w:sz w:val="17"/>
              </w:rPr>
              <w:t>0.0 [−1.4 to 0.9]</w:t>
            </w:r>
          </w:p>
        </w:tc>
        <w:tc>
          <w:tcPr>
            <w:tcW w:type="dxa" w:w="1872"/>
          </w:tcPr>
          <w:p>
            <w:pPr>
              <w:spacing w:line="240" w:lineRule="auto" w:before="20" w:after="20"/>
              <w:jc w:val="center"/>
            </w:pPr>
            <w:r/>
            <w:r>
              <w:rPr>
                <w:rFonts w:ascii="Arial" w:hAnsi="Arial" w:eastAsia="Arial" w:cs="Arial"/>
                <w:b w:val="0"/>
                <w:i w:val="0"/>
                <w:color w:val="000000"/>
                <w:sz w:val="17"/>
              </w:rPr>
              <w:t>1.4 [−0.8 to 4.1]</w:t>
            </w:r>
          </w:p>
        </w:tc>
      </w:tr>
      <w:tr>
        <w:tc>
          <w:tcPr>
            <w:tcW w:type="dxa" w:w="3744"/>
          </w:tcPr>
          <w:p>
            <w:pPr>
              <w:spacing w:line="240" w:lineRule="auto" w:before="20" w:after="20"/>
            </w:pPr>
            <w:r/>
            <w:r>
              <w:rPr>
                <w:rFonts w:ascii="Arial" w:hAnsi="Arial" w:eastAsia="Arial" w:cs="Arial"/>
                <w:b w:val="0"/>
                <w:i w:val="0"/>
                <w:color w:val="000000"/>
                <w:sz w:val="17"/>
              </w:rPr>
              <w:t xml:space="preserve">    Logistic regression, Stochastic iterative imputation</w:t>
            </w:r>
          </w:p>
        </w:tc>
        <w:tc>
          <w:tcPr>
            <w:tcW w:type="dxa" w:w="1872"/>
          </w:tcPr>
          <w:p>
            <w:pPr>
              <w:spacing w:line="240" w:lineRule="auto" w:before="20" w:after="20"/>
              <w:jc w:val="center"/>
            </w:pPr>
            <w:r/>
            <w:r>
              <w:rPr>
                <w:rFonts w:ascii="Arial" w:hAnsi="Arial" w:eastAsia="Arial" w:cs="Arial"/>
                <w:b w:val="0"/>
                <w:i w:val="0"/>
                <w:color w:val="000000"/>
                <w:sz w:val="17"/>
              </w:rPr>
              <w:t>−0.1 [−2.0 to 2.0]</w:t>
            </w:r>
          </w:p>
        </w:tc>
        <w:tc>
          <w:tcPr>
            <w:tcW w:type="dxa" w:w="1872"/>
          </w:tcPr>
          <w:p>
            <w:pPr>
              <w:spacing w:line="240" w:lineRule="auto" w:before="20" w:after="20"/>
              <w:jc w:val="center"/>
            </w:pPr>
            <w:r/>
            <w:r>
              <w:rPr>
                <w:rFonts w:ascii="Arial" w:hAnsi="Arial" w:eastAsia="Arial" w:cs="Arial"/>
                <w:b w:val="0"/>
                <w:i w:val="0"/>
                <w:color w:val="000000"/>
                <w:sz w:val="17"/>
              </w:rPr>
              <w:t>−0.3 [−1.7 to 0.5]</w:t>
            </w:r>
          </w:p>
        </w:tc>
        <w:tc>
          <w:tcPr>
            <w:tcW w:type="dxa" w:w="1872"/>
          </w:tcPr>
          <w:p>
            <w:pPr>
              <w:spacing w:line="240" w:lineRule="auto" w:before="20" w:after="20"/>
              <w:jc w:val="center"/>
            </w:pPr>
            <w:r/>
            <w:r>
              <w:rPr>
                <w:rFonts w:ascii="Arial" w:hAnsi="Arial" w:eastAsia="Arial" w:cs="Arial"/>
                <w:b w:val="0"/>
                <w:i w:val="0"/>
                <w:color w:val="000000"/>
                <w:sz w:val="17"/>
              </w:rPr>
              <w:t>0.2 [−1.9 to 2.4]</w:t>
            </w:r>
          </w:p>
        </w:tc>
      </w:tr>
      <w:tr>
        <w:tc>
          <w:tcPr>
            <w:tcW w:type="dxa" w:w="3744"/>
          </w:tcPr>
          <w:p>
            <w:pPr>
              <w:spacing w:line="240" w:lineRule="auto" w:before="20" w:after="20"/>
            </w:pPr>
            <w:r/>
            <w:r>
              <w:rPr>
                <w:rFonts w:ascii="Arial" w:hAnsi="Arial" w:eastAsia="Arial" w:cs="Arial"/>
                <w:b w:val="0"/>
                <w:i w:val="0"/>
                <w:color w:val="000000"/>
                <w:sz w:val="17"/>
              </w:rPr>
              <w:t xml:space="preserve">    Random forest, Mean</w:t>
            </w:r>
          </w:p>
        </w:tc>
        <w:tc>
          <w:tcPr>
            <w:tcW w:type="dxa" w:w="1872"/>
          </w:tcPr>
          <w:p>
            <w:pPr>
              <w:spacing w:line="240" w:lineRule="auto" w:before="20" w:after="20"/>
              <w:jc w:val="center"/>
            </w:pPr>
            <w:r/>
            <w:r>
              <w:rPr>
                <w:rFonts w:ascii="Arial" w:hAnsi="Arial" w:eastAsia="Arial" w:cs="Arial"/>
                <w:b w:val="0"/>
                <w:i w:val="0"/>
                <w:color w:val="000000"/>
                <w:sz w:val="17"/>
              </w:rPr>
              <w:t>10.5 [8.1 to 12.3]</w:t>
            </w:r>
          </w:p>
        </w:tc>
        <w:tc>
          <w:tcPr>
            <w:tcW w:type="dxa" w:w="1872"/>
          </w:tcPr>
          <w:p>
            <w:pPr>
              <w:spacing w:line="240" w:lineRule="auto" w:before="20" w:after="20"/>
              <w:jc w:val="center"/>
            </w:pPr>
            <w:r/>
            <w:r>
              <w:rPr>
                <w:rFonts w:ascii="Arial" w:hAnsi="Arial" w:eastAsia="Arial" w:cs="Arial"/>
                <w:b w:val="0"/>
                <w:i w:val="0"/>
                <w:color w:val="000000"/>
                <w:sz w:val="17"/>
              </w:rPr>
              <w:t>1.5 [0.5 to 2.8]</w:t>
            </w:r>
          </w:p>
        </w:tc>
        <w:tc>
          <w:tcPr>
            <w:tcW w:type="dxa" w:w="1872"/>
          </w:tcPr>
          <w:p>
            <w:pPr>
              <w:spacing w:line="240" w:lineRule="auto" w:before="20" w:after="20"/>
              <w:jc w:val="center"/>
            </w:pPr>
            <w:r/>
            <w:r>
              <w:rPr>
                <w:rFonts w:ascii="Arial" w:hAnsi="Arial" w:eastAsia="Arial" w:cs="Arial"/>
                <w:b w:val="0"/>
                <w:i w:val="0"/>
                <w:color w:val="000000"/>
                <w:sz w:val="17"/>
              </w:rPr>
              <w:t>8.9 [6.0 to 11.4]</w:t>
            </w:r>
          </w:p>
        </w:tc>
      </w:tr>
      <w:tr>
        <w:tc>
          <w:tcPr>
            <w:tcW w:type="dxa" w:w="3744"/>
          </w:tcPr>
          <w:p>
            <w:pPr>
              <w:spacing w:line="240" w:lineRule="auto" w:before="20" w:after="20"/>
            </w:pPr>
            <w:r/>
            <w:r>
              <w:rPr>
                <w:rFonts w:ascii="Arial" w:hAnsi="Arial" w:eastAsia="Arial" w:cs="Arial"/>
                <w:b w:val="0"/>
                <w:i w:val="0"/>
                <w:color w:val="000000"/>
                <w:sz w:val="17"/>
              </w:rPr>
              <w:t xml:space="preserve">    Random forest, KNN</w:t>
            </w:r>
          </w:p>
        </w:tc>
        <w:tc>
          <w:tcPr>
            <w:tcW w:type="dxa" w:w="1872"/>
          </w:tcPr>
          <w:p>
            <w:pPr>
              <w:spacing w:line="240" w:lineRule="auto" w:before="20" w:after="20"/>
              <w:jc w:val="center"/>
            </w:pPr>
            <w:r/>
            <w:r>
              <w:rPr>
                <w:rFonts w:ascii="Arial" w:hAnsi="Arial" w:eastAsia="Arial" w:cs="Arial"/>
                <w:b w:val="0"/>
                <w:i w:val="0"/>
                <w:color w:val="000000"/>
                <w:sz w:val="17"/>
              </w:rPr>
              <w:t>5.2 [3.1 to 8.0]</w:t>
            </w:r>
          </w:p>
        </w:tc>
        <w:tc>
          <w:tcPr>
            <w:tcW w:type="dxa" w:w="1872"/>
          </w:tcPr>
          <w:p>
            <w:pPr>
              <w:spacing w:line="240" w:lineRule="auto" w:before="20" w:after="20"/>
              <w:jc w:val="center"/>
            </w:pPr>
            <w:r/>
            <w:r>
              <w:rPr>
                <w:rFonts w:ascii="Arial" w:hAnsi="Arial" w:eastAsia="Arial" w:cs="Arial"/>
                <w:b w:val="0"/>
                <w:i w:val="0"/>
                <w:color w:val="000000"/>
                <w:sz w:val="17"/>
              </w:rPr>
              <w:t>0.8 [0.0 to 1.7]</w:t>
            </w:r>
          </w:p>
        </w:tc>
        <w:tc>
          <w:tcPr>
            <w:tcW w:type="dxa" w:w="1872"/>
          </w:tcPr>
          <w:p>
            <w:pPr>
              <w:spacing w:line="240" w:lineRule="auto" w:before="20" w:after="20"/>
              <w:jc w:val="center"/>
            </w:pPr>
            <w:r/>
            <w:r>
              <w:rPr>
                <w:rFonts w:ascii="Arial" w:hAnsi="Arial" w:eastAsia="Arial" w:cs="Arial"/>
                <w:b w:val="0"/>
                <w:i w:val="0"/>
                <w:color w:val="000000"/>
                <w:sz w:val="17"/>
              </w:rPr>
              <w:t>4.4 [1.4 to 7.6]</w:t>
            </w:r>
          </w:p>
        </w:tc>
      </w:tr>
      <w:tr>
        <w:tc>
          <w:tcPr>
            <w:tcW w:type="dxa" w:w="3744"/>
          </w:tcPr>
          <w:p>
            <w:pPr>
              <w:spacing w:line="240" w:lineRule="auto" w:before="20" w:after="20"/>
            </w:pPr>
            <w:r/>
            <w:r>
              <w:rPr>
                <w:rFonts w:ascii="Arial" w:hAnsi="Arial" w:eastAsia="Arial" w:cs="Arial"/>
                <w:b w:val="0"/>
                <w:i w:val="0"/>
                <w:color w:val="000000"/>
                <w:sz w:val="17"/>
              </w:rPr>
              <w:t xml:space="preserve">    Random forest, Stochastic iterative imputation</w:t>
            </w:r>
          </w:p>
        </w:tc>
        <w:tc>
          <w:tcPr>
            <w:tcW w:type="dxa" w:w="1872"/>
          </w:tcPr>
          <w:p>
            <w:pPr>
              <w:spacing w:line="240" w:lineRule="auto" w:before="20" w:after="20"/>
              <w:jc w:val="center"/>
            </w:pPr>
            <w:r/>
            <w:r>
              <w:rPr>
                <w:rFonts w:ascii="Arial" w:hAnsi="Arial" w:eastAsia="Arial" w:cs="Arial"/>
                <w:b w:val="0"/>
                <w:i w:val="0"/>
                <w:color w:val="000000"/>
                <w:sz w:val="17"/>
              </w:rPr>
              <w:t>−4.2 [−6.2 to −1.7]</w:t>
            </w:r>
          </w:p>
        </w:tc>
        <w:tc>
          <w:tcPr>
            <w:tcW w:type="dxa" w:w="1872"/>
          </w:tcPr>
          <w:p>
            <w:pPr>
              <w:spacing w:line="240" w:lineRule="auto" w:before="20" w:after="20"/>
              <w:jc w:val="center"/>
            </w:pPr>
            <w:r/>
            <w:r>
              <w:rPr>
                <w:rFonts w:ascii="Arial" w:hAnsi="Arial" w:eastAsia="Arial" w:cs="Arial"/>
                <w:b w:val="0"/>
                <w:i w:val="0"/>
                <w:color w:val="000000"/>
                <w:sz w:val="17"/>
              </w:rPr>
              <w:t>−0.5 [−1.4 to 0.2]</w:t>
            </w:r>
          </w:p>
        </w:tc>
        <w:tc>
          <w:tcPr>
            <w:tcW w:type="dxa" w:w="1872"/>
          </w:tcPr>
          <w:p>
            <w:pPr>
              <w:spacing w:line="240" w:lineRule="auto" w:before="20" w:after="20"/>
              <w:jc w:val="center"/>
            </w:pPr>
            <w:r/>
            <w:r>
              <w:rPr>
                <w:rFonts w:ascii="Arial" w:hAnsi="Arial" w:eastAsia="Arial" w:cs="Arial"/>
                <w:b w:val="0"/>
                <w:i w:val="0"/>
                <w:color w:val="000000"/>
                <w:sz w:val="17"/>
              </w:rPr>
              <w:t>−3.7 [−5.7 to −0.8]</w:t>
            </w:r>
          </w:p>
        </w:tc>
      </w:tr>
      <w:tr>
        <w:tc>
          <w:tcPr>
            <w:tcW w:type="dxa" w:w="9360"/>
            <w:gridSpan w:val="4"/>
          </w:tcPr>
          <w:p>
            <w:pPr>
              <w:spacing w:line="240" w:lineRule="auto" w:before="20" w:after="20"/>
            </w:pPr>
            <w:r/>
            <w:r>
              <w:rPr>
                <w:rFonts w:ascii="Arial" w:hAnsi="Arial" w:eastAsia="Arial" w:cs="Arial"/>
                <w:b/>
                <w:i w:val="0"/>
                <w:color w:val="000000"/>
                <w:sz w:val="17"/>
              </w:rPr>
              <w:t>External validation, NHANES 2021–2023 (v3; CI conditional on the fitted model)</w:t>
            </w:r>
          </w:p>
        </w:tc>
      </w:tr>
      <w:tr>
        <w:tc>
          <w:tcPr>
            <w:tcW w:type="dxa" w:w="3744"/>
          </w:tcPr>
          <w:p>
            <w:pPr>
              <w:spacing w:line="240" w:lineRule="auto" w:before="20" w:after="20"/>
            </w:pPr>
            <w:r/>
            <w:r>
              <w:rPr>
                <w:rFonts w:ascii="Arial" w:hAnsi="Arial" w:eastAsia="Arial" w:cs="Arial"/>
                <w:b w:val="0"/>
                <w:i w:val="0"/>
                <w:color w:val="000000"/>
                <w:sz w:val="17"/>
              </w:rPr>
              <w:t xml:space="preserve">    S2, Mean</w:t>
            </w:r>
          </w:p>
        </w:tc>
        <w:tc>
          <w:tcPr>
            <w:tcW w:type="dxa" w:w="1872"/>
          </w:tcPr>
          <w:p>
            <w:pPr>
              <w:spacing w:line="240" w:lineRule="auto" w:before="20" w:after="20"/>
              <w:jc w:val="center"/>
            </w:pPr>
            <w:r/>
            <w:r>
              <w:rPr>
                <w:rFonts w:ascii="Arial" w:hAnsi="Arial" w:eastAsia="Arial" w:cs="Arial"/>
                <w:b w:val="0"/>
                <w:i w:val="0"/>
                <w:color w:val="000000"/>
                <w:sz w:val="17"/>
              </w:rPr>
              <w:t>9.1 (5.1, 12.7)</w:t>
            </w:r>
          </w:p>
        </w:tc>
        <w:tc>
          <w:tcPr>
            <w:tcW w:type="dxa" w:w="1872"/>
          </w:tcPr>
          <w:p>
            <w:pPr>
              <w:spacing w:line="240" w:lineRule="auto" w:before="20" w:after="20"/>
              <w:jc w:val="center"/>
            </w:pPr>
            <w:r/>
            <w:r>
              <w:rPr>
                <w:rFonts w:ascii="Arial" w:hAnsi="Arial" w:eastAsia="Arial" w:cs="Arial"/>
                <w:b w:val="0"/>
                <w:i w:val="0"/>
                <w:color w:val="000000"/>
                <w:sz w:val="17"/>
              </w:rPr>
              <w:t>1.4 (0.7, 2.1)</w:t>
            </w:r>
          </w:p>
        </w:tc>
        <w:tc>
          <w:tcPr>
            <w:tcW w:type="dxa" w:w="1872"/>
          </w:tcPr>
          <w:p>
            <w:pPr>
              <w:spacing w:line="240" w:lineRule="auto" w:before="20" w:after="20"/>
              <w:jc w:val="center"/>
            </w:pPr>
            <w:r/>
            <w:r>
              <w:rPr>
                <w:rFonts w:ascii="Arial" w:hAnsi="Arial" w:eastAsia="Arial" w:cs="Arial"/>
                <w:b w:val="0"/>
                <w:i w:val="0"/>
                <w:color w:val="000000"/>
                <w:sz w:val="17"/>
              </w:rPr>
              <w:t>7.8 (3.5, 11.5)</w:t>
            </w:r>
          </w:p>
        </w:tc>
      </w:tr>
      <w:tr>
        <w:tc>
          <w:tcPr>
            <w:tcW w:type="dxa" w:w="3744"/>
          </w:tcPr>
          <w:p>
            <w:pPr>
              <w:spacing w:line="240" w:lineRule="auto" w:before="20" w:after="20"/>
            </w:pPr>
            <w:r/>
            <w:r>
              <w:rPr>
                <w:rFonts w:ascii="Arial" w:hAnsi="Arial" w:eastAsia="Arial" w:cs="Arial"/>
                <w:b w:val="0"/>
                <w:i w:val="0"/>
                <w:color w:val="000000"/>
                <w:sz w:val="17"/>
              </w:rPr>
              <w:t xml:space="preserve">    S2, KNN</w:t>
            </w:r>
          </w:p>
        </w:tc>
        <w:tc>
          <w:tcPr>
            <w:tcW w:type="dxa" w:w="1872"/>
          </w:tcPr>
          <w:p>
            <w:pPr>
              <w:spacing w:line="240" w:lineRule="auto" w:before="20" w:after="20"/>
              <w:jc w:val="center"/>
            </w:pPr>
            <w:r/>
            <w:r>
              <w:rPr>
                <w:rFonts w:ascii="Arial" w:hAnsi="Arial" w:eastAsia="Arial" w:cs="Arial"/>
                <w:b w:val="0"/>
                <w:i w:val="0"/>
                <w:color w:val="000000"/>
                <w:sz w:val="17"/>
              </w:rPr>
              <w:t>4.3 (1.3, 7.0)</w:t>
            </w:r>
          </w:p>
        </w:tc>
        <w:tc>
          <w:tcPr>
            <w:tcW w:type="dxa" w:w="1872"/>
          </w:tcPr>
          <w:p>
            <w:pPr>
              <w:spacing w:line="240" w:lineRule="auto" w:before="20" w:after="20"/>
              <w:jc w:val="center"/>
            </w:pPr>
            <w:r/>
            <w:r>
              <w:rPr>
                <w:rFonts w:ascii="Arial" w:hAnsi="Arial" w:eastAsia="Arial" w:cs="Arial"/>
                <w:b w:val="0"/>
                <w:i w:val="0"/>
                <w:color w:val="000000"/>
                <w:sz w:val="17"/>
              </w:rPr>
              <w:t>0.5 (0.0, 1.1)</w:t>
            </w:r>
          </w:p>
        </w:tc>
        <w:tc>
          <w:tcPr>
            <w:tcW w:type="dxa" w:w="1872"/>
          </w:tcPr>
          <w:p>
            <w:pPr>
              <w:spacing w:line="240" w:lineRule="auto" w:before="20" w:after="20"/>
              <w:jc w:val="center"/>
            </w:pPr>
            <w:r/>
            <w:r>
              <w:rPr>
                <w:rFonts w:ascii="Arial" w:hAnsi="Arial" w:eastAsia="Arial" w:cs="Arial"/>
                <w:b w:val="0"/>
                <w:i w:val="0"/>
                <w:color w:val="000000"/>
                <w:sz w:val="17"/>
              </w:rPr>
              <w:t>3.9 (0.6, 6.8)</w:t>
            </w:r>
          </w:p>
        </w:tc>
      </w:tr>
      <w:tr>
        <w:tc>
          <w:tcPr>
            <w:tcW w:type="dxa" w:w="3744"/>
          </w:tcPr>
          <w:p>
            <w:pPr>
              <w:spacing w:line="240" w:lineRule="auto" w:before="20" w:after="20"/>
            </w:pPr>
            <w:r/>
            <w:r>
              <w:rPr>
                <w:rFonts w:ascii="Arial" w:hAnsi="Arial" w:eastAsia="Arial" w:cs="Arial"/>
                <w:b w:val="0"/>
                <w:i w:val="0"/>
                <w:color w:val="000000"/>
                <w:sz w:val="17"/>
              </w:rPr>
              <w:t xml:space="preserve">    S2, SII</w:t>
            </w:r>
          </w:p>
        </w:tc>
        <w:tc>
          <w:tcPr>
            <w:tcW w:type="dxa" w:w="1872"/>
          </w:tcPr>
          <w:p>
            <w:pPr>
              <w:spacing w:line="240" w:lineRule="auto" w:before="20" w:after="20"/>
              <w:jc w:val="center"/>
            </w:pPr>
            <w:r/>
            <w:r>
              <w:rPr>
                <w:rFonts w:ascii="Arial" w:hAnsi="Arial" w:eastAsia="Arial" w:cs="Arial"/>
                <w:b w:val="0"/>
                <w:i w:val="0"/>
                <w:color w:val="000000"/>
                <w:sz w:val="17"/>
              </w:rPr>
              <w:t>−1.6 (−4.2, 0.5)</w:t>
            </w:r>
          </w:p>
        </w:tc>
        <w:tc>
          <w:tcPr>
            <w:tcW w:type="dxa" w:w="1872"/>
          </w:tcPr>
          <w:p>
            <w:pPr>
              <w:spacing w:line="240" w:lineRule="auto" w:before="20" w:after="20"/>
              <w:jc w:val="center"/>
            </w:pPr>
            <w:r/>
            <w:r>
              <w:rPr>
                <w:rFonts w:ascii="Arial" w:hAnsi="Arial" w:eastAsia="Arial" w:cs="Arial"/>
                <w:b w:val="0"/>
                <w:i w:val="0"/>
                <w:color w:val="000000"/>
                <w:sz w:val="17"/>
              </w:rPr>
              <w:t>−0.5 (−0.9, 0.0)</w:t>
            </w:r>
          </w:p>
        </w:tc>
        <w:tc>
          <w:tcPr>
            <w:tcW w:type="dxa" w:w="1872"/>
          </w:tcPr>
          <w:p>
            <w:pPr>
              <w:spacing w:line="240" w:lineRule="auto" w:before="20" w:after="20"/>
              <w:jc w:val="center"/>
            </w:pPr>
            <w:r/>
            <w:r>
              <w:rPr>
                <w:rFonts w:ascii="Arial" w:hAnsi="Arial" w:eastAsia="Arial" w:cs="Arial"/>
                <w:b w:val="0"/>
                <w:i w:val="0"/>
                <w:color w:val="000000"/>
                <w:sz w:val="17"/>
              </w:rPr>
              <w:t>−1.1 (−3.7, 1.0)</w:t>
            </w:r>
          </w:p>
        </w:tc>
      </w:tr>
      <w:tr>
        <w:tc>
          <w:tcPr>
            <w:tcW w:type="dxa" w:w="3744"/>
            <w:tcBorders>
              <w:bottom w:val="single" w:sz="12" w:color="000000"/>
            </w:tcBorders>
          </w:tcPr>
          <w:p>
            <w:pPr>
              <w:spacing w:line="240" w:lineRule="auto" w:before="20" w:after="20"/>
            </w:pPr>
            <w:r/>
            <w:r>
              <w:rPr>
                <w:rFonts w:ascii="Arial" w:hAnsi="Arial" w:eastAsia="Arial" w:cs="Arial"/>
                <w:b w:val="0"/>
                <w:i w:val="0"/>
                <w:color w:val="000000"/>
                <w:sz w:val="17"/>
              </w:rPr>
              <w:t xml:space="preserve">    S3, Mean</w:t>
            </w:r>
          </w:p>
        </w:tc>
        <w:tc>
          <w:tcPr>
            <w:tcW w:type="dxa" w:w="1872"/>
            <w:tcBorders>
              <w:bottom w:val="single" w:sz="12" w:color="000000"/>
            </w:tcBorders>
          </w:tcPr>
          <w:p>
            <w:pPr>
              <w:spacing w:line="240" w:lineRule="auto" w:before="20" w:after="20"/>
              <w:jc w:val="center"/>
            </w:pPr>
            <w:r/>
            <w:r>
              <w:rPr>
                <w:rFonts w:ascii="Arial" w:hAnsi="Arial" w:eastAsia="Arial" w:cs="Arial"/>
                <w:b w:val="0"/>
                <w:i w:val="0"/>
                <w:color w:val="000000"/>
                <w:sz w:val="17"/>
              </w:rPr>
              <w:t>1.5 (0.5, 2.6)</w:t>
            </w:r>
          </w:p>
        </w:tc>
        <w:tc>
          <w:tcPr>
            <w:tcW w:type="dxa" w:w="1872"/>
            <w:tcBorders>
              <w:bottom w:val="single" w:sz="12" w:color="000000"/>
            </w:tcBorders>
          </w:tcPr>
          <w:p>
            <w:pPr>
              <w:spacing w:line="240" w:lineRule="auto" w:before="20" w:after="20"/>
              <w:jc w:val="center"/>
            </w:pPr>
            <w:r/>
            <w:r>
              <w:rPr>
                <w:rFonts w:ascii="Arial" w:hAnsi="Arial" w:eastAsia="Arial" w:cs="Arial"/>
                <w:b w:val="0"/>
                <w:i w:val="0"/>
                <w:color w:val="000000"/>
                <w:sz w:val="17"/>
              </w:rPr>
              <w:t>1.2 (0.6, 2.0)</w:t>
            </w:r>
          </w:p>
        </w:tc>
        <w:tc>
          <w:tcPr>
            <w:tcW w:type="dxa" w:w="1872"/>
            <w:tcBorders>
              <w:bottom w:val="single" w:sz="12" w:color="000000"/>
            </w:tcBorders>
          </w:tcPr>
          <w:p>
            <w:pPr>
              <w:spacing w:line="240" w:lineRule="auto" w:before="20" w:after="20"/>
              <w:jc w:val="center"/>
            </w:pPr>
            <w:r/>
            <w:r>
              <w:rPr>
                <w:rFonts w:ascii="Arial" w:hAnsi="Arial" w:eastAsia="Arial" w:cs="Arial"/>
                <w:b w:val="0"/>
                <w:i w:val="0"/>
                <w:color w:val="000000"/>
                <w:sz w:val="17"/>
              </w:rPr>
              <w:t>0.3 (−1.1, 1.8)</w:t>
            </w:r>
          </w:p>
        </w:tc>
      </w:tr>
    </w:tbl>
    <w:p>
      <w:pPr>
        <w:spacing w:line="360" w:lineRule="auto" w:before="0" w:after="0"/>
      </w:pPr>
      <w:r>
        <w:rPr>
          <w:rFonts w:ascii="Arial" w:hAnsi="Arial" w:eastAsia="Arial" w:cs="Arial"/>
          <w:b/>
          <w:i w:val="0"/>
          <w:color w:val="000000"/>
          <w:sz w:val="22"/>
        </w:rPr>
        <w:t>Table 3. Prespecified control and exploratory sensitivity analyses.</w:t>
      </w:r>
      <w:r>
        <w:rPr>
          <w:rFonts w:ascii="Arial" w:hAnsi="Arial" w:eastAsia="Arial" w:cs="Arial"/>
          <w:b w:val="0"/>
          <w:i w:val="0"/>
          <w:color w:val="000000"/>
          <w:sz w:val="22"/>
        </w:rPr>
        <w:t xml:space="preserve"> Change in FNR (pp) for low- and high-income participants and their difference, XGBoost at the 80%-sensitivity threshold unless stated. The H2 control (S11) was prespecified; all other rows are exploratory. Selection weighting divides interview weights by the predicted probability of being a complete case. Values in parentheses are 95% CIs as in Table 2. Values in square brackets are point estimates with the range of the 20 split estimates (no bootstrap CI because these conditions were not rerun in the bootstrap). External validation used the 2013–2018 model on NHANES 2021–2023 (n = 4,381; 159 low- and 218 high-income CKD cases; 40 masks); its CIs (1,000 PSU bootstrap replicates) are conditional on the fitted model. Results for all scenarios, models, and thresholds are in the code repository. LCI, logistic chained imputation; other abbreviations as in Table 2.</w:t>
      </w:r>
    </w:p>
    <w:sectPr w:rsidR="00B33380" w:rsidRPr="00A93CC9" w:rsidSect="00A95107">
      <w:headerReference w:type="default" r:id="rId24"/>
      <w:footerReference w:type="default" r:id="rId2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2D728" w14:textId="77777777" w:rsidR="00D40C29" w:rsidRDefault="00D40C29" w:rsidP="00DA501B">
      <w:r>
        <w:separator/>
      </w:r>
    </w:p>
  </w:endnote>
  <w:endnote w:type="continuationSeparator" w:id="0">
    <w:p w14:paraId="3103EC77" w14:textId="77777777" w:rsidR="00D40C29" w:rsidRDefault="00D40C29" w:rsidP="00D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122361"/>
      <w:docPartObj>
        <w:docPartGallery w:val="Page Numbers (Bottom of Page)"/>
        <w:docPartUnique/>
      </w:docPartObj>
    </w:sdtPr>
    <w:sdtEndPr>
      <w:rPr>
        <w:noProof/>
      </w:rPr>
    </w:sdtEndPr>
    <w:sdtContent>
      <w:p w14:paraId="39E9D3AD" w14:textId="414C3B9C" w:rsidR="00B87931" w:rsidRDefault="00B87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6191E"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ABB0" w14:textId="77777777" w:rsidR="00D40C29" w:rsidRDefault="00D40C29" w:rsidP="00DA501B">
      <w:r>
        <w:separator/>
      </w:r>
    </w:p>
  </w:footnote>
  <w:footnote w:type="continuationSeparator" w:id="0">
    <w:p w14:paraId="2302AB7C" w14:textId="77777777" w:rsidR="00D40C29" w:rsidRDefault="00D40C29" w:rsidP="00D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3B40" w14:textId="78B53601" w:rsidR="00DA501B" w:rsidRDefault="00DA501B">
    <w:pPr>
      <w:pStyle w:val="Header"/>
    </w:pPr>
    <w:r>
      <w:rPr>
        <w:noProof/>
      </w:rPr>
      <w:drawing>
        <wp:anchor distT="0" distB="0" distL="114300" distR="114300" simplePos="0" relativeHeight="251657216" behindDoc="0" locked="0" layoutInCell="1" allowOverlap="1" wp14:anchorId="41D402D7" wp14:editId="4C4159CF">
          <wp:simplePos x="0" y="0"/>
          <wp:positionH relativeFrom="column">
            <wp:posOffset>-628650</wp:posOffset>
          </wp:positionH>
          <wp:positionV relativeFrom="paragraph">
            <wp:posOffset>-295275</wp:posOffset>
          </wp:positionV>
          <wp:extent cx="2242820" cy="542925"/>
          <wp:effectExtent l="0" t="0" r="0" b="0"/>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2820" cy="542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7EA"/>
    <w:multiLevelType w:val="hybridMultilevel"/>
    <w:tmpl w:val="3EA6E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A4431"/>
    <w:multiLevelType w:val="hybridMultilevel"/>
    <w:tmpl w:val="B7B64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38B8"/>
    <w:multiLevelType w:val="hybridMultilevel"/>
    <w:tmpl w:val="0B2E4950"/>
    <w:lvl w:ilvl="0" w:tplc="F7C8378E">
      <w:start w:val="1"/>
      <w:numFmt w:val="bullet"/>
      <w:lvlText w:val="o"/>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404"/>
    <w:multiLevelType w:val="hybridMultilevel"/>
    <w:tmpl w:val="8B7A31CC"/>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16BA0"/>
    <w:multiLevelType w:val="hybridMultilevel"/>
    <w:tmpl w:val="1556EF12"/>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A6966"/>
    <w:multiLevelType w:val="hybridMultilevel"/>
    <w:tmpl w:val="E96EA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614E9"/>
    <w:multiLevelType w:val="hybridMultilevel"/>
    <w:tmpl w:val="AA82B6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A1E4D"/>
    <w:multiLevelType w:val="hybridMultilevel"/>
    <w:tmpl w:val="D9F4271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45E67"/>
    <w:multiLevelType w:val="hybridMultilevel"/>
    <w:tmpl w:val="A382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2075E"/>
    <w:multiLevelType w:val="hybridMultilevel"/>
    <w:tmpl w:val="9E6886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1165B"/>
    <w:multiLevelType w:val="hybridMultilevel"/>
    <w:tmpl w:val="C07847E2"/>
    <w:lvl w:ilvl="0" w:tplc="C7F207BA">
      <w:start w:val="1"/>
      <w:numFmt w:val="decimal"/>
      <w:lvlText w:val="%1)"/>
      <w:lvlJc w:val="left"/>
      <w:pPr>
        <w:ind w:left="720" w:hanging="360"/>
      </w:pPr>
      <w:rPr>
        <w:rFonts w:ascii="Arial" w:hAnsi="Arial" w:cs="Arial"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1E7841"/>
    <w:multiLevelType w:val="hybridMultilevel"/>
    <w:tmpl w:val="B1D02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693D7C"/>
    <w:multiLevelType w:val="hybridMultilevel"/>
    <w:tmpl w:val="40C8C1B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41B7E"/>
    <w:multiLevelType w:val="hybridMultilevel"/>
    <w:tmpl w:val="B6EAB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C20BBC"/>
    <w:multiLevelType w:val="hybridMultilevel"/>
    <w:tmpl w:val="BB4CF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392CEA"/>
    <w:multiLevelType w:val="hybridMultilevel"/>
    <w:tmpl w:val="DF0E9D9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A63D8"/>
    <w:multiLevelType w:val="hybridMultilevel"/>
    <w:tmpl w:val="AACCE2C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93313D"/>
    <w:multiLevelType w:val="hybridMultilevel"/>
    <w:tmpl w:val="0E0655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9C4D0B"/>
    <w:multiLevelType w:val="hybridMultilevel"/>
    <w:tmpl w:val="D3A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185113"/>
    <w:multiLevelType w:val="hybridMultilevel"/>
    <w:tmpl w:val="3446AC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B77BDA"/>
    <w:multiLevelType w:val="hybridMultilevel"/>
    <w:tmpl w:val="22D46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DD00AF"/>
    <w:multiLevelType w:val="hybridMultilevel"/>
    <w:tmpl w:val="F334A90A"/>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832F08"/>
    <w:multiLevelType w:val="hybridMultilevel"/>
    <w:tmpl w:val="4060FFF8"/>
    <w:lvl w:ilvl="0" w:tplc="F7C8378E">
      <w:start w:val="1"/>
      <w:numFmt w:val="bullet"/>
      <w:lvlText w:val="o"/>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D25508"/>
    <w:multiLevelType w:val="hybridMultilevel"/>
    <w:tmpl w:val="E0BC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97712">
    <w:abstractNumId w:val="2"/>
  </w:num>
  <w:num w:numId="2" w16cid:durableId="529882009">
    <w:abstractNumId w:val="12"/>
  </w:num>
  <w:num w:numId="3" w16cid:durableId="809371687">
    <w:abstractNumId w:val="16"/>
  </w:num>
  <w:num w:numId="4" w16cid:durableId="313531025">
    <w:abstractNumId w:val="6"/>
  </w:num>
  <w:num w:numId="5" w16cid:durableId="720175274">
    <w:abstractNumId w:val="0"/>
  </w:num>
  <w:num w:numId="6" w16cid:durableId="796218289">
    <w:abstractNumId w:val="7"/>
  </w:num>
  <w:num w:numId="7" w16cid:durableId="253979234">
    <w:abstractNumId w:val="22"/>
  </w:num>
  <w:num w:numId="8" w16cid:durableId="271788137">
    <w:abstractNumId w:val="15"/>
  </w:num>
  <w:num w:numId="9" w16cid:durableId="1024282451">
    <w:abstractNumId w:val="19"/>
  </w:num>
  <w:num w:numId="10" w16cid:durableId="582691751">
    <w:abstractNumId w:val="13"/>
  </w:num>
  <w:num w:numId="11" w16cid:durableId="1664770868">
    <w:abstractNumId w:val="4"/>
  </w:num>
  <w:num w:numId="12" w16cid:durableId="1382944074">
    <w:abstractNumId w:val="14"/>
  </w:num>
  <w:num w:numId="13" w16cid:durableId="1796874480">
    <w:abstractNumId w:val="5"/>
  </w:num>
  <w:num w:numId="14" w16cid:durableId="2115706708">
    <w:abstractNumId w:val="10"/>
  </w:num>
  <w:num w:numId="15" w16cid:durableId="1557542715">
    <w:abstractNumId w:val="3"/>
  </w:num>
  <w:num w:numId="16" w16cid:durableId="396124445">
    <w:abstractNumId w:val="21"/>
  </w:num>
  <w:num w:numId="17" w16cid:durableId="673459035">
    <w:abstractNumId w:val="23"/>
  </w:num>
  <w:num w:numId="18" w16cid:durableId="500242448">
    <w:abstractNumId w:val="18"/>
  </w:num>
  <w:num w:numId="19" w16cid:durableId="789200071">
    <w:abstractNumId w:val="17"/>
  </w:num>
  <w:num w:numId="20" w16cid:durableId="1594124415">
    <w:abstractNumId w:val="9"/>
  </w:num>
  <w:num w:numId="21" w16cid:durableId="1196969802">
    <w:abstractNumId w:val="8"/>
  </w:num>
  <w:num w:numId="22" w16cid:durableId="1944335879">
    <w:abstractNumId w:val="20"/>
  </w:num>
  <w:num w:numId="23" w16cid:durableId="1481263676">
    <w:abstractNumId w:val="11"/>
  </w:num>
  <w:num w:numId="24" w16cid:durableId="1562788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229A8"/>
    <w:rsid w:val="000360F6"/>
    <w:rsid w:val="00037A94"/>
    <w:rsid w:val="00050062"/>
    <w:rsid w:val="00052D82"/>
    <w:rsid w:val="000538EC"/>
    <w:rsid w:val="0007304D"/>
    <w:rsid w:val="0008435A"/>
    <w:rsid w:val="000905D2"/>
    <w:rsid w:val="00093D41"/>
    <w:rsid w:val="000A5B9E"/>
    <w:rsid w:val="000C471E"/>
    <w:rsid w:val="000C4E91"/>
    <w:rsid w:val="000C7D3A"/>
    <w:rsid w:val="000E2380"/>
    <w:rsid w:val="000F7D12"/>
    <w:rsid w:val="00110122"/>
    <w:rsid w:val="00110226"/>
    <w:rsid w:val="00115B8D"/>
    <w:rsid w:val="00122C12"/>
    <w:rsid w:val="0012320F"/>
    <w:rsid w:val="0013096C"/>
    <w:rsid w:val="00135128"/>
    <w:rsid w:val="00140606"/>
    <w:rsid w:val="0015130A"/>
    <w:rsid w:val="00165D24"/>
    <w:rsid w:val="00165E43"/>
    <w:rsid w:val="00170F82"/>
    <w:rsid w:val="00180668"/>
    <w:rsid w:val="001846D1"/>
    <w:rsid w:val="0019296C"/>
    <w:rsid w:val="001B7600"/>
    <w:rsid w:val="001C6C9E"/>
    <w:rsid w:val="001E1A35"/>
    <w:rsid w:val="001E621A"/>
    <w:rsid w:val="001F0A5E"/>
    <w:rsid w:val="002106A0"/>
    <w:rsid w:val="002200C5"/>
    <w:rsid w:val="00230567"/>
    <w:rsid w:val="002371A2"/>
    <w:rsid w:val="00246DF9"/>
    <w:rsid w:val="00247026"/>
    <w:rsid w:val="002517B6"/>
    <w:rsid w:val="0026424D"/>
    <w:rsid w:val="00266B66"/>
    <w:rsid w:val="00284916"/>
    <w:rsid w:val="002A0A69"/>
    <w:rsid w:val="002A7103"/>
    <w:rsid w:val="002C768C"/>
    <w:rsid w:val="002E0424"/>
    <w:rsid w:val="002E41C5"/>
    <w:rsid w:val="002E7258"/>
    <w:rsid w:val="002F1A52"/>
    <w:rsid w:val="00300BE1"/>
    <w:rsid w:val="00301A8F"/>
    <w:rsid w:val="00302F0A"/>
    <w:rsid w:val="00304F25"/>
    <w:rsid w:val="0030673C"/>
    <w:rsid w:val="003108B2"/>
    <w:rsid w:val="00321499"/>
    <w:rsid w:val="00322642"/>
    <w:rsid w:val="003252F5"/>
    <w:rsid w:val="0032556B"/>
    <w:rsid w:val="00325B7C"/>
    <w:rsid w:val="00325BE6"/>
    <w:rsid w:val="0032692C"/>
    <w:rsid w:val="0033684A"/>
    <w:rsid w:val="00341104"/>
    <w:rsid w:val="00344E0C"/>
    <w:rsid w:val="00351487"/>
    <w:rsid w:val="00364E32"/>
    <w:rsid w:val="00365086"/>
    <w:rsid w:val="003666E9"/>
    <w:rsid w:val="00386082"/>
    <w:rsid w:val="00393330"/>
    <w:rsid w:val="003B0775"/>
    <w:rsid w:val="003B0C00"/>
    <w:rsid w:val="003B1AEE"/>
    <w:rsid w:val="003B1F6F"/>
    <w:rsid w:val="003B74F5"/>
    <w:rsid w:val="003C7E61"/>
    <w:rsid w:val="003D1B0E"/>
    <w:rsid w:val="003E1C79"/>
    <w:rsid w:val="003F38C6"/>
    <w:rsid w:val="00412393"/>
    <w:rsid w:val="004152F1"/>
    <w:rsid w:val="00426420"/>
    <w:rsid w:val="0042781F"/>
    <w:rsid w:val="00427A77"/>
    <w:rsid w:val="004515B4"/>
    <w:rsid w:val="00466E7F"/>
    <w:rsid w:val="004703B5"/>
    <w:rsid w:val="0047164E"/>
    <w:rsid w:val="00483118"/>
    <w:rsid w:val="004837E3"/>
    <w:rsid w:val="004844B6"/>
    <w:rsid w:val="00491CB1"/>
    <w:rsid w:val="00496F90"/>
    <w:rsid w:val="004970A4"/>
    <w:rsid w:val="004A627F"/>
    <w:rsid w:val="004D3039"/>
    <w:rsid w:val="004D65B2"/>
    <w:rsid w:val="004F0740"/>
    <w:rsid w:val="005008FB"/>
    <w:rsid w:val="0050158D"/>
    <w:rsid w:val="00506089"/>
    <w:rsid w:val="00514739"/>
    <w:rsid w:val="00523687"/>
    <w:rsid w:val="00523D06"/>
    <w:rsid w:val="00527B76"/>
    <w:rsid w:val="00546195"/>
    <w:rsid w:val="00550023"/>
    <w:rsid w:val="00552DFB"/>
    <w:rsid w:val="00562D4F"/>
    <w:rsid w:val="005637FB"/>
    <w:rsid w:val="00591D4C"/>
    <w:rsid w:val="00595A24"/>
    <w:rsid w:val="00596ADA"/>
    <w:rsid w:val="005B4DF8"/>
    <w:rsid w:val="005C01B8"/>
    <w:rsid w:val="005C7EFE"/>
    <w:rsid w:val="005D0DCA"/>
    <w:rsid w:val="005D3ECC"/>
    <w:rsid w:val="005D5998"/>
    <w:rsid w:val="005E725D"/>
    <w:rsid w:val="005F5604"/>
    <w:rsid w:val="005F7B2F"/>
    <w:rsid w:val="00602A02"/>
    <w:rsid w:val="00603862"/>
    <w:rsid w:val="00611A16"/>
    <w:rsid w:val="00617E63"/>
    <w:rsid w:val="00634015"/>
    <w:rsid w:val="006517BA"/>
    <w:rsid w:val="00653280"/>
    <w:rsid w:val="006558B4"/>
    <w:rsid w:val="0065737D"/>
    <w:rsid w:val="00671F5C"/>
    <w:rsid w:val="006763AB"/>
    <w:rsid w:val="00684FEB"/>
    <w:rsid w:val="006A2F10"/>
    <w:rsid w:val="006A31C1"/>
    <w:rsid w:val="006A62A9"/>
    <w:rsid w:val="006B748F"/>
    <w:rsid w:val="006C0411"/>
    <w:rsid w:val="006C4E72"/>
    <w:rsid w:val="006C606D"/>
    <w:rsid w:val="006C63A7"/>
    <w:rsid w:val="006D5D51"/>
    <w:rsid w:val="006F3BED"/>
    <w:rsid w:val="0070666D"/>
    <w:rsid w:val="00710910"/>
    <w:rsid w:val="007134DF"/>
    <w:rsid w:val="0072311E"/>
    <w:rsid w:val="00730E0D"/>
    <w:rsid w:val="00742A54"/>
    <w:rsid w:val="00746822"/>
    <w:rsid w:val="00775A21"/>
    <w:rsid w:val="00777D1F"/>
    <w:rsid w:val="00781A11"/>
    <w:rsid w:val="00790F4C"/>
    <w:rsid w:val="007932D7"/>
    <w:rsid w:val="00795431"/>
    <w:rsid w:val="00796CCB"/>
    <w:rsid w:val="007A5230"/>
    <w:rsid w:val="007D37D7"/>
    <w:rsid w:val="007D4AAD"/>
    <w:rsid w:val="007E175F"/>
    <w:rsid w:val="007F4597"/>
    <w:rsid w:val="00805062"/>
    <w:rsid w:val="00820BAC"/>
    <w:rsid w:val="00821BF0"/>
    <w:rsid w:val="00834632"/>
    <w:rsid w:val="0084493A"/>
    <w:rsid w:val="00854717"/>
    <w:rsid w:val="008574E7"/>
    <w:rsid w:val="00857901"/>
    <w:rsid w:val="00863850"/>
    <w:rsid w:val="008712A8"/>
    <w:rsid w:val="008A1464"/>
    <w:rsid w:val="008A174F"/>
    <w:rsid w:val="008B2C0B"/>
    <w:rsid w:val="008B77D4"/>
    <w:rsid w:val="008C4AB8"/>
    <w:rsid w:val="008C5676"/>
    <w:rsid w:val="008D6898"/>
    <w:rsid w:val="009041DC"/>
    <w:rsid w:val="00922A15"/>
    <w:rsid w:val="0092689F"/>
    <w:rsid w:val="0094053F"/>
    <w:rsid w:val="009434B4"/>
    <w:rsid w:val="00954DF9"/>
    <w:rsid w:val="00961C56"/>
    <w:rsid w:val="00992B83"/>
    <w:rsid w:val="009946A3"/>
    <w:rsid w:val="00994742"/>
    <w:rsid w:val="009A1554"/>
    <w:rsid w:val="009A196A"/>
    <w:rsid w:val="009B1B79"/>
    <w:rsid w:val="009B77ED"/>
    <w:rsid w:val="009D15EB"/>
    <w:rsid w:val="009D212E"/>
    <w:rsid w:val="009F2072"/>
    <w:rsid w:val="009F4217"/>
    <w:rsid w:val="009F7740"/>
    <w:rsid w:val="00A023CD"/>
    <w:rsid w:val="00A04ED2"/>
    <w:rsid w:val="00A12712"/>
    <w:rsid w:val="00A26151"/>
    <w:rsid w:val="00A26A86"/>
    <w:rsid w:val="00A27575"/>
    <w:rsid w:val="00A376B2"/>
    <w:rsid w:val="00A42D0A"/>
    <w:rsid w:val="00A60FE1"/>
    <w:rsid w:val="00A67AF7"/>
    <w:rsid w:val="00A93CC9"/>
    <w:rsid w:val="00A95107"/>
    <w:rsid w:val="00AA24DB"/>
    <w:rsid w:val="00AB5A96"/>
    <w:rsid w:val="00AC0BE9"/>
    <w:rsid w:val="00AD10D3"/>
    <w:rsid w:val="00AD3342"/>
    <w:rsid w:val="00AD7899"/>
    <w:rsid w:val="00AE0625"/>
    <w:rsid w:val="00AE3B3E"/>
    <w:rsid w:val="00AE407B"/>
    <w:rsid w:val="00AE5143"/>
    <w:rsid w:val="00AE5E96"/>
    <w:rsid w:val="00B01F43"/>
    <w:rsid w:val="00B162DF"/>
    <w:rsid w:val="00B20B67"/>
    <w:rsid w:val="00B30C8C"/>
    <w:rsid w:val="00B33380"/>
    <w:rsid w:val="00B3509B"/>
    <w:rsid w:val="00B35A6D"/>
    <w:rsid w:val="00B45B3D"/>
    <w:rsid w:val="00B537AA"/>
    <w:rsid w:val="00B55766"/>
    <w:rsid w:val="00B72C01"/>
    <w:rsid w:val="00B752B6"/>
    <w:rsid w:val="00B835F4"/>
    <w:rsid w:val="00B87931"/>
    <w:rsid w:val="00B91920"/>
    <w:rsid w:val="00B926A6"/>
    <w:rsid w:val="00BB2DC8"/>
    <w:rsid w:val="00BE3806"/>
    <w:rsid w:val="00BE733C"/>
    <w:rsid w:val="00BF4CFB"/>
    <w:rsid w:val="00C2093E"/>
    <w:rsid w:val="00C225F1"/>
    <w:rsid w:val="00C23A2E"/>
    <w:rsid w:val="00C419EA"/>
    <w:rsid w:val="00C41A0F"/>
    <w:rsid w:val="00C42979"/>
    <w:rsid w:val="00C42E7A"/>
    <w:rsid w:val="00C51459"/>
    <w:rsid w:val="00C55CF6"/>
    <w:rsid w:val="00C55DCA"/>
    <w:rsid w:val="00C8481D"/>
    <w:rsid w:val="00CA1F8D"/>
    <w:rsid w:val="00CA3DAA"/>
    <w:rsid w:val="00CB397B"/>
    <w:rsid w:val="00CC05F0"/>
    <w:rsid w:val="00CC58C7"/>
    <w:rsid w:val="00CE5C53"/>
    <w:rsid w:val="00CF4836"/>
    <w:rsid w:val="00D20389"/>
    <w:rsid w:val="00D40C29"/>
    <w:rsid w:val="00D5580F"/>
    <w:rsid w:val="00D55966"/>
    <w:rsid w:val="00D62CD8"/>
    <w:rsid w:val="00D7111B"/>
    <w:rsid w:val="00D803D4"/>
    <w:rsid w:val="00D82645"/>
    <w:rsid w:val="00D86F6D"/>
    <w:rsid w:val="00D8716B"/>
    <w:rsid w:val="00D87E1D"/>
    <w:rsid w:val="00D93B5F"/>
    <w:rsid w:val="00DA3C4D"/>
    <w:rsid w:val="00DA501B"/>
    <w:rsid w:val="00DB203B"/>
    <w:rsid w:val="00DC0DD8"/>
    <w:rsid w:val="00DD0E8B"/>
    <w:rsid w:val="00DD21D7"/>
    <w:rsid w:val="00DD2CD7"/>
    <w:rsid w:val="00DF5203"/>
    <w:rsid w:val="00DF6054"/>
    <w:rsid w:val="00DF6383"/>
    <w:rsid w:val="00DF76F2"/>
    <w:rsid w:val="00DF79AB"/>
    <w:rsid w:val="00E014CC"/>
    <w:rsid w:val="00E04EEC"/>
    <w:rsid w:val="00E05407"/>
    <w:rsid w:val="00E143CE"/>
    <w:rsid w:val="00E259D7"/>
    <w:rsid w:val="00E27568"/>
    <w:rsid w:val="00E36937"/>
    <w:rsid w:val="00E37CA0"/>
    <w:rsid w:val="00E41FB9"/>
    <w:rsid w:val="00E6005A"/>
    <w:rsid w:val="00E623C9"/>
    <w:rsid w:val="00E67503"/>
    <w:rsid w:val="00E748E0"/>
    <w:rsid w:val="00E75EA6"/>
    <w:rsid w:val="00E80F9B"/>
    <w:rsid w:val="00E864AF"/>
    <w:rsid w:val="00E9498C"/>
    <w:rsid w:val="00EA6D99"/>
    <w:rsid w:val="00EB09B1"/>
    <w:rsid w:val="00EB1427"/>
    <w:rsid w:val="00EB199A"/>
    <w:rsid w:val="00EB23EB"/>
    <w:rsid w:val="00EB3D90"/>
    <w:rsid w:val="00EB4685"/>
    <w:rsid w:val="00EB5B0B"/>
    <w:rsid w:val="00EC3214"/>
    <w:rsid w:val="00EC727A"/>
    <w:rsid w:val="00ED5E1D"/>
    <w:rsid w:val="00EE1707"/>
    <w:rsid w:val="00EE4AC3"/>
    <w:rsid w:val="00EE5405"/>
    <w:rsid w:val="00EE6E8B"/>
    <w:rsid w:val="00EF1B25"/>
    <w:rsid w:val="00EF58DF"/>
    <w:rsid w:val="00F22724"/>
    <w:rsid w:val="00F33C91"/>
    <w:rsid w:val="00F3597C"/>
    <w:rsid w:val="00F37761"/>
    <w:rsid w:val="00F4502B"/>
    <w:rsid w:val="00F469EF"/>
    <w:rsid w:val="00F47DE4"/>
    <w:rsid w:val="00F50051"/>
    <w:rsid w:val="00F62BFA"/>
    <w:rsid w:val="00F632C7"/>
    <w:rsid w:val="00F80CDA"/>
    <w:rsid w:val="00F84594"/>
    <w:rsid w:val="00F93240"/>
    <w:rsid w:val="00F97031"/>
    <w:rsid w:val="00F975FC"/>
    <w:rsid w:val="00FA3152"/>
    <w:rsid w:val="00FB2EB6"/>
    <w:rsid w:val="00FD011E"/>
    <w:rsid w:val="00FD1A74"/>
    <w:rsid w:val="00FD4C0A"/>
    <w:rsid w:val="00FE7448"/>
    <w:rsid w:val="00FF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1C5B0"/>
  <w15:docId w15:val="{E8BA5108-EDD5-4713-AFD7-4E814573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01B"/>
    <w:pPr>
      <w:tabs>
        <w:tab w:val="center" w:pos="4680"/>
        <w:tab w:val="right" w:pos="9360"/>
      </w:tabs>
    </w:pPr>
  </w:style>
  <w:style w:type="character" w:customStyle="1" w:styleId="HeaderChar">
    <w:name w:val="Header Char"/>
    <w:basedOn w:val="DefaultParagraphFont"/>
    <w:link w:val="Header"/>
    <w:uiPriority w:val="99"/>
    <w:rsid w:val="00DA501B"/>
  </w:style>
  <w:style w:type="paragraph" w:styleId="Footer">
    <w:name w:val="footer"/>
    <w:basedOn w:val="Normal"/>
    <w:link w:val="FooterChar"/>
    <w:uiPriority w:val="99"/>
    <w:unhideWhenUsed/>
    <w:rsid w:val="00DA501B"/>
    <w:pPr>
      <w:tabs>
        <w:tab w:val="center" w:pos="4680"/>
        <w:tab w:val="right" w:pos="9360"/>
      </w:tabs>
    </w:pPr>
  </w:style>
  <w:style w:type="character" w:customStyle="1" w:styleId="FooterChar">
    <w:name w:val="Footer Char"/>
    <w:basedOn w:val="DefaultParagraphFont"/>
    <w:link w:val="Footer"/>
    <w:uiPriority w:val="99"/>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rsid w:val="00A023CD"/>
    <w:rPr>
      <w:color w:val="605E5C"/>
      <w:shd w:val="clear" w:color="auto" w:fill="E1DFDD"/>
    </w:rPr>
  </w:style>
  <w:style w:type="character" w:styleId="CommentReference">
    <w:name w:val="annotation reference"/>
    <w:basedOn w:val="DefaultParagraphFont"/>
    <w:uiPriority w:val="99"/>
    <w:semiHidden/>
    <w:unhideWhenUsed/>
    <w:rsid w:val="00EA6D99"/>
    <w:rPr>
      <w:sz w:val="16"/>
      <w:szCs w:val="16"/>
    </w:rPr>
  </w:style>
  <w:style w:type="paragraph" w:styleId="CommentText">
    <w:name w:val="annotation text"/>
    <w:basedOn w:val="Normal"/>
    <w:link w:val="CommentTextChar"/>
    <w:uiPriority w:val="99"/>
    <w:unhideWhenUsed/>
    <w:rsid w:val="00EA6D99"/>
    <w:rPr>
      <w:sz w:val="20"/>
      <w:szCs w:val="20"/>
    </w:rPr>
  </w:style>
  <w:style w:type="character" w:customStyle="1" w:styleId="CommentTextChar">
    <w:name w:val="Comment Text Char"/>
    <w:basedOn w:val="DefaultParagraphFont"/>
    <w:link w:val="CommentText"/>
    <w:uiPriority w:val="99"/>
    <w:rsid w:val="00EA6D99"/>
    <w:rPr>
      <w:sz w:val="20"/>
      <w:szCs w:val="20"/>
    </w:rPr>
  </w:style>
  <w:style w:type="paragraph" w:styleId="CommentSubject">
    <w:name w:val="annotation subject"/>
    <w:basedOn w:val="CommentText"/>
    <w:next w:val="CommentText"/>
    <w:link w:val="CommentSubjectChar"/>
    <w:uiPriority w:val="99"/>
    <w:semiHidden/>
    <w:unhideWhenUsed/>
    <w:rsid w:val="00EA6D99"/>
    <w:rPr>
      <w:b/>
      <w:bCs/>
    </w:rPr>
  </w:style>
  <w:style w:type="character" w:customStyle="1" w:styleId="CommentSubjectChar">
    <w:name w:val="Comment Subject Char"/>
    <w:basedOn w:val="CommentTextChar"/>
    <w:link w:val="CommentSubject"/>
    <w:uiPriority w:val="99"/>
    <w:semiHidden/>
    <w:rsid w:val="00EA6D99"/>
    <w:rPr>
      <w:b/>
      <w:bCs/>
      <w:sz w:val="20"/>
      <w:szCs w:val="20"/>
    </w:rPr>
  </w:style>
  <w:style w:type="paragraph" w:styleId="BalloonText">
    <w:name w:val="Balloon Text"/>
    <w:basedOn w:val="Normal"/>
    <w:link w:val="BalloonTextChar"/>
    <w:uiPriority w:val="99"/>
    <w:semiHidden/>
    <w:unhideWhenUsed/>
    <w:rsid w:val="005E725D"/>
    <w:rPr>
      <w:rFonts w:ascii="Tahoma" w:hAnsi="Tahoma" w:cs="Tahoma"/>
      <w:sz w:val="16"/>
      <w:szCs w:val="16"/>
    </w:rPr>
  </w:style>
  <w:style w:type="character" w:customStyle="1" w:styleId="BalloonTextChar">
    <w:name w:val="Balloon Text Char"/>
    <w:basedOn w:val="DefaultParagraphFont"/>
    <w:link w:val="BalloonText"/>
    <w:uiPriority w:val="99"/>
    <w:semiHidden/>
    <w:rsid w:val="005E725D"/>
    <w:rPr>
      <w:rFonts w:ascii="Tahoma" w:hAnsi="Tahoma" w:cs="Tahoma"/>
      <w:sz w:val="16"/>
      <w:szCs w:val="16"/>
    </w:rPr>
  </w:style>
  <w:style w:type="paragraph" w:styleId="ListParagraph">
    <w:name w:val="List Paragraph"/>
    <w:basedOn w:val="Normal"/>
    <w:uiPriority w:val="34"/>
    <w:qFormat/>
    <w:rsid w:val="008C5676"/>
    <w:pPr>
      <w:ind w:left="720"/>
      <w:contextualSpacing/>
    </w:pPr>
  </w:style>
  <w:style w:type="character" w:styleId="UnresolvedMention">
    <w:name w:val="Unresolved Mention"/>
    <w:basedOn w:val="DefaultParagraphFont"/>
    <w:uiPriority w:val="99"/>
    <w:semiHidden/>
    <w:unhideWhenUsed/>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 w:type="paragraph" w:styleId="Revision">
    <w:name w:val="Revision"/>
    <w:hidden/>
    <w:uiPriority w:val="99"/>
    <w:semiHidden/>
    <w:rsid w:val="00844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erginginvestigators.org/submissions/academic-honesty" TargetMode="External"/><Relationship Id="rId13" Type="http://schemas.openxmlformats.org/officeDocument/2006/relationships/hyperlink" Target="https://emerginginvestigators.org/documents/authors" TargetMode="External"/><Relationship Id="rId18" Type="http://schemas.openxmlformats.org/officeDocument/2006/relationships/hyperlink" Target="https://www.emerginginvestigators.org/submissions/hypothesis-driven-research"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emerginginvestigators.org/submissions/references" TargetMode="External"/><Relationship Id="rId7" Type="http://schemas.openxmlformats.org/officeDocument/2006/relationships/hyperlink" Target="https://www.emerginginvestigators.org/submissions/guidelines" TargetMode="External"/><Relationship Id="rId12" Type="http://schemas.openxmlformats.org/officeDocument/2006/relationships/hyperlink" Target="https://www.emerginginvestigators.org/submissions/guidelines" TargetMode="External"/><Relationship Id="rId17" Type="http://schemas.openxmlformats.org/officeDocument/2006/relationships/hyperlink" Target="https://www.emerginginvestigators.org/submissions/reference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emerginginvestigators.org/submissions/author-eligibility" TargetMode="External"/><Relationship Id="rId20" Type="http://schemas.openxmlformats.org/officeDocument/2006/relationships/hyperlink" Target="https://emerginginvestigators.org/documents/equation_formatting_gu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merginginvestigators.org/submissions/preparation"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mailto:submissions@emerginginvestigators.org" TargetMode="External"/><Relationship Id="rId23" Type="http://schemas.openxmlformats.org/officeDocument/2006/relationships/hyperlink" Target="https://emerginginvestigators.org/articles/23-192/pdf" TargetMode="External"/><Relationship Id="rId10" Type="http://schemas.openxmlformats.org/officeDocument/2006/relationships/hyperlink" Target="https://www.emerginginvestigators.org/submissions/animal-human-subjects" TargetMode="External"/><Relationship Id="rId19" Type="http://schemas.openxmlformats.org/officeDocument/2006/relationships/hyperlink" Target="https://emerginginvestigators.org/submissions/engineering-and-machine-learning-based-projects" TargetMode="External"/><Relationship Id="rId4" Type="http://schemas.openxmlformats.org/officeDocument/2006/relationships/webSettings" Target="webSettings.xml"/><Relationship Id="rId9" Type="http://schemas.openxmlformats.org/officeDocument/2006/relationships/hyperlink" Target="https://emerginginvestigators.org/submissions/academic-honesty" TargetMode="External"/><Relationship Id="rId14" Type="http://schemas.openxmlformats.org/officeDocument/2006/relationships/hyperlink" Target="https://youtu.be/ohuP32wZXxM" TargetMode="External"/><Relationship Id="rId22" Type="http://schemas.openxmlformats.org/officeDocument/2006/relationships/hyperlink" Target="https://emerginginvestigators.org/documents" TargetMode="External"/><Relationship Id="rId27" Type="http://schemas.openxmlformats.org/officeDocument/2006/relationships/theme" Target="theme/theme1.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 Mattison</dc:creator>
  <cp:lastModifiedBy>Hensch,Nicole R</cp:lastModifiedBy>
  <cp:revision>8</cp:revision>
  <dcterms:created xsi:type="dcterms:W3CDTF">2025-07-22T17:46:00Z</dcterms:created>
  <dcterms:modified xsi:type="dcterms:W3CDTF">2025-07-23T15:13:00Z</dcterms:modified>
</cp:coreProperties>
</file>