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28B3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2E67F42C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177DAF35" w14:textId="08AB4AF9" w:rsidR="004A20C5" w:rsidRPr="004354A0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</w:p>
    <w:p w14:paraId="55B29499" w14:textId="0BCE90F6" w:rsidR="00CB2C9C" w:rsidRPr="004354A0" w:rsidRDefault="00E84146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>Information</w:t>
      </w:r>
      <w:r w:rsidR="00A73B41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for Solicitors </w:t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0BF3DFBC" w14:textId="1E7B1850" w:rsidR="004A20C5" w:rsidRDefault="004A20C5">
      <w:pPr>
        <w:rPr>
          <w:rFonts w:ascii="Arial" w:hAnsi="Arial" w:cs="Arial"/>
          <w:sz w:val="24"/>
          <w:szCs w:val="24"/>
        </w:rPr>
      </w:pPr>
    </w:p>
    <w:p w14:paraId="6A293B1F" w14:textId="25E5F59E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This surgery now uses eMR, provided by MediData Exchange, to process Subject to Access Request</w:t>
      </w:r>
      <w:r w:rsidR="00A73B41">
        <w:rPr>
          <w:rFonts w:ascii="Arial" w:hAnsi="Arial" w:cs="Arial"/>
          <w:sz w:val="24"/>
          <w:szCs w:val="24"/>
        </w:rPr>
        <w:t>s</w:t>
      </w:r>
      <w:r w:rsidRPr="004A20C5">
        <w:rPr>
          <w:rFonts w:ascii="Arial" w:hAnsi="Arial" w:cs="Arial"/>
          <w:sz w:val="24"/>
          <w:szCs w:val="24"/>
        </w:rPr>
        <w:t xml:space="preserve">, also known as </w:t>
      </w:r>
      <w:r w:rsidR="00E84146">
        <w:rPr>
          <w:rFonts w:ascii="Arial" w:hAnsi="Arial" w:cs="Arial"/>
          <w:sz w:val="24"/>
          <w:szCs w:val="24"/>
        </w:rPr>
        <w:t>a ‘</w:t>
      </w:r>
      <w:r w:rsidRPr="004A20C5">
        <w:rPr>
          <w:rFonts w:ascii="Arial" w:hAnsi="Arial" w:cs="Arial"/>
          <w:sz w:val="24"/>
          <w:szCs w:val="24"/>
        </w:rPr>
        <w:t>SAR</w:t>
      </w:r>
      <w:r w:rsidR="00A73B41">
        <w:rPr>
          <w:rFonts w:ascii="Arial" w:hAnsi="Arial" w:cs="Arial"/>
          <w:sz w:val="24"/>
          <w:szCs w:val="24"/>
        </w:rPr>
        <w:t>s</w:t>
      </w:r>
      <w:r w:rsidR="00E84146">
        <w:rPr>
          <w:rFonts w:ascii="Arial" w:hAnsi="Arial" w:cs="Arial"/>
          <w:sz w:val="24"/>
          <w:szCs w:val="24"/>
        </w:rPr>
        <w:t>’</w:t>
      </w:r>
      <w:r w:rsidRPr="004A20C5">
        <w:rPr>
          <w:rFonts w:ascii="Arial" w:hAnsi="Arial" w:cs="Arial"/>
          <w:sz w:val="24"/>
          <w:szCs w:val="24"/>
        </w:rPr>
        <w:t>.</w:t>
      </w:r>
    </w:p>
    <w:p w14:paraId="2B5A1B7A" w14:textId="30B9BAC5" w:rsidR="00A73B41" w:rsidRDefault="00A73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a request fr</w:t>
      </w:r>
      <w:r w:rsidR="00F6527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the Patient</w:t>
      </w:r>
      <w:r w:rsidR="004354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will process the SAR and make </w:t>
      </w:r>
      <w:r w:rsidR="004354A0">
        <w:rPr>
          <w:rFonts w:ascii="Arial" w:hAnsi="Arial" w:cs="Arial"/>
          <w:sz w:val="24"/>
          <w:szCs w:val="24"/>
        </w:rPr>
        <w:t xml:space="preserve">a copy of the medical record </w:t>
      </w:r>
      <w:r>
        <w:rPr>
          <w:rFonts w:ascii="Arial" w:hAnsi="Arial" w:cs="Arial"/>
          <w:sz w:val="24"/>
          <w:szCs w:val="24"/>
        </w:rPr>
        <w:t>available</w:t>
      </w:r>
      <w:r w:rsidR="00D542D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354A0">
        <w:rPr>
          <w:rFonts w:ascii="Arial" w:hAnsi="Arial" w:cs="Arial"/>
          <w:sz w:val="24"/>
          <w:szCs w:val="24"/>
        </w:rPr>
        <w:t xml:space="preserve">using </w:t>
      </w:r>
      <w:r>
        <w:rPr>
          <w:rFonts w:ascii="Arial" w:hAnsi="Arial" w:cs="Arial"/>
          <w:sz w:val="24"/>
          <w:szCs w:val="24"/>
        </w:rPr>
        <w:t xml:space="preserve">a secure on-line access. </w:t>
      </w:r>
    </w:p>
    <w:p w14:paraId="77573452" w14:textId="0D624C5E" w:rsidR="00A73B41" w:rsidRDefault="00A73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Patient </w:t>
      </w:r>
      <w:r w:rsidR="004354A0"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authorise you, or any other third party, to access their record, using secure dual authentication access. </w:t>
      </w:r>
    </w:p>
    <w:p w14:paraId="7176EC43" w14:textId="7A52A8CB" w:rsidR="004A20C5" w:rsidRPr="004A20C5" w:rsidRDefault="004A20C5">
      <w:pPr>
        <w:rPr>
          <w:rFonts w:ascii="Arial" w:hAnsi="Arial" w:cs="Arial"/>
          <w:sz w:val="24"/>
          <w:szCs w:val="24"/>
        </w:rPr>
      </w:pPr>
    </w:p>
    <w:p w14:paraId="502267A9" w14:textId="717A9603" w:rsidR="004A20C5" w:rsidRPr="00E84146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How </w:t>
      </w:r>
      <w:r w:rsidR="00DF12C4">
        <w:rPr>
          <w:rFonts w:ascii="Arial" w:hAnsi="Arial" w:cs="Arial"/>
          <w:b/>
          <w:color w:val="2F5496" w:themeColor="accent1" w:themeShade="BF"/>
          <w:sz w:val="28"/>
          <w:szCs w:val="24"/>
        </w:rPr>
        <w:t>will I receive the Patient Record</w:t>
      </w: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?</w:t>
      </w:r>
    </w:p>
    <w:p w14:paraId="506EE93F" w14:textId="5158CE1F" w:rsidR="004A20C5" w:rsidRPr="004A20C5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be sent an email </w:t>
      </w:r>
      <w:r w:rsidR="004A20C5" w:rsidRPr="004A20C5">
        <w:rPr>
          <w:rFonts w:ascii="Arial" w:hAnsi="Arial" w:cs="Arial"/>
          <w:sz w:val="24"/>
          <w:szCs w:val="24"/>
        </w:rPr>
        <w:t xml:space="preserve">notification with a link to access </w:t>
      </w:r>
      <w:r>
        <w:rPr>
          <w:rFonts w:ascii="Arial" w:hAnsi="Arial" w:cs="Arial"/>
          <w:sz w:val="24"/>
          <w:szCs w:val="24"/>
        </w:rPr>
        <w:t>the record.</w:t>
      </w:r>
      <w:r w:rsidR="00DF12C4">
        <w:rPr>
          <w:rFonts w:ascii="Arial" w:hAnsi="Arial" w:cs="Arial"/>
          <w:sz w:val="24"/>
          <w:szCs w:val="24"/>
        </w:rPr>
        <w:t xml:space="preserve"> A reference number will be included in the email so that you can identify your client.</w:t>
      </w:r>
      <w:r>
        <w:rPr>
          <w:rFonts w:ascii="Arial" w:hAnsi="Arial" w:cs="Arial"/>
          <w:sz w:val="24"/>
          <w:szCs w:val="24"/>
        </w:rPr>
        <w:t xml:space="preserve"> </w:t>
      </w:r>
      <w:r w:rsidR="004A20C5" w:rsidRPr="004A20C5">
        <w:rPr>
          <w:rFonts w:ascii="Arial" w:hAnsi="Arial" w:cs="Arial"/>
          <w:sz w:val="24"/>
          <w:szCs w:val="24"/>
        </w:rPr>
        <w:t xml:space="preserve"> </w:t>
      </w:r>
    </w:p>
    <w:p w14:paraId="49F6F3C6" w14:textId="5AB2A18E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1ECBC1A" w14:textId="7D41D97B" w:rsidR="004A20C5" w:rsidRPr="004A20C5" w:rsidRDefault="004354A0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note: </w:t>
      </w:r>
      <w:r w:rsidR="004A20C5" w:rsidRPr="004A20C5">
        <w:rPr>
          <w:rFonts w:ascii="Arial" w:hAnsi="Arial" w:cs="Arial"/>
          <w:sz w:val="24"/>
          <w:szCs w:val="24"/>
        </w:rPr>
        <w:t>This email may land in your ‘junk’ email</w:t>
      </w:r>
      <w:r>
        <w:rPr>
          <w:rFonts w:ascii="Arial" w:hAnsi="Arial" w:cs="Arial"/>
          <w:sz w:val="24"/>
          <w:szCs w:val="24"/>
        </w:rPr>
        <w:t>,</w:t>
      </w:r>
      <w:r w:rsidR="004A20C5" w:rsidRPr="004A20C5">
        <w:rPr>
          <w:rFonts w:ascii="Arial" w:hAnsi="Arial" w:cs="Arial"/>
          <w:sz w:val="24"/>
          <w:szCs w:val="24"/>
        </w:rPr>
        <w:t xml:space="preserve"> so you will need to click and drag it over to your ‘inbox’ for the link to work.</w:t>
      </w:r>
    </w:p>
    <w:p w14:paraId="1C686F41" w14:textId="6D80DB8A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50CB4BB" w14:textId="5D308652" w:rsidR="004A20C5" w:rsidRPr="004A20C5" w:rsidRDefault="00E02F12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A20C5" w:rsidRPr="004A20C5">
        <w:rPr>
          <w:rFonts w:ascii="Arial" w:hAnsi="Arial" w:cs="Arial"/>
          <w:sz w:val="24"/>
          <w:szCs w:val="24"/>
        </w:rPr>
        <w:t>lick the link and follow the on</w:t>
      </w:r>
      <w:r w:rsidR="004A20C5">
        <w:rPr>
          <w:rFonts w:ascii="Arial" w:hAnsi="Arial" w:cs="Arial"/>
          <w:sz w:val="24"/>
          <w:szCs w:val="24"/>
        </w:rPr>
        <w:t>-</w:t>
      </w:r>
      <w:r w:rsidR="004A20C5" w:rsidRPr="004A20C5">
        <w:rPr>
          <w:rFonts w:ascii="Arial" w:hAnsi="Arial" w:cs="Arial"/>
          <w:sz w:val="24"/>
          <w:szCs w:val="24"/>
        </w:rPr>
        <w:t xml:space="preserve">screen instructions. </w:t>
      </w:r>
    </w:p>
    <w:p w14:paraId="4D3FFD02" w14:textId="77777777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0CE35B4" w14:textId="1DE2A3FB" w:rsidR="004A20C5" w:rsidRPr="004A20C5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A20C5" w:rsidRPr="004A20C5">
        <w:rPr>
          <w:rFonts w:ascii="Arial" w:hAnsi="Arial" w:cs="Arial"/>
          <w:sz w:val="24"/>
          <w:szCs w:val="24"/>
        </w:rPr>
        <w:t xml:space="preserve">access code will be sent to </w:t>
      </w:r>
      <w:r>
        <w:rPr>
          <w:rFonts w:ascii="Arial" w:hAnsi="Arial" w:cs="Arial"/>
          <w:sz w:val="24"/>
          <w:szCs w:val="24"/>
        </w:rPr>
        <w:t xml:space="preserve">a phone number </w:t>
      </w:r>
      <w:r w:rsidR="00DF12C4">
        <w:rPr>
          <w:rFonts w:ascii="Arial" w:hAnsi="Arial" w:cs="Arial"/>
          <w:sz w:val="24"/>
          <w:szCs w:val="24"/>
        </w:rPr>
        <w:t>provided by the Patient. This is likely to be your landline number</w:t>
      </w:r>
      <w:r w:rsidR="004354A0">
        <w:rPr>
          <w:rFonts w:ascii="Arial" w:hAnsi="Arial" w:cs="Arial"/>
          <w:sz w:val="24"/>
          <w:szCs w:val="24"/>
        </w:rPr>
        <w:t xml:space="preserve">, and a code will be computer generated over the phone. If your mobile number </w:t>
      </w:r>
      <w:r w:rsidR="00E02F12">
        <w:rPr>
          <w:rFonts w:ascii="Arial" w:hAnsi="Arial" w:cs="Arial"/>
          <w:sz w:val="24"/>
          <w:szCs w:val="24"/>
        </w:rPr>
        <w:t xml:space="preserve">has been provided </w:t>
      </w:r>
      <w:r w:rsidR="004354A0">
        <w:rPr>
          <w:rFonts w:ascii="Arial" w:hAnsi="Arial" w:cs="Arial"/>
          <w:sz w:val="24"/>
          <w:szCs w:val="24"/>
        </w:rPr>
        <w:t>a text will be sent.</w:t>
      </w:r>
      <w:r w:rsidR="00DF12C4">
        <w:rPr>
          <w:rFonts w:ascii="Arial" w:hAnsi="Arial" w:cs="Arial"/>
          <w:sz w:val="24"/>
          <w:szCs w:val="24"/>
        </w:rPr>
        <w:t xml:space="preserve"> </w:t>
      </w:r>
      <w:r w:rsidR="004A20C5" w:rsidRPr="004A20C5">
        <w:rPr>
          <w:rFonts w:ascii="Arial" w:hAnsi="Arial" w:cs="Arial"/>
          <w:sz w:val="24"/>
          <w:szCs w:val="24"/>
        </w:rPr>
        <w:t xml:space="preserve"> </w:t>
      </w:r>
    </w:p>
    <w:p w14:paraId="01EEF344" w14:textId="77777777" w:rsidR="004A20C5" w:rsidRPr="004A20C5" w:rsidRDefault="004A20C5" w:rsidP="004A20C5">
      <w:pPr>
        <w:pStyle w:val="ListParagraph"/>
        <w:rPr>
          <w:rFonts w:ascii="Arial" w:hAnsi="Arial" w:cs="Arial"/>
          <w:sz w:val="24"/>
          <w:szCs w:val="24"/>
        </w:rPr>
      </w:pPr>
    </w:p>
    <w:p w14:paraId="6A8D1C96" w14:textId="28C12FA6" w:rsidR="004A20C5" w:rsidRPr="00DF12C4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DF12C4">
        <w:rPr>
          <w:rFonts w:ascii="Arial" w:hAnsi="Arial" w:cs="Arial"/>
          <w:sz w:val="24"/>
          <w:szCs w:val="24"/>
        </w:rPr>
        <w:t>Once you enter this code - you will be able to view</w:t>
      </w:r>
      <w:r w:rsidR="004354A0">
        <w:rPr>
          <w:rFonts w:ascii="Arial" w:hAnsi="Arial" w:cs="Arial"/>
          <w:sz w:val="24"/>
          <w:szCs w:val="24"/>
        </w:rPr>
        <w:t>, print or download</w:t>
      </w:r>
      <w:r w:rsidR="00DF12C4" w:rsidRPr="00DF12C4">
        <w:rPr>
          <w:rFonts w:ascii="Arial" w:hAnsi="Arial" w:cs="Arial"/>
          <w:sz w:val="24"/>
          <w:szCs w:val="24"/>
        </w:rPr>
        <w:t xml:space="preserve"> the</w:t>
      </w:r>
      <w:r w:rsidRPr="00DF12C4">
        <w:rPr>
          <w:rFonts w:ascii="Arial" w:hAnsi="Arial" w:cs="Arial"/>
          <w:sz w:val="24"/>
          <w:szCs w:val="24"/>
        </w:rPr>
        <w:t xml:space="preserve"> patient record. You </w:t>
      </w:r>
      <w:r w:rsidR="00DF12C4" w:rsidRPr="00DF12C4">
        <w:rPr>
          <w:rFonts w:ascii="Arial" w:hAnsi="Arial" w:cs="Arial"/>
          <w:sz w:val="24"/>
          <w:szCs w:val="24"/>
        </w:rPr>
        <w:t>will have access for 30 days</w:t>
      </w:r>
      <w:r w:rsidR="004354A0">
        <w:rPr>
          <w:rFonts w:ascii="Arial" w:hAnsi="Arial" w:cs="Arial"/>
          <w:sz w:val="24"/>
          <w:szCs w:val="24"/>
        </w:rPr>
        <w:t>,</w:t>
      </w:r>
      <w:r w:rsidR="00DF12C4" w:rsidRPr="00DF12C4">
        <w:rPr>
          <w:rFonts w:ascii="Arial" w:hAnsi="Arial" w:cs="Arial"/>
          <w:sz w:val="24"/>
          <w:szCs w:val="24"/>
        </w:rPr>
        <w:t xml:space="preserve"> although this can be extended by the Patient. </w:t>
      </w:r>
    </w:p>
    <w:p w14:paraId="7970F337" w14:textId="77777777" w:rsidR="00DF12C4" w:rsidRPr="00DF12C4" w:rsidRDefault="00DF12C4" w:rsidP="00DF12C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2C48D63" w14:textId="77777777" w:rsidR="00DF12C4" w:rsidRPr="00DF12C4" w:rsidRDefault="00DF12C4" w:rsidP="00DF12C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125539C7" w14:textId="661F5CD0" w:rsidR="004A20C5" w:rsidRPr="00E84146" w:rsidRDefault="004A20C5" w:rsidP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Can the </w:t>
      </w:r>
      <w:r w:rsidR="00DF12C4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Patient Record be sent directly to me? </w:t>
      </w:r>
    </w:p>
    <w:p w14:paraId="42C10D07" w14:textId="3D268B3C" w:rsidR="004A20C5" w:rsidRDefault="004A20C5" w:rsidP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="00E02F12">
        <w:rPr>
          <w:rFonts w:ascii="Arial" w:hAnsi="Arial" w:cs="Arial"/>
          <w:sz w:val="24"/>
          <w:szCs w:val="24"/>
        </w:rPr>
        <w:t xml:space="preserve">GDPR </w:t>
      </w:r>
      <w:r>
        <w:rPr>
          <w:rFonts w:ascii="Arial" w:hAnsi="Arial" w:cs="Arial"/>
          <w:sz w:val="24"/>
          <w:szCs w:val="24"/>
        </w:rPr>
        <w:t>regulations</w:t>
      </w:r>
      <w:r w:rsidR="00E02F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are obliged to send the Patient record to </w:t>
      </w:r>
      <w:r w:rsidR="00DF12C4">
        <w:rPr>
          <w:rFonts w:ascii="Arial" w:hAnsi="Arial" w:cs="Arial"/>
          <w:sz w:val="24"/>
          <w:szCs w:val="24"/>
        </w:rPr>
        <w:t>the patient</w:t>
      </w:r>
      <w:r w:rsidR="00E02F12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DF12C4">
        <w:rPr>
          <w:rFonts w:ascii="Arial" w:hAnsi="Arial" w:cs="Arial"/>
          <w:sz w:val="24"/>
          <w:szCs w:val="24"/>
        </w:rPr>
        <w:t xml:space="preserve"> as it their </w:t>
      </w:r>
      <w:r>
        <w:rPr>
          <w:rFonts w:ascii="Arial" w:hAnsi="Arial" w:cs="Arial"/>
          <w:sz w:val="24"/>
          <w:szCs w:val="24"/>
        </w:rPr>
        <w:t xml:space="preserve">personal information. It is </w:t>
      </w:r>
      <w:r w:rsidR="00DF12C4">
        <w:rPr>
          <w:rFonts w:ascii="Arial" w:hAnsi="Arial" w:cs="Arial"/>
          <w:sz w:val="24"/>
          <w:szCs w:val="24"/>
        </w:rPr>
        <w:t>the</w:t>
      </w:r>
      <w:r w:rsidR="004354A0">
        <w:rPr>
          <w:rFonts w:ascii="Arial" w:hAnsi="Arial" w:cs="Arial"/>
          <w:sz w:val="24"/>
          <w:szCs w:val="24"/>
        </w:rPr>
        <w:t xml:space="preserve"> patient’s </w:t>
      </w:r>
      <w:r w:rsidR="00DF12C4">
        <w:rPr>
          <w:rFonts w:ascii="Arial" w:hAnsi="Arial" w:cs="Arial"/>
          <w:sz w:val="24"/>
          <w:szCs w:val="24"/>
        </w:rPr>
        <w:t xml:space="preserve">decision </w:t>
      </w:r>
      <w:r>
        <w:rPr>
          <w:rFonts w:ascii="Arial" w:hAnsi="Arial" w:cs="Arial"/>
          <w:sz w:val="24"/>
          <w:szCs w:val="24"/>
        </w:rPr>
        <w:t>to share t</w:t>
      </w:r>
      <w:r w:rsidR="004354A0">
        <w:rPr>
          <w:rFonts w:ascii="Arial" w:hAnsi="Arial" w:cs="Arial"/>
          <w:sz w:val="24"/>
          <w:szCs w:val="24"/>
        </w:rPr>
        <w:t>heir medical information</w:t>
      </w:r>
      <w:r>
        <w:rPr>
          <w:rFonts w:ascii="Arial" w:hAnsi="Arial" w:cs="Arial"/>
          <w:sz w:val="24"/>
          <w:szCs w:val="24"/>
        </w:rPr>
        <w:t xml:space="preserve"> with</w:t>
      </w:r>
      <w:r w:rsidR="00DF12C4">
        <w:rPr>
          <w:rFonts w:ascii="Arial" w:hAnsi="Arial" w:cs="Arial"/>
          <w:sz w:val="24"/>
          <w:szCs w:val="24"/>
        </w:rPr>
        <w:t xml:space="preserve"> you and they can do that easily</w:t>
      </w:r>
      <w:r w:rsidR="004354A0">
        <w:rPr>
          <w:rFonts w:ascii="Arial" w:hAnsi="Arial" w:cs="Arial"/>
          <w:sz w:val="24"/>
          <w:szCs w:val="24"/>
        </w:rPr>
        <w:t>,</w:t>
      </w:r>
      <w:r w:rsidR="00DF12C4">
        <w:rPr>
          <w:rFonts w:ascii="Arial" w:hAnsi="Arial" w:cs="Arial"/>
          <w:sz w:val="24"/>
          <w:szCs w:val="24"/>
        </w:rPr>
        <w:t xml:space="preserve"> through this simple</w:t>
      </w:r>
      <w:r w:rsidR="004354A0">
        <w:rPr>
          <w:rFonts w:ascii="Arial" w:hAnsi="Arial" w:cs="Arial"/>
          <w:sz w:val="24"/>
          <w:szCs w:val="24"/>
        </w:rPr>
        <w:t>,</w:t>
      </w:r>
      <w:r w:rsidR="00DF12C4">
        <w:rPr>
          <w:rFonts w:ascii="Arial" w:hAnsi="Arial" w:cs="Arial"/>
          <w:sz w:val="24"/>
          <w:szCs w:val="24"/>
        </w:rPr>
        <w:t xml:space="preserve"> secure </w:t>
      </w:r>
      <w:r w:rsidR="004354A0">
        <w:rPr>
          <w:rFonts w:ascii="Arial" w:hAnsi="Arial" w:cs="Arial"/>
          <w:sz w:val="24"/>
          <w:szCs w:val="24"/>
        </w:rPr>
        <w:t xml:space="preserve">and compliant </w:t>
      </w:r>
      <w:r w:rsidR="00DF12C4">
        <w:rPr>
          <w:rFonts w:ascii="Arial" w:hAnsi="Arial" w:cs="Arial"/>
          <w:sz w:val="24"/>
          <w:szCs w:val="24"/>
        </w:rPr>
        <w:t>system.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840726" w14:textId="65D07297" w:rsidR="004A20C5" w:rsidRPr="004A20C5" w:rsidRDefault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any </w:t>
      </w:r>
      <w:r w:rsidR="00DF12C4">
        <w:rPr>
          <w:rFonts w:ascii="Arial" w:hAnsi="Arial" w:cs="Arial"/>
          <w:sz w:val="24"/>
          <w:szCs w:val="24"/>
        </w:rPr>
        <w:t xml:space="preserve">queries or </w:t>
      </w:r>
      <w:r>
        <w:rPr>
          <w:rFonts w:ascii="Arial" w:hAnsi="Arial" w:cs="Arial"/>
          <w:sz w:val="24"/>
          <w:szCs w:val="24"/>
        </w:rPr>
        <w:t xml:space="preserve">difficulties accessing </w:t>
      </w:r>
      <w:r w:rsidR="00DF12C4">
        <w:rPr>
          <w:rFonts w:ascii="Arial" w:hAnsi="Arial" w:cs="Arial"/>
          <w:sz w:val="24"/>
          <w:szCs w:val="24"/>
        </w:rPr>
        <w:t xml:space="preserve">the patient </w:t>
      </w:r>
      <w:r>
        <w:rPr>
          <w:rFonts w:ascii="Arial" w:hAnsi="Arial" w:cs="Arial"/>
          <w:sz w:val="24"/>
          <w:szCs w:val="24"/>
        </w:rPr>
        <w:t xml:space="preserve">record </w:t>
      </w:r>
      <w:r w:rsidR="00DF12C4">
        <w:rPr>
          <w:rFonts w:ascii="Arial" w:hAnsi="Arial" w:cs="Arial"/>
          <w:sz w:val="24"/>
          <w:szCs w:val="24"/>
        </w:rPr>
        <w:t>either contact your client directly</w:t>
      </w:r>
      <w:r>
        <w:rPr>
          <w:rFonts w:ascii="Arial" w:hAnsi="Arial" w:cs="Arial"/>
          <w:sz w:val="24"/>
          <w:szCs w:val="24"/>
        </w:rPr>
        <w:t xml:space="preserve"> </w:t>
      </w:r>
      <w:r w:rsidR="00DF12C4"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 xml:space="preserve">MediData Exchange using this email: </w:t>
      </w:r>
      <w:hyperlink r:id="rId5" w:history="1">
        <w:r w:rsidRPr="006E11E1">
          <w:rPr>
            <w:rStyle w:val="Hyperlink"/>
            <w:rFonts w:ascii="Arial" w:hAnsi="Arial" w:cs="Arial"/>
            <w:sz w:val="24"/>
            <w:szCs w:val="24"/>
          </w:rPr>
          <w:t>notifyus@med2data.com</w:t>
        </w:r>
      </w:hyperlink>
    </w:p>
    <w:sectPr w:rsidR="004A20C5" w:rsidRPr="004A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1C2334"/>
    <w:rsid w:val="004354A0"/>
    <w:rsid w:val="004A20C5"/>
    <w:rsid w:val="00985D8C"/>
    <w:rsid w:val="00A73B41"/>
    <w:rsid w:val="00B53ED5"/>
    <w:rsid w:val="00C358F9"/>
    <w:rsid w:val="00CB2C9C"/>
    <w:rsid w:val="00D542D5"/>
    <w:rsid w:val="00DA2EF3"/>
    <w:rsid w:val="00DF12C4"/>
    <w:rsid w:val="00E02F12"/>
    <w:rsid w:val="00E84146"/>
    <w:rsid w:val="00F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2019-02-13T17:25:00Z</dcterms:created>
  <dcterms:modified xsi:type="dcterms:W3CDTF">2019-02-13T17:25:00Z</dcterms:modified>
</cp:coreProperties>
</file>