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224325FF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</w:t>
      </w:r>
      <w:r w:rsidR="00046098">
        <w:rPr>
          <w:b/>
          <w:sz w:val="28"/>
          <w:szCs w:val="28"/>
        </w:rPr>
        <w:t>2</w:t>
      </w:r>
      <w:r w:rsidR="00E177E3">
        <w:rPr>
          <w:b/>
          <w:sz w:val="28"/>
          <w:szCs w:val="28"/>
        </w:rPr>
        <w:t>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</w:t>
            </w:r>
            <w:proofErr w:type="spellStart"/>
            <w:r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proofErr w:type="gramStart"/>
      <w:r w:rsidR="007C2E29" w:rsidRPr="007A5F23">
        <w:rPr>
          <w:i/>
          <w:iCs/>
        </w:rPr>
        <w:t>5</w:t>
      </w:r>
      <w:r w:rsidRPr="007A5F23">
        <w:rPr>
          <w:i/>
          <w:iCs/>
        </w:rPr>
        <w:t>°C</w:t>
      </w:r>
      <w:proofErr w:type="gramEnd"/>
      <w:r w:rsidRPr="007A5F23">
        <w:rPr>
          <w:i/>
          <w:iCs/>
        </w:rPr>
        <w:t xml:space="preserve">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5F75DC7F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D46852">
        <w:t xml:space="preserve">Tab. </w:t>
      </w:r>
      <w:r w:rsidR="00D46852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 xml:space="preserve">Obr. </w:t>
      </w:r>
      <w:r w:rsidR="005C65DB">
        <w:rPr>
          <w:bCs/>
        </w:rPr>
        <w:t xml:space="preserve">2 a </w:t>
      </w:r>
      <w:r w:rsidR="006A71D1">
        <w:rPr>
          <w:bCs/>
        </w:rPr>
        <w:t xml:space="preserve">Obr.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760A7C11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</w:t>
      </w:r>
      <w:r w:rsidR="00B8397B">
        <w:fldChar w:fldCharType="begin"/>
      </w:r>
      <w:r w:rsidR="00B8397B">
        <w:instrText xml:space="preserve"> SEQ Tab._ \* ARABIC </w:instrText>
      </w:r>
      <w:r w:rsidR="00B8397B">
        <w:fldChar w:fldCharType="separate"/>
      </w:r>
      <w:r w:rsidR="00D46852">
        <w:rPr>
          <w:noProof/>
        </w:rPr>
        <w:t>1</w:t>
      </w:r>
      <w:r w:rsidR="00B8397B">
        <w:rPr>
          <w:noProof/>
        </w:rPr>
        <w:fldChar w:fldCharType="end"/>
      </w:r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BF47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4CED0734" w:rsidR="0082414A" w:rsidRPr="00BF46A7" w:rsidRDefault="001A7EB3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8C3AE6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390BC72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B526006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6D1832F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40F6C80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21E222F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CA6E22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5131F0C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AA5FFC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1640DB8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500D98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31D37EF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</w:t>
            </w:r>
            <w:r w:rsidR="001A7EB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50272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7331F8E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68040EB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46A157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87499F9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32BC767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7CBAB5BB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D03A54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6B039B5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36DD6B42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62F945BC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1173C00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0ECE71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5D1D16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3A833D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5C803BF1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BF4785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5283DE80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093791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5AAC40F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3B7BF04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7D30F337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6EFAE3A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0E348B84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581064A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287E868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6C962B53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BF4785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708A6E6E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DD48985" w:rsidR="0082414A" w:rsidRPr="00BF46A7" w:rsidRDefault="00703EE0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BF4785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2BAF3F0F" w:rsidR="0082414A" w:rsidRPr="00BF46A7" w:rsidRDefault="001A7EB3" w:rsidP="00BF478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A1527B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17C3121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166332AA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28FA0BBE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0E38E070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D74FA33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  <w:r w:rsidR="001A7EB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69B53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35682FA3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07AE30C7" w:rsidR="003F70B7" w:rsidRPr="00997ABA" w:rsidRDefault="003F70B7" w:rsidP="00997ABA">
      <w:pPr>
        <w:rPr>
          <w:b/>
        </w:rPr>
      </w:pPr>
    </w:p>
    <w:p w14:paraId="731FBF4E" w14:textId="01F8D4C9" w:rsidR="003F70B7" w:rsidRDefault="004749B6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C0F2415" wp14:editId="69D85B84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3085200" cy="3301200"/>
            <wp:effectExtent l="0" t="0" r="1270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B7" w:rsidRPr="003F70B7">
        <w:t xml:space="preserve"> </w:t>
      </w:r>
      <w:r w:rsidR="003F70B7">
        <w:t xml:space="preserve">Obr. 1: </w:t>
      </w:r>
      <w:r w:rsidR="00997ABA">
        <w:t xml:space="preserve">Světelný tok zářivek </w:t>
      </w:r>
      <w:r w:rsidR="003F70B7">
        <w:t>(</w:t>
      </w:r>
      <w:proofErr w:type="spellStart"/>
      <w:r w:rsidR="00997ABA">
        <w:t>lm</w:t>
      </w:r>
      <w:proofErr w:type="spellEnd"/>
      <w:r w:rsidR="003F70B7">
        <w:t>) výrobce A</w:t>
      </w:r>
      <w:r w:rsidR="00997ABA">
        <w:t>mber</w:t>
      </w:r>
      <w:r w:rsidR="003F70B7">
        <w:t xml:space="preserve"> v závislosti na </w:t>
      </w:r>
      <w:r w:rsidR="00997ABA">
        <w:t>teplotě</w:t>
      </w:r>
      <w:r w:rsidR="003F70B7">
        <w:t xml:space="preserve"> (krabicový graf, původní data)</w:t>
      </w:r>
    </w:p>
    <w:p w14:paraId="0331EBCD" w14:textId="5F9C15AF" w:rsidR="004749B6" w:rsidRDefault="004749B6">
      <w:pPr>
        <w:rPr>
          <w:b/>
        </w:rPr>
      </w:pPr>
    </w:p>
    <w:p w14:paraId="75D42AD1" w14:textId="35A9E93C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</w:t>
      </w:r>
      <w:proofErr w:type="spellStart"/>
      <w:r w:rsidR="00997ABA">
        <w:t>lm</w:t>
      </w:r>
      <w:proofErr w:type="spellEnd"/>
      <w:r w:rsidR="00997ABA">
        <w:t>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4E234FAE" w14:textId="0C6B58C0" w:rsidR="002B7E3D" w:rsidRDefault="004749B6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35A231D" wp14:editId="458C093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088800" cy="3301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A373B" w14:textId="106A7C64" w:rsidR="00997ABA" w:rsidRDefault="00997ABA" w:rsidP="00997ABA">
      <w:pPr>
        <w:pStyle w:val="Titulek"/>
        <w:keepNext/>
        <w:jc w:val="center"/>
      </w:pPr>
      <w:r>
        <w:t>Obr. 3: Světelný tok zářivek (</w:t>
      </w:r>
      <w:proofErr w:type="spellStart"/>
      <w:r>
        <w:t>lm</w:t>
      </w:r>
      <w:proofErr w:type="spellEnd"/>
      <w:r>
        <w:t>) výrobce Amber v závislosti na teplotě (Q-Q graf</w:t>
      </w:r>
      <w:r w:rsidR="004749B6">
        <w:t xml:space="preserve">, data po odstranění </w:t>
      </w:r>
      <w:proofErr w:type="spellStart"/>
      <w:r w:rsidR="004749B6">
        <w:t>odl</w:t>
      </w:r>
      <w:proofErr w:type="spellEnd"/>
      <w:r w:rsidR="004749B6">
        <w:t>. pozorování</w:t>
      </w:r>
      <w:r>
        <w:t>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51A4D4EF" w:rsidR="002B7E3D" w:rsidRDefault="002B7E3D">
      <w:pPr>
        <w:rPr>
          <w:b/>
        </w:rPr>
      </w:pPr>
    </w:p>
    <w:p w14:paraId="3B89C24C" w14:textId="77777777" w:rsidR="008E6116" w:rsidRDefault="008E6116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</w:t>
      </w:r>
      <w:proofErr w:type="gramStart"/>
      <w:r>
        <w:rPr>
          <w:b/>
        </w:rPr>
        <w:t>5°C</w:t>
      </w:r>
      <w:proofErr w:type="gramEnd"/>
      <w:r w:rsidR="00F1342E">
        <w:rPr>
          <w:b/>
        </w:rPr>
        <w:t>)</w:t>
      </w:r>
    </w:p>
    <w:p w14:paraId="0DF59B36" w14:textId="63726E22" w:rsidR="002B7E3D" w:rsidRPr="004E6689" w:rsidRDefault="00F027EA">
      <w:pPr>
        <w:jc w:val="both"/>
      </w:pPr>
      <w:r w:rsidRPr="004E6689">
        <w:t xml:space="preserve">Během testu byl měřen </w:t>
      </w:r>
      <w:r w:rsidR="00F1342E" w:rsidRPr="004E6689">
        <w:t>světelný tok</w:t>
      </w:r>
      <w:r w:rsidR="00590553" w:rsidRPr="004E6689">
        <w:t xml:space="preserve"> 72</w:t>
      </w:r>
      <w:r w:rsidRPr="004E6689">
        <w:t xml:space="preserve"> kusů zářivek výrobce Amber. Naměřená </w:t>
      </w:r>
      <w:r w:rsidR="00F1342E" w:rsidRPr="004E6689">
        <w:t>světelný tok</w:t>
      </w:r>
      <w:r w:rsidRPr="004E6689">
        <w:t xml:space="preserve"> při teplotě </w:t>
      </w:r>
      <w:proofErr w:type="gramStart"/>
      <w:r w:rsidRPr="004E6689">
        <w:t>5°C</w:t>
      </w:r>
      <w:proofErr w:type="gramEnd"/>
      <w:r w:rsidRPr="004E6689">
        <w:t xml:space="preserve"> se pohyboval v</w:t>
      </w:r>
      <w:r w:rsidR="00590553" w:rsidRPr="004E6689">
        <w:t> </w:t>
      </w:r>
      <w:r w:rsidRPr="004E6689">
        <w:t>rozmezí</w:t>
      </w:r>
      <w:r w:rsidR="00590553" w:rsidRPr="004E6689">
        <w:t xml:space="preserve"> </w:t>
      </w:r>
      <w:r w:rsidR="00590553" w:rsidRPr="004E6689">
        <w:rPr>
          <w:rFonts w:asciiTheme="minorHAnsi" w:hAnsiTheme="minorHAnsi" w:cstheme="minorHAnsi"/>
        </w:rPr>
        <w:t>652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1</w:t>
      </w:r>
      <w:r w:rsidRPr="004E6689">
        <w:t xml:space="preserve"> </w:t>
      </w:r>
      <w:proofErr w:type="spellStart"/>
      <w:r w:rsidR="00F1342E" w:rsidRPr="004E6689">
        <w:t>lm</w:t>
      </w:r>
      <w:proofErr w:type="spellEnd"/>
      <w:r w:rsidR="00F1342E" w:rsidRPr="004E6689">
        <w:t xml:space="preserve"> </w:t>
      </w:r>
      <w:r w:rsidRPr="004E6689">
        <w:t xml:space="preserve">až </w:t>
      </w:r>
      <w:r w:rsidR="00590553" w:rsidRPr="004E6689">
        <w:rPr>
          <w:rFonts w:asciiTheme="minorHAnsi" w:hAnsiTheme="minorHAnsi" w:cstheme="minorHAnsi"/>
        </w:rPr>
        <w:t>813</w:t>
      </w:r>
      <w:r w:rsidR="004E6689" w:rsidRPr="004E6689">
        <w:rPr>
          <w:rFonts w:asciiTheme="minorHAnsi" w:hAnsiTheme="minorHAnsi" w:cstheme="minorHAnsi"/>
        </w:rPr>
        <w:t>,</w:t>
      </w:r>
      <w:r w:rsidR="00590553" w:rsidRPr="004E6689">
        <w:rPr>
          <w:rFonts w:asciiTheme="minorHAnsi" w:hAnsiTheme="minorHAnsi" w:cstheme="minorHAnsi"/>
        </w:rPr>
        <w:t>4</w:t>
      </w:r>
      <w:r w:rsidRPr="004E6689">
        <w:t xml:space="preserve"> </w:t>
      </w:r>
      <w:proofErr w:type="spellStart"/>
      <w:r w:rsidRPr="004E6689">
        <w:t>lm</w:t>
      </w:r>
      <w:proofErr w:type="spellEnd"/>
      <w:r w:rsidRPr="004E6689">
        <w:t xml:space="preserve">. </w:t>
      </w:r>
      <w:r w:rsidR="00F1342E" w:rsidRPr="004E6689">
        <w:t>Světelný tok</w:t>
      </w:r>
      <w:r w:rsidRPr="004E6689">
        <w:t xml:space="preserve"> </w:t>
      </w:r>
      <w:r w:rsidR="00F1342E" w:rsidRPr="004E6689">
        <w:t>zářivek</w:t>
      </w:r>
      <w:r w:rsidRPr="004E6689">
        <w:t xml:space="preserve"> č. </w:t>
      </w:r>
      <w:r w:rsidR="00590553" w:rsidRPr="004E6689">
        <w:t xml:space="preserve">19, 29 </w:t>
      </w:r>
      <w:r w:rsidRPr="004E6689">
        <w:t>byl na základě metody vnitřních hradeb identifikován jako odlehl</w:t>
      </w:r>
      <w:r w:rsidR="00F52D39" w:rsidRPr="004E6689">
        <w:t>é</w:t>
      </w:r>
      <w:r w:rsidRPr="004E6689">
        <w:t xml:space="preserve"> pozorování a nebud</w:t>
      </w:r>
      <w:r w:rsidR="00F52D39" w:rsidRPr="004E6689">
        <w:t>e</w:t>
      </w:r>
      <w:r w:rsidRPr="004E6689">
        <w:t xml:space="preserve">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</w:t>
      </w:r>
      <w:r w:rsidR="00F1342E" w:rsidRPr="004E6689">
        <w:t>světelný tok</w:t>
      </w:r>
      <w:r w:rsidR="00F52D39" w:rsidRPr="004E6689">
        <w:t>u</w:t>
      </w:r>
      <w:r w:rsidRPr="004E6689">
        <w:t xml:space="preserve">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70 </w:t>
      </w:r>
      <w:r w:rsidRPr="004E6689">
        <w:t>kusů zářivek. Jejich průměrn</w:t>
      </w:r>
      <w:r w:rsidR="00F52D39" w:rsidRPr="004E6689">
        <w:t>ý</w:t>
      </w:r>
      <w:r w:rsidRPr="004E6689">
        <w:t xml:space="preserve"> </w:t>
      </w:r>
      <w:r w:rsidR="00F1342E" w:rsidRPr="004E6689">
        <w:t>světelný tok</w:t>
      </w:r>
      <w:r w:rsidRPr="004E6689">
        <w:t xml:space="preserve">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5 </w:t>
      </w:r>
      <w:proofErr w:type="spellStart"/>
      <w:r w:rsidRPr="004E6689">
        <w:t>lm</w:t>
      </w:r>
      <w:proofErr w:type="spellEnd"/>
      <w:r w:rsidRPr="004E6689">
        <w:t xml:space="preserve">. U poloviny testovaných zářivek </w:t>
      </w:r>
      <w:r w:rsidR="00F1342E" w:rsidRPr="004E6689">
        <w:t>světelný tok</w:t>
      </w:r>
      <w:r w:rsidRPr="004E6689">
        <w:t xml:space="preserve"> nepřekročil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. V polovině měření se </w:t>
      </w:r>
      <w:r w:rsidR="00F1342E" w:rsidRPr="004E6689">
        <w:t>světelný tok</w:t>
      </w:r>
      <w:r w:rsidRPr="004E6689">
        <w:t xml:space="preserve">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2 </w:t>
      </w:r>
      <w:proofErr w:type="spellStart"/>
      <w:r w:rsidR="00F52D39"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 xml:space="preserve">Analýza světelného toku zářivek výrobce Amber (po 30 sekundách od zapnutí, při teplotě </w:t>
      </w:r>
      <w:proofErr w:type="gramStart"/>
      <w:r>
        <w:rPr>
          <w:b/>
        </w:rPr>
        <w:t>22°C</w:t>
      </w:r>
      <w:proofErr w:type="gramEnd"/>
      <w:r>
        <w:rPr>
          <w:b/>
        </w:rPr>
        <w:t>)</w:t>
      </w:r>
    </w:p>
    <w:p w14:paraId="59D38DBB" w14:textId="4BDB4C2F" w:rsidR="00F52D39" w:rsidRPr="004E6689" w:rsidRDefault="00F52D39" w:rsidP="00F52D39">
      <w:pPr>
        <w:jc w:val="both"/>
      </w:pPr>
      <w:r w:rsidRPr="004E6689">
        <w:t xml:space="preserve">Během testu byl měřen světelný tok </w:t>
      </w:r>
      <w:r w:rsidR="0068781F" w:rsidRPr="004E6689">
        <w:t>72</w:t>
      </w:r>
      <w:r w:rsidR="0068781F" w:rsidRPr="004E6689">
        <w:rPr>
          <w:rFonts w:asciiTheme="minorHAnsi" w:eastAsia="Times New Roman" w:hAnsiTheme="minorHAnsi" w:cstheme="minorHAnsi"/>
          <w:b/>
          <w:bCs/>
          <w:lang w:eastAsia="cs-CZ"/>
        </w:rPr>
        <w:t xml:space="preserve"> </w:t>
      </w:r>
      <w:r w:rsidRPr="004E6689">
        <w:t xml:space="preserve">kusů zářivek výrobce Amber. Naměřená světelný tok při teplotě </w:t>
      </w:r>
      <w:proofErr w:type="gramStart"/>
      <w:r w:rsidRPr="004E6689">
        <w:t>22°C</w:t>
      </w:r>
      <w:proofErr w:type="gramEnd"/>
      <w:r w:rsidRPr="004E6689">
        <w:t xml:space="preserve"> se pohyboval v rozmezí </w:t>
      </w:r>
      <w:r w:rsidR="0068781F" w:rsidRPr="004E6689">
        <w:rPr>
          <w:rFonts w:asciiTheme="minorHAnsi" w:hAnsiTheme="minorHAnsi" w:cstheme="minorHAnsi"/>
        </w:rPr>
        <w:t>658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3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68781F" w:rsidRPr="004E6689">
        <w:rPr>
          <w:rFonts w:asciiTheme="minorHAnsi" w:hAnsiTheme="minorHAnsi" w:cstheme="minorHAnsi"/>
        </w:rPr>
        <w:t>814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4 </w:t>
      </w:r>
      <w:proofErr w:type="spellStart"/>
      <w:r w:rsidRPr="004E6689">
        <w:t>lm</w:t>
      </w:r>
      <w:proofErr w:type="spellEnd"/>
      <w:r w:rsidRPr="004E6689">
        <w:t xml:space="preserve">. Světelný tok zářivek č. </w:t>
      </w:r>
      <w:r w:rsidR="0068781F" w:rsidRPr="004E6689">
        <w:rPr>
          <w:lang w:val="en-US"/>
        </w:rPr>
        <w:t>29</w:t>
      </w:r>
      <w:r w:rsidRPr="004E6689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4E6689">
        <w:t xml:space="preserve">nestandartně kvalitní zářivka. </w:t>
      </w:r>
      <w:r w:rsidRPr="004E6689">
        <w:t xml:space="preserve">Dále uvedené výsledky tedy pocházejí z analýzy světelný toku </w:t>
      </w:r>
      <w:r w:rsidR="0068781F" w:rsidRPr="004E6689">
        <w:rPr>
          <w:rFonts w:asciiTheme="minorHAnsi" w:eastAsia="Times New Roman" w:hAnsiTheme="minorHAnsi" w:cstheme="minorHAnsi"/>
          <w:lang w:eastAsia="cs-CZ"/>
        </w:rPr>
        <w:t xml:space="preserve">71 </w:t>
      </w:r>
      <w:r w:rsidRPr="004E6689">
        <w:t xml:space="preserve">kusů zářivek. Jejich průměrný světelný tok byl </w:t>
      </w:r>
      <w:r w:rsidR="0068781F" w:rsidRPr="004E6689">
        <w:rPr>
          <w:rFonts w:asciiTheme="minorHAnsi" w:hAnsiTheme="minorHAnsi" w:cstheme="minorHAnsi"/>
        </w:rPr>
        <w:t>782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7 </w:t>
      </w:r>
      <w:proofErr w:type="spellStart"/>
      <w:r w:rsidRPr="004E6689">
        <w:t>lm</w:t>
      </w:r>
      <w:proofErr w:type="spellEnd"/>
      <w:r w:rsidRPr="004E6689">
        <w:t xml:space="preserve">, směrodatná odchylka pak </w:t>
      </w:r>
      <w:r w:rsidR="0068781F" w:rsidRPr="004E6689">
        <w:rPr>
          <w:rFonts w:asciiTheme="minorHAnsi" w:hAnsiTheme="minorHAnsi" w:cstheme="minorHAnsi"/>
        </w:rPr>
        <w:t>17</w:t>
      </w:r>
      <w:r w:rsidR="004E6689" w:rsidRPr="004E6689">
        <w:rPr>
          <w:rFonts w:asciiTheme="minorHAnsi" w:hAnsiTheme="minorHAnsi" w:cstheme="minorHAnsi"/>
        </w:rPr>
        <w:t>,</w:t>
      </w:r>
      <w:r w:rsidR="0068781F" w:rsidRPr="004E6689">
        <w:rPr>
          <w:rFonts w:asciiTheme="minorHAnsi" w:hAnsiTheme="minorHAnsi" w:cstheme="minorHAnsi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U poloviny testovaných zářivek světelný tok nepřekročil </w:t>
      </w:r>
      <w:r w:rsidR="0068781F" w:rsidRPr="004E6689">
        <w:rPr>
          <w:rFonts w:asciiTheme="minorHAnsi" w:hAnsiTheme="minorHAnsi" w:cstheme="minorHAnsi"/>
          <w:lang w:val="en-US"/>
        </w:rPr>
        <w:t>785</w:t>
      </w:r>
      <w:r w:rsidR="004E6689" w:rsidRPr="004E6689">
        <w:rPr>
          <w:rFonts w:asciiTheme="minorHAnsi" w:hAnsiTheme="minorHAnsi" w:cstheme="minorHAnsi"/>
          <w:lang w:val="en-US"/>
        </w:rPr>
        <w:t>,</w:t>
      </w:r>
      <w:r w:rsidR="0068781F" w:rsidRPr="004E6689">
        <w:rPr>
          <w:rFonts w:asciiTheme="minorHAnsi" w:hAnsiTheme="minorHAnsi" w:cstheme="minorHAnsi"/>
          <w:lang w:val="en-US"/>
        </w:rPr>
        <w:t xml:space="preserve">1 </w:t>
      </w:r>
      <w:proofErr w:type="spellStart"/>
      <w:r w:rsidRPr="004E6689">
        <w:t>lm</w:t>
      </w:r>
      <w:proofErr w:type="spellEnd"/>
      <w:r w:rsidRPr="004E6689">
        <w:t xml:space="preserve">. V polovině měření se světelný tok pohyboval v rozmezí </w:t>
      </w:r>
      <w:r w:rsidR="00EE0237" w:rsidRPr="004E6689">
        <w:rPr>
          <w:rFonts w:asciiTheme="minorHAnsi" w:hAnsiTheme="minorHAnsi" w:cstheme="minorHAnsi"/>
        </w:rPr>
        <w:t>767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8 </w:t>
      </w:r>
      <w:proofErr w:type="spellStart"/>
      <w:r w:rsidRPr="004E6689">
        <w:t>lm</w:t>
      </w:r>
      <w:proofErr w:type="spellEnd"/>
      <w:r w:rsidRPr="004E6689">
        <w:t xml:space="preserve"> až </w:t>
      </w:r>
      <w:r w:rsidR="00EE0237" w:rsidRPr="004E6689">
        <w:rPr>
          <w:rFonts w:asciiTheme="minorHAnsi" w:hAnsiTheme="minorHAnsi" w:cstheme="minorHAnsi"/>
        </w:rPr>
        <w:t>796</w:t>
      </w:r>
      <w:r w:rsidR="004E6689" w:rsidRPr="004E6689">
        <w:rPr>
          <w:rFonts w:asciiTheme="minorHAnsi" w:hAnsiTheme="minorHAnsi" w:cstheme="minorHAnsi"/>
        </w:rPr>
        <w:t>,</w:t>
      </w:r>
      <w:r w:rsidR="00EE0237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t>lm</w:t>
      </w:r>
      <w:proofErr w:type="spellEnd"/>
      <w:r w:rsidRPr="004E6689">
        <w:t>. Vzhledem k hodnotě variačního koeficientu (</w:t>
      </w:r>
      <w:r w:rsidR="0068781F" w:rsidRPr="004E6689">
        <w:rPr>
          <w:rFonts w:asciiTheme="minorHAnsi" w:hAnsiTheme="minorHAnsi" w:cstheme="minorHAnsi"/>
        </w:rPr>
        <w:t>2.2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t>%) lze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</w:t>
      </w:r>
      <w:proofErr w:type="gramStart"/>
      <w:r>
        <w:rPr>
          <w:b/>
        </w:rPr>
        <w:t>5°C</w:t>
      </w:r>
      <w:proofErr w:type="gramEnd"/>
      <w:r>
        <w:rPr>
          <w:b/>
        </w:rPr>
        <w:t xml:space="preserve"> na základě explorační analýzy</w:t>
      </w:r>
    </w:p>
    <w:p w14:paraId="07FA7DF6" w14:textId="5A048D9A" w:rsidR="002B7E3D" w:rsidRPr="004E6689" w:rsidRDefault="00F027EA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 xml:space="preserve">Na základě grafického zobrazení (viz </w:t>
      </w:r>
      <w:r w:rsidR="00AC6321" w:rsidRPr="004E6689">
        <w:rPr>
          <w:rFonts w:asciiTheme="minorHAnsi" w:hAnsiTheme="minorHAnsi" w:cstheme="minorHAnsi"/>
        </w:rPr>
        <w:t>Obr. 2 a Obr. 3</w:t>
      </w:r>
      <w:r w:rsidR="00AC6321" w:rsidRPr="004E6689">
        <w:rPr>
          <w:rFonts w:asciiTheme="minorHAnsi" w:hAnsiTheme="minorHAnsi" w:cstheme="minorHAnsi"/>
          <w:lang w:val="en-US"/>
        </w:rPr>
        <w:t>)</w:t>
      </w:r>
      <w:r w:rsidRPr="004E6689">
        <w:rPr>
          <w:rFonts w:asciiTheme="minorHAnsi" w:hAnsiTheme="minorHAnsi" w:cstheme="minorHAnsi"/>
        </w:rPr>
        <w:t xml:space="preserve"> a výběrové šikmosti a špičatosti (výběrová šikmost i</w:t>
      </w:r>
      <w:r w:rsidR="00F52D39" w:rsidRPr="004E6689">
        <w:rPr>
          <w:rFonts w:asciiTheme="minorHAnsi" w:hAnsiTheme="minorHAnsi" w:cstheme="minorHAnsi"/>
        </w:rPr>
        <w:t> </w:t>
      </w:r>
      <w:r w:rsidRPr="004E6689">
        <w:rPr>
          <w:rFonts w:asciiTheme="minorHAnsi" w:hAnsiTheme="minorHAnsi" w:cstheme="minorHAnsi"/>
        </w:rPr>
        <w:t xml:space="preserve">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</w:t>
      </w:r>
      <w:r w:rsidR="00F1342E" w:rsidRPr="004E6689">
        <w:rPr>
          <w:rFonts w:asciiTheme="minorHAnsi" w:eastAsia="Times New Roman" w:hAnsiTheme="minorHAnsi" w:cstheme="minorHAnsi"/>
        </w:rPr>
        <w:t>světelný tok</w:t>
      </w:r>
      <w:r w:rsidRPr="004E6689">
        <w:rPr>
          <w:rFonts w:asciiTheme="minorHAnsi" w:eastAsia="Times New Roman" w:hAnsiTheme="minorHAnsi" w:cstheme="minorHAnsi"/>
        </w:rPr>
        <w:t xml:space="preserve">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5°C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%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zářivek bude mít </w:t>
      </w:r>
      <w:r w:rsidR="00F1342E" w:rsidRPr="004E6689">
        <w:rPr>
          <w:rFonts w:asciiTheme="minorHAnsi" w:hAnsiTheme="minorHAnsi" w:cstheme="minorHAnsi"/>
        </w:rPr>
        <w:t>světelný tok</w:t>
      </w:r>
      <w:r w:rsidRPr="004E6689">
        <w:rPr>
          <w:rFonts w:asciiTheme="minorHAnsi" w:hAnsiTheme="minorHAnsi" w:cstheme="minorHAnsi"/>
        </w:rPr>
        <w:t xml:space="preserve"> v rozmezí </w:t>
      </w:r>
      <w:r w:rsidR="003F1CD2" w:rsidRPr="004E6689">
        <w:rPr>
          <w:rFonts w:asciiTheme="minorHAnsi" w:hAnsiTheme="minorHAnsi" w:cstheme="minorHAnsi"/>
        </w:rPr>
        <w:t>747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>3</w:t>
      </w:r>
      <w:r w:rsidR="004E6689" w:rsidRPr="004E6689">
        <w:rPr>
          <w:rFonts w:asciiTheme="minorHAnsi" w:hAnsiTheme="minorHAnsi" w:cstheme="minorHAnsi"/>
        </w:rPr>
        <w:t xml:space="preserve"> </w:t>
      </w:r>
      <w:proofErr w:type="spellStart"/>
      <w:r w:rsidR="00F52D39" w:rsidRPr="004E6689">
        <w:rPr>
          <w:rFonts w:asciiTheme="minorHAnsi" w:hAnsiTheme="minorHAnsi" w:cstheme="minorHAnsi"/>
        </w:rPr>
        <w:t>lm</w:t>
      </w:r>
      <w:proofErr w:type="spellEnd"/>
      <w:r w:rsidR="00F52D39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až </w:t>
      </w:r>
      <w:r w:rsidR="003F1CD2" w:rsidRPr="004E6689">
        <w:rPr>
          <w:rFonts w:asciiTheme="minorHAnsi" w:hAnsiTheme="minorHAnsi" w:cstheme="minorHAnsi"/>
        </w:rPr>
        <w:t>817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0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5CDB9946" w:rsidR="00F52D39" w:rsidRPr="004E6689" w:rsidRDefault="00F52D39" w:rsidP="00F52D39">
      <w:pPr>
        <w:jc w:val="both"/>
        <w:rPr>
          <w:rFonts w:asciiTheme="minorHAnsi" w:hAnsiTheme="minorHAnsi" w:cstheme="minorHAnsi"/>
        </w:rPr>
      </w:pPr>
      <w:r w:rsidRPr="004E6689">
        <w:rPr>
          <w:rFonts w:asciiTheme="minorHAnsi" w:hAnsiTheme="minorHAnsi" w:cstheme="minorHAnsi"/>
        </w:rPr>
        <w:t>Na základě grafického zobrazení (</w:t>
      </w:r>
      <w:r w:rsidR="00AC6321" w:rsidRPr="004E6689">
        <w:rPr>
          <w:rFonts w:asciiTheme="minorHAnsi" w:hAnsiTheme="minorHAnsi" w:cstheme="minorHAnsi"/>
        </w:rPr>
        <w:t xml:space="preserve">viz Obr. 2 a Obr. 3) </w:t>
      </w:r>
      <w:r w:rsidRPr="004E6689">
        <w:rPr>
          <w:rFonts w:asciiTheme="minorHAnsi" w:hAnsiTheme="minorHAnsi" w:cstheme="minorHAnsi"/>
        </w:rPr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  <m:r>
              <w:rPr>
                <w:rFonts w:ascii="Cambria Math" w:hAnsi="Cambria Math" w:cstheme="minorHAnsi"/>
              </w:rPr>
              <m:t>;</m:t>
            </m:r>
            <m:r>
              <m:rPr>
                <m:lit/>
                <m:nor/>
              </m:rPr>
              <w:rPr>
                <w:rFonts w:asciiTheme="minorHAnsi" w:hAnsiTheme="minorHAnsi" w:cstheme="minorHAnsi"/>
              </w:rPr>
              <m:t>2</m:t>
            </m:r>
          </m:e>
        </m:d>
      </m:oMath>
      <w:r w:rsidRPr="004E6689">
        <w:rPr>
          <w:rFonts w:asciiTheme="minorHAnsi" w:eastAsia="Times New Roman" w:hAnsiTheme="minorHAnsi" w:cstheme="minorHAnsi"/>
        </w:rPr>
        <w:t xml:space="preserve"> lze předpokládat, že světelný tok zářivek výrobce Amber při teplotě </w:t>
      </w:r>
      <w:proofErr w:type="gramStart"/>
      <w:r w:rsidRPr="004E6689">
        <w:rPr>
          <w:rFonts w:asciiTheme="minorHAnsi" w:eastAsia="Times New Roman" w:hAnsiTheme="minorHAnsi" w:cstheme="minorHAnsi"/>
        </w:rPr>
        <w:t>22°C</w:t>
      </w:r>
      <w:proofErr w:type="gramEnd"/>
      <w:r w:rsidRPr="004E6689">
        <w:rPr>
          <w:rFonts w:asciiTheme="minorHAnsi" w:eastAsia="Times New Roman" w:hAnsiTheme="minorHAnsi" w:cstheme="minorHAnsi"/>
        </w:rPr>
        <w:t xml:space="preserve"> má normální rozdělení. </w:t>
      </w:r>
      <w:r w:rsidRPr="004E6689">
        <w:rPr>
          <w:rFonts w:asciiTheme="minorHAnsi" w:hAnsiTheme="minorHAnsi" w:cstheme="minorHAnsi"/>
        </w:rPr>
        <w:t>Dle pravidla 3</w:t>
      </w:r>
      <m:oMath>
        <m:r>
          <m:rPr>
            <m:lit/>
            <m:nor/>
          </m:rPr>
          <w:rPr>
            <w:rFonts w:asciiTheme="minorHAnsi" w:hAnsiTheme="minorHAnsi" w:cstheme="minorHAnsi"/>
          </w:rPr>
          <m:t>σ</m:t>
        </m:r>
      </m:oMath>
      <w:r w:rsidRPr="004E6689">
        <w:rPr>
          <w:rFonts w:asciiTheme="minorHAnsi" w:eastAsia="Times New Roman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>lze tedy očekávat, že přibližně 95</w:t>
      </w:r>
      <w:r w:rsidR="003F1CD2" w:rsidRPr="004E6689">
        <w:rPr>
          <w:rFonts w:asciiTheme="minorHAnsi" w:hAnsiTheme="minorHAnsi" w:cstheme="minorHAnsi"/>
        </w:rPr>
        <w:t xml:space="preserve"> </w:t>
      </w:r>
      <w:r w:rsidRPr="004E6689">
        <w:rPr>
          <w:rFonts w:asciiTheme="minorHAnsi" w:hAnsiTheme="minorHAnsi" w:cstheme="minorHAnsi"/>
        </w:rPr>
        <w:t xml:space="preserve">% zářivek bude mít světelný tok v rozmezí </w:t>
      </w:r>
      <w:r w:rsidR="003F1CD2" w:rsidRPr="004E6689">
        <w:rPr>
          <w:rFonts w:asciiTheme="minorHAnsi" w:hAnsiTheme="minorHAnsi" w:cstheme="minorHAnsi"/>
        </w:rPr>
        <w:t>748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6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 xml:space="preserve"> až </w:t>
      </w:r>
      <w:r w:rsidR="003F1CD2" w:rsidRPr="004E6689">
        <w:rPr>
          <w:rFonts w:asciiTheme="minorHAnsi" w:hAnsiTheme="minorHAnsi" w:cstheme="minorHAnsi"/>
        </w:rPr>
        <w:t>816</w:t>
      </w:r>
      <w:r w:rsidR="004E6689" w:rsidRPr="004E6689">
        <w:rPr>
          <w:rFonts w:asciiTheme="minorHAnsi" w:hAnsiTheme="minorHAnsi" w:cstheme="minorHAnsi"/>
        </w:rPr>
        <w:t>,</w:t>
      </w:r>
      <w:r w:rsidR="003F1CD2" w:rsidRPr="004E6689">
        <w:rPr>
          <w:rFonts w:asciiTheme="minorHAnsi" w:hAnsiTheme="minorHAnsi" w:cstheme="minorHAnsi"/>
        </w:rPr>
        <w:t xml:space="preserve">9 </w:t>
      </w:r>
      <w:proofErr w:type="spellStart"/>
      <w:r w:rsidRPr="004E6689">
        <w:rPr>
          <w:rFonts w:asciiTheme="minorHAnsi" w:hAnsiTheme="minorHAnsi" w:cstheme="minorHAnsi"/>
        </w:rPr>
        <w:t>lm</w:t>
      </w:r>
      <w:proofErr w:type="spellEnd"/>
      <w:r w:rsidRPr="004E6689">
        <w:rPr>
          <w:rFonts w:asciiTheme="minorHAnsi" w:hAnsiTheme="minorHAnsi" w:cstheme="minorHAnsi"/>
        </w:rPr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28DAC9EB" w14:textId="773CFF33" w:rsidR="00CE4BC1" w:rsidRDefault="00F027EA" w:rsidP="006D00A1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p w14:paraId="7A1746D4" w14:textId="38E57F08" w:rsidR="00D27DD7" w:rsidRDefault="00D27DD7" w:rsidP="00D27DD7">
      <w:pPr>
        <w:jc w:val="both"/>
      </w:pPr>
      <w:r>
        <w:t xml:space="preserve">U výrobce Amber i </w:t>
      </w:r>
      <w:proofErr w:type="spellStart"/>
      <w:r>
        <w:t>Bright</w:t>
      </w:r>
      <w:proofErr w:type="spellEnd"/>
      <w:r>
        <w:t xml:space="preserve"> bylo pozorováno jedno odlehlé pozorování (viz Obr. 4), toto jsme se rozhodl z dalšího zpracování vypustit.</w:t>
      </w:r>
    </w:p>
    <w:p w14:paraId="6D806140" w14:textId="457BEDD4" w:rsidR="00F06E2F" w:rsidRPr="00F06E2F" w:rsidRDefault="00F06E2F" w:rsidP="00D27DD7">
      <w:pPr>
        <w:jc w:val="both"/>
      </w:pPr>
      <w:r>
        <w:rPr>
          <w:i/>
          <w:iCs/>
          <w:noProof/>
        </w:rPr>
        <w:drawing>
          <wp:anchor distT="0" distB="0" distL="114300" distR="114300" simplePos="0" relativeHeight="251672576" behindDoc="0" locked="0" layoutInCell="1" allowOverlap="1" wp14:anchorId="18F3F781" wp14:editId="2125EA0B">
            <wp:simplePos x="0" y="0"/>
            <wp:positionH relativeFrom="margin">
              <wp:align>center</wp:align>
            </wp:positionH>
            <wp:positionV relativeFrom="paragraph">
              <wp:posOffset>745738</wp:posOffset>
            </wp:positionV>
            <wp:extent cx="3707224" cy="4015358"/>
            <wp:effectExtent l="0" t="0" r="7620" b="4445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24" cy="40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DD7">
        <w:t xml:space="preserve">U obou výrobců došlo spíše k poklesu světelného toku (viz. Obr. 5). Zároveň, ale dochází i k nárustu světelného toku. U výrobce Amber, lze pozorovat výraznější </w:t>
      </w:r>
      <w:r w:rsidR="00473719">
        <w:t>rozptyl hodnot</w:t>
      </w:r>
      <w:r w:rsidR="00D27DD7">
        <w:t>.</w:t>
      </w:r>
      <w:r w:rsidR="00741846">
        <w:t xml:space="preserve"> </w:t>
      </w:r>
      <w:r w:rsidR="00C2332F">
        <w:t>Zdá se, že u</w:t>
      </w:r>
      <w:r w:rsidR="00741846">
        <w:t xml:space="preserve"> výrobce </w:t>
      </w:r>
      <w:proofErr w:type="spellStart"/>
      <w:r w:rsidR="00741846">
        <w:t>Bright</w:t>
      </w:r>
      <w:proofErr w:type="spellEnd"/>
      <w:r w:rsidR="00741846">
        <w:t xml:space="preserve"> </w:t>
      </w:r>
      <w:r w:rsidR="00247A2B">
        <w:t xml:space="preserve">oproti výrobce Amber </w:t>
      </w:r>
      <w:r w:rsidR="00C2332F">
        <w:t>dochází</w:t>
      </w:r>
      <w:r w:rsidR="00741846">
        <w:t xml:space="preserve"> </w:t>
      </w:r>
      <w:r w:rsidR="00247A2B">
        <w:t xml:space="preserve">v průměru </w:t>
      </w:r>
      <w:r w:rsidR="00F009A0">
        <w:t xml:space="preserve">k </w:t>
      </w:r>
      <w:r w:rsidR="00F336F4">
        <w:t>výraznější</w:t>
      </w:r>
      <w:r w:rsidR="00F009A0">
        <w:t>m</w:t>
      </w:r>
      <w:r w:rsidR="00F336F4">
        <w:t xml:space="preserve"> </w:t>
      </w:r>
      <w:r w:rsidR="00F009A0">
        <w:t xml:space="preserve">poklesům </w:t>
      </w:r>
      <w:r w:rsidR="00F336F4">
        <w:t>světelného toku</w:t>
      </w:r>
      <w:r w:rsidR="00741846">
        <w:t>.</w:t>
      </w:r>
    </w:p>
    <w:p w14:paraId="04D2A666" w14:textId="345378C5" w:rsidR="00F06E2F" w:rsidRDefault="00F06E2F" w:rsidP="00D27DD7">
      <w:pPr>
        <w:jc w:val="both"/>
        <w:rPr>
          <w:i/>
          <w:iCs/>
        </w:rPr>
      </w:pPr>
    </w:p>
    <w:p w14:paraId="27B4A96A" w14:textId="564AFFBC" w:rsidR="00D27DD7" w:rsidRDefault="00D27DD7" w:rsidP="00D27DD7">
      <w:pPr>
        <w:pStyle w:val="Titulek"/>
        <w:keepNext/>
        <w:tabs>
          <w:tab w:val="center" w:pos="4896"/>
        </w:tabs>
        <w:jc w:val="center"/>
      </w:pPr>
      <w:r>
        <w:t xml:space="preserve">Obr. 4: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původní data)</w:t>
      </w:r>
    </w:p>
    <w:p w14:paraId="07EBD3FA" w14:textId="11621C94" w:rsidR="00D27DD7" w:rsidRDefault="00D27DD7" w:rsidP="00D27DD7">
      <w:pPr>
        <w:jc w:val="both"/>
        <w:rPr>
          <w:i/>
          <w:iCs/>
        </w:rPr>
      </w:pPr>
    </w:p>
    <w:p w14:paraId="59ACDD41" w14:textId="674B272D" w:rsidR="00F06E2F" w:rsidRDefault="00F06E2F" w:rsidP="00F06E2F">
      <w:pPr>
        <w:pStyle w:val="Titulek"/>
        <w:keepNext/>
        <w:tabs>
          <w:tab w:val="center" w:pos="4896"/>
        </w:tabs>
        <w:ind w:left="72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C1A47AC" wp14:editId="1D51D453">
            <wp:simplePos x="0" y="0"/>
            <wp:positionH relativeFrom="margin">
              <wp:align>center</wp:align>
            </wp:positionH>
            <wp:positionV relativeFrom="paragraph">
              <wp:posOffset>185850</wp:posOffset>
            </wp:positionV>
            <wp:extent cx="3952774" cy="4281317"/>
            <wp:effectExtent l="0" t="0" r="0" b="508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774" cy="428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BA78E" w14:textId="77777777" w:rsidR="00D27DD7" w:rsidRDefault="00D27DD7" w:rsidP="00D60EA7">
      <w:pPr>
        <w:pStyle w:val="Titulek"/>
        <w:keepNext/>
        <w:tabs>
          <w:tab w:val="center" w:pos="4896"/>
        </w:tabs>
        <w:ind w:left="720"/>
        <w:jc w:val="center"/>
      </w:pPr>
    </w:p>
    <w:p w14:paraId="0D74C24A" w14:textId="799B8C8B" w:rsidR="00D60EA7" w:rsidRDefault="00D60EA7" w:rsidP="00D60EA7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</w:t>
      </w:r>
      <w:r>
        <w:rPr>
          <w:lang w:val="en-US"/>
        </w:rPr>
        <w:t>5</w:t>
      </w:r>
      <w:r>
        <w:t xml:space="preserve">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(krabicový graf, data po odstranění odlehlých pozorování)</w:t>
      </w:r>
    </w:p>
    <w:p w14:paraId="20663E4C" w14:textId="1FE98B90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  <w:r>
        <w:rPr>
          <w:i/>
          <w:iCs/>
          <w:color w:val="44546A"/>
          <w:sz w:val="18"/>
          <w:szCs w:val="18"/>
        </w:rPr>
        <w:br w:type="page"/>
      </w:r>
    </w:p>
    <w:p w14:paraId="7628681F" w14:textId="25DA8EC7" w:rsidR="00163FE7" w:rsidRDefault="00163FE7" w:rsidP="00163FE7">
      <w:pPr>
        <w:pStyle w:val="Titulek"/>
        <w:keepNext/>
        <w:tabs>
          <w:tab w:val="center" w:pos="4896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7128197" wp14:editId="3DB0ECDB">
            <wp:simplePos x="0" y="0"/>
            <wp:positionH relativeFrom="margin">
              <wp:align>center</wp:align>
            </wp:positionH>
            <wp:positionV relativeFrom="paragraph">
              <wp:posOffset>377</wp:posOffset>
            </wp:positionV>
            <wp:extent cx="3084830" cy="3340735"/>
            <wp:effectExtent l="0" t="0" r="1270" b="0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36CC6" w14:textId="4CA42715" w:rsidR="00A56DF2" w:rsidRDefault="00163FE7" w:rsidP="00A56DF2">
      <w:pPr>
        <w:pStyle w:val="Titulek"/>
        <w:keepNext/>
        <w:tabs>
          <w:tab w:val="center" w:pos="4896"/>
        </w:tabs>
        <w:ind w:left="720"/>
        <w:jc w:val="center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C52364C" wp14:editId="3786622A">
            <wp:simplePos x="0" y="0"/>
            <wp:positionH relativeFrom="margin">
              <wp:align>center</wp:align>
            </wp:positionH>
            <wp:positionV relativeFrom="paragraph">
              <wp:posOffset>504582</wp:posOffset>
            </wp:positionV>
            <wp:extent cx="3281936" cy="3554721"/>
            <wp:effectExtent l="0" t="0" r="0" b="8255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36" cy="355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F2">
        <w:t xml:space="preserve">Obr. 6: Srovnání poklesů světelného toku po 30 </w:t>
      </w:r>
      <w:r w:rsidR="00A56DF2" w:rsidRPr="007A5F23">
        <w:t>sekundách od zapnutí při snížení</w:t>
      </w:r>
      <w:r w:rsidR="00A56DF2">
        <w:t xml:space="preserve"> okolní teploty </w:t>
      </w:r>
      <w:r w:rsidR="00A56DF2" w:rsidRPr="007A5F23">
        <w:t>z </w:t>
      </w:r>
      <w:proofErr w:type="gramStart"/>
      <w:r w:rsidR="00A56DF2" w:rsidRPr="007A5F23">
        <w:t>22°C</w:t>
      </w:r>
      <w:proofErr w:type="gramEnd"/>
      <w:r w:rsidR="00A56DF2" w:rsidRPr="007A5F23">
        <w:t xml:space="preserve"> na </w:t>
      </w:r>
      <w:bookmarkStart w:id="3" w:name="_Hlk70445767"/>
      <w:r w:rsidR="00A56DF2" w:rsidRPr="007A5F23">
        <w:t xml:space="preserve">5°C </w:t>
      </w:r>
      <w:bookmarkEnd w:id="3"/>
      <w:r w:rsidR="00A56DF2" w:rsidRPr="007A5F23">
        <w:t xml:space="preserve">u zářivek od výrobců Amber a </w:t>
      </w:r>
      <w:proofErr w:type="spellStart"/>
      <w:r w:rsidR="00A56DF2" w:rsidRPr="007A5F23">
        <w:t>Bright</w:t>
      </w:r>
      <w:proofErr w:type="spellEnd"/>
      <w:r w:rsidR="00A56DF2">
        <w:t xml:space="preserve"> (histogramy, data po odstranění odlehlých pozorování)</w:t>
      </w:r>
    </w:p>
    <w:p w14:paraId="40D2534A" w14:textId="5FD20A15" w:rsidR="00163FE7" w:rsidRDefault="00163FE7">
      <w:pPr>
        <w:suppressAutoHyphens w:val="0"/>
        <w:spacing w:after="0" w:line="240" w:lineRule="auto"/>
        <w:textAlignment w:val="auto"/>
        <w:rPr>
          <w:noProof/>
        </w:rPr>
      </w:pPr>
    </w:p>
    <w:p w14:paraId="17D9BD6B" w14:textId="3ED8DD6A" w:rsidR="00163FE7" w:rsidRDefault="00163FE7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7CA79430" w14:textId="171DB19C" w:rsidR="00A56DF2" w:rsidRDefault="00A56DF2">
      <w:pPr>
        <w:suppressAutoHyphens w:val="0"/>
        <w:spacing w:after="0" w:line="240" w:lineRule="auto"/>
        <w:textAlignment w:val="auto"/>
        <w:rPr>
          <w:i/>
          <w:iCs/>
          <w:color w:val="44546A"/>
          <w:sz w:val="18"/>
          <w:szCs w:val="18"/>
        </w:rPr>
      </w:pPr>
    </w:p>
    <w:p w14:paraId="56CC5009" w14:textId="4D78009E" w:rsidR="00A56DF2" w:rsidRDefault="00A56DF2" w:rsidP="00A56DF2">
      <w:pPr>
        <w:pStyle w:val="Titulek"/>
        <w:keepNext/>
        <w:tabs>
          <w:tab w:val="center" w:pos="4896"/>
        </w:tabs>
        <w:ind w:left="720"/>
        <w:jc w:val="center"/>
      </w:pPr>
      <w:r>
        <w:t xml:space="preserve">Obr. 7: Srovnání poklesů světelného toku po 30 </w:t>
      </w:r>
      <w:r w:rsidRPr="007A5F23">
        <w:t>sekundách od zapnutí při snížení</w:t>
      </w:r>
      <w:r>
        <w:t xml:space="preserve"> okolní teploty </w:t>
      </w:r>
      <w:r w:rsidRPr="007A5F23">
        <w:t>z </w:t>
      </w:r>
      <w:proofErr w:type="gramStart"/>
      <w:r w:rsidRPr="007A5F23">
        <w:t>22°C</w:t>
      </w:r>
      <w:proofErr w:type="gramEnd"/>
      <w:r w:rsidRPr="007A5F23">
        <w:t xml:space="preserve"> na 5°C u zářivek od výrobců Amber a </w:t>
      </w:r>
      <w:proofErr w:type="spellStart"/>
      <w:r w:rsidRPr="007A5F23">
        <w:t>Bright</w:t>
      </w:r>
      <w:proofErr w:type="spellEnd"/>
      <w:r>
        <w:t xml:space="preserve"> (</w:t>
      </w:r>
      <w:r w:rsidR="004747DB">
        <w:t xml:space="preserve">Q-Q </w:t>
      </w:r>
      <w:r>
        <w:t>graf</w:t>
      </w:r>
      <w:r w:rsidR="004747DB">
        <w:t>y</w:t>
      </w:r>
      <w:r>
        <w:t>, data po odstranění odlehlých pozorování)</w:t>
      </w:r>
    </w:p>
    <w:p w14:paraId="0FA3E613" w14:textId="6D96E701" w:rsidR="00834090" w:rsidRDefault="00834090">
      <w:pPr>
        <w:suppressAutoHyphens w:val="0"/>
        <w:spacing w:after="0" w:line="240" w:lineRule="auto"/>
        <w:textAlignment w:val="auto"/>
      </w:pPr>
    </w:p>
    <w:p w14:paraId="218B06F7" w14:textId="5128F0D2" w:rsidR="00834090" w:rsidRDefault="00834090">
      <w:pPr>
        <w:suppressAutoHyphens w:val="0"/>
        <w:spacing w:after="0" w:line="240" w:lineRule="auto"/>
        <w:textAlignment w:val="auto"/>
      </w:pPr>
    </w:p>
    <w:p w14:paraId="2AAB9204" w14:textId="130D623F" w:rsidR="00834090" w:rsidRDefault="00834090">
      <w:pPr>
        <w:suppressAutoHyphens w:val="0"/>
        <w:spacing w:after="0" w:line="240" w:lineRule="auto"/>
        <w:textAlignment w:val="auto"/>
      </w:pPr>
    </w:p>
    <w:bookmarkEnd w:id="2"/>
    <w:p w14:paraId="1E161057" w14:textId="43AF224C" w:rsidR="00991795" w:rsidRPr="00991795" w:rsidRDefault="00F027EA" w:rsidP="00991795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00435F7A" w14:textId="55CEE9B8" w:rsidR="00991795" w:rsidRPr="00991795" w:rsidRDefault="00991795" w:rsidP="00991795">
      <w:pPr>
        <w:pStyle w:val="Titulek"/>
        <w:keepNext/>
        <w:jc w:val="center"/>
      </w:pPr>
      <w:r>
        <w:t xml:space="preserve">Tab. 2: </w:t>
      </w:r>
      <w:r w:rsidR="00680B1D">
        <w:t>N</w:t>
      </w:r>
      <w:r w:rsidR="00D126F3">
        <w:t>ástroje pro ověření pře</w:t>
      </w:r>
      <w:r w:rsidR="00653D20">
        <w:t>d</w:t>
      </w:r>
      <w:r w:rsidR="00D126F3">
        <w:t>pokladů</w:t>
      </w:r>
      <w:r w:rsidR="00680B1D">
        <w:t xml:space="preserve"> symetrie a normality poklesu světelného toku v závislosti na teplotě</w:t>
      </w:r>
    </w:p>
    <w:tbl>
      <w:tblPr>
        <w:tblW w:w="9074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1031"/>
        <w:gridCol w:w="1109"/>
        <w:gridCol w:w="2277"/>
        <w:gridCol w:w="3667"/>
      </w:tblGrid>
      <w:tr w:rsidR="00885DE0" w14:paraId="1921FB75" w14:textId="2D6A3865" w:rsidTr="00A13BBA">
        <w:trPr>
          <w:trHeight w:val="289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05D11" w14:textId="4100CE6B" w:rsidR="00885DE0" w:rsidRPr="00A13BBA" w:rsidRDefault="00A13BBA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6F24E6" w14:textId="1DBCF7F6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ikmost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E76F95" w14:textId="0F50AB49" w:rsidR="00885DE0" w:rsidRPr="00A13BBA" w:rsidRDefault="009667B1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Š</w:t>
            </w:r>
            <w:r w:rsidR="00885DE0" w:rsidRPr="00A13BBA">
              <w:rPr>
                <w:b/>
                <w:bCs/>
                <w:i/>
                <w:iCs/>
              </w:rPr>
              <w:t>pičatost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B093C7" w14:textId="4C833E0B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proofErr w:type="spellStart"/>
            <w:r w:rsidRPr="00A13BBA">
              <w:rPr>
                <w:b/>
                <w:bCs/>
                <w:i/>
                <w:iCs/>
              </w:rPr>
              <w:t>Shapirův-Wilkův</w:t>
            </w:r>
            <w:proofErr w:type="spellEnd"/>
            <w:r w:rsidRPr="00A13BBA">
              <w:rPr>
                <w:b/>
                <w:bCs/>
                <w:i/>
                <w:iCs/>
              </w:rPr>
              <w:t xml:space="preserve"> test (p-hodnota)</w:t>
            </w:r>
          </w:p>
        </w:tc>
        <w:tc>
          <w:tcPr>
            <w:tcW w:w="3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2391B" w14:textId="361616D0" w:rsidR="00885DE0" w:rsidRPr="00A13BBA" w:rsidRDefault="003E02D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A13BBA">
              <w:rPr>
                <w:b/>
                <w:bCs/>
                <w:i/>
                <w:iCs/>
              </w:rPr>
              <w:t>Test symetrie (p-hodnota)</w:t>
            </w:r>
          </w:p>
        </w:tc>
      </w:tr>
      <w:tr w:rsidR="00885DE0" w14:paraId="6CD60D0B" w14:textId="7355A669" w:rsidTr="00A13BBA">
        <w:trPr>
          <w:trHeight w:val="313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879E4" w14:textId="1F12AEDF" w:rsidR="00885DE0" w:rsidRPr="00A13BBA" w:rsidRDefault="00885DE0" w:rsidP="009667B1">
            <w:pPr>
              <w:pStyle w:val="TableContents"/>
              <w:jc w:val="center"/>
            </w:pPr>
            <w:r w:rsidRPr="00A13BBA">
              <w:t>Amber</w:t>
            </w:r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8F720" w14:textId="4F3DD151" w:rsidR="00885DE0" w:rsidRPr="00E67A9A" w:rsidRDefault="00885DE0" w:rsidP="009667B1">
            <w:pPr>
              <w:pStyle w:val="TableContents"/>
              <w:jc w:val="center"/>
              <w:rPr>
                <w:lang w:val="en-US"/>
              </w:rPr>
            </w:pPr>
            <w:r w:rsidRPr="00E67A9A">
              <w:rPr>
                <w:lang w:val="en-US"/>
              </w:rPr>
              <w:t>0</w:t>
            </w:r>
            <w:r w:rsidR="002B03E3">
              <w:rPr>
                <w:lang w:val="en-US"/>
              </w:rPr>
              <w:t>,</w:t>
            </w:r>
            <w:r w:rsidRPr="00E67A9A"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9D2B31" w14:textId="391F62D0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 w:rsidRPr="00E67A9A">
              <w:t>8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8EC2DA" w14:textId="6D422341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103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DEFAC" w14:textId="03E3D0E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028</w:t>
            </w:r>
          </w:p>
        </w:tc>
      </w:tr>
      <w:tr w:rsidR="00885DE0" w14:paraId="4DE0DC0B" w14:textId="5840781E" w:rsidTr="00A13BBA">
        <w:trPr>
          <w:trHeight w:val="289"/>
        </w:trPr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BF55C1" w14:textId="292D079D" w:rsidR="00885DE0" w:rsidRPr="00A13BBA" w:rsidRDefault="00885DE0" w:rsidP="009667B1">
            <w:pPr>
              <w:pStyle w:val="TableContents"/>
              <w:jc w:val="center"/>
            </w:pPr>
            <w:proofErr w:type="spellStart"/>
            <w:r w:rsidRPr="00A13BBA">
              <w:t>Bright</w:t>
            </w:r>
            <w:proofErr w:type="spellEnd"/>
          </w:p>
        </w:tc>
        <w:tc>
          <w:tcPr>
            <w:tcW w:w="10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49C992" w14:textId="3479A0ED" w:rsidR="00885DE0" w:rsidRDefault="009C611B" w:rsidP="009667B1">
            <w:pPr>
              <w:pStyle w:val="TableContents"/>
              <w:jc w:val="center"/>
            </w:pPr>
            <w:r w:rsidRPr="00E67A9A">
              <w:t>-0</w:t>
            </w:r>
            <w: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C6B491" w14:textId="760E986F" w:rsidR="00885DE0" w:rsidRDefault="00885DE0" w:rsidP="009667B1">
            <w:pPr>
              <w:pStyle w:val="TableContents"/>
              <w:jc w:val="center"/>
            </w:pPr>
            <w:r w:rsidRPr="00E67A9A">
              <w:t>-1</w:t>
            </w:r>
            <w:r w:rsidR="002B03E3">
              <w:t>,</w:t>
            </w:r>
            <w:r w:rsidR="00B93664">
              <w:t>1</w:t>
            </w:r>
          </w:p>
        </w:tc>
        <w:tc>
          <w:tcPr>
            <w:tcW w:w="227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09DFF1" w14:textId="0C5566D8" w:rsidR="00885DE0" w:rsidRDefault="00885DE0" w:rsidP="009667B1">
            <w:pPr>
              <w:pStyle w:val="TableContents"/>
              <w:jc w:val="center"/>
            </w:pPr>
            <w:r w:rsidRPr="00B6714A">
              <w:t>0</w:t>
            </w:r>
            <w:r w:rsidR="002B03E3">
              <w:t>,</w:t>
            </w:r>
            <w:r w:rsidRPr="00B6714A">
              <w:t>01</w:t>
            </w:r>
            <w:r w:rsidR="00415C6C">
              <w:rPr>
                <w:lang w:val="en-US"/>
              </w:rPr>
              <w:t>2</w:t>
            </w:r>
          </w:p>
        </w:tc>
        <w:tc>
          <w:tcPr>
            <w:tcW w:w="36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008C" w14:textId="58D01993" w:rsidR="00885DE0" w:rsidRPr="00B6714A" w:rsidRDefault="00D40B89" w:rsidP="009667B1">
            <w:pPr>
              <w:pStyle w:val="TableContents"/>
              <w:jc w:val="center"/>
            </w:pPr>
            <w:r w:rsidRPr="00D40B89">
              <w:t>0</w:t>
            </w:r>
            <w:r w:rsidR="002B03E3">
              <w:t>,</w:t>
            </w:r>
            <w:r w:rsidRPr="00D40B89">
              <w:t>27</w:t>
            </w:r>
            <w:r w:rsidR="00415C6C">
              <w:t>9</w:t>
            </w:r>
          </w:p>
        </w:tc>
      </w:tr>
    </w:tbl>
    <w:p w14:paraId="4094A711" w14:textId="4CAC0D92" w:rsidR="00991795" w:rsidRDefault="00991795">
      <w:pPr>
        <w:jc w:val="both"/>
        <w:rPr>
          <w:lang w:val="en-US"/>
        </w:rPr>
      </w:pPr>
    </w:p>
    <w:p w14:paraId="7F916FFA" w14:textId="6843C797" w:rsidR="00A159B5" w:rsidRPr="00A159B5" w:rsidRDefault="00A159B5">
      <w:pPr>
        <w:jc w:val="both"/>
      </w:pPr>
      <w:proofErr w:type="spellStart"/>
      <w:r>
        <w:rPr>
          <w:lang w:val="en-US"/>
        </w:rPr>
        <w:t>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prezentovaných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grafů</w:t>
      </w:r>
      <w:proofErr w:type="spellEnd"/>
      <w:r>
        <w:rPr>
          <w:lang w:val="en-US"/>
        </w:rPr>
        <w:t xml:space="preserve"> (viz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6 a </w:t>
      </w:r>
      <w:proofErr w:type="spellStart"/>
      <w:r>
        <w:rPr>
          <w:lang w:val="en-US"/>
        </w:rPr>
        <w:t>Obr</w:t>
      </w:r>
      <w:proofErr w:type="spellEnd"/>
      <w:r>
        <w:rPr>
          <w:lang w:val="en-US"/>
        </w:rPr>
        <w:t xml:space="preserve">. 7) </w:t>
      </w:r>
      <w:proofErr w:type="spellStart"/>
      <w:r>
        <w:rPr>
          <w:lang w:val="en-US"/>
        </w:rPr>
        <w:t>lze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usuzovat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poklesy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světelného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normální</w:t>
      </w:r>
      <w:r w:rsidR="004E7C18"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rozdělením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Šikmost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špičatost</w:t>
      </w:r>
      <w:proofErr w:type="spellEnd"/>
      <w:r>
        <w:rPr>
          <w:lang w:val="en-US"/>
        </w:rPr>
        <w:t xml:space="preserve"> (viz Tab. 2)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přípustném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</w:t>
      </w:r>
      <w:proofErr w:type="spellEnd"/>
      <w:r>
        <w:rPr>
          <w:lang w:val="en-US"/>
        </w:rPr>
        <w:t>.</w:t>
      </w:r>
    </w:p>
    <w:p w14:paraId="4635F357" w14:textId="1A801DD1" w:rsidR="00991795" w:rsidRDefault="00991795">
      <w:pPr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nelze na hladině významnosti 0,05 pokles světelného toku výrobce </w:t>
      </w:r>
      <w:proofErr w:type="spellStart"/>
      <w:r>
        <w:t>Bright</w:t>
      </w:r>
      <w:proofErr w:type="spellEnd"/>
      <w:r>
        <w:t xml:space="preserve"> modelovat normálním rozdělením (viz Tab. 2)</w:t>
      </w:r>
      <w:r w:rsidR="006C7034">
        <w:t>.</w:t>
      </w:r>
    </w:p>
    <w:p w14:paraId="40048B2E" w14:textId="2C6F33AC" w:rsidR="006C7034" w:rsidRDefault="006C7034">
      <w:pPr>
        <w:jc w:val="both"/>
      </w:pPr>
      <w:r>
        <w:t xml:space="preserve">U obou výrobců nebylo prokázáno normální rozdělení, a proto </w:t>
      </w:r>
      <w:r w:rsidR="00885DE0">
        <w:t xml:space="preserve">nelze </w:t>
      </w:r>
      <w:r w:rsidR="00DD7B20">
        <w:t>přistoupit k určení odhadů střední hodnoty</w:t>
      </w:r>
      <w:r w:rsidR="00885DE0">
        <w:t>.</w:t>
      </w:r>
    </w:p>
    <w:p w14:paraId="2E4FF4E4" w14:textId="119E983D" w:rsidR="00D40B89" w:rsidRDefault="00D40B89">
      <w:pPr>
        <w:jc w:val="both"/>
      </w:pPr>
      <w:r>
        <w:t>Následujeme tedy provedením testu symetrie, kde zase podle výsledků můžeme usoudit, že symetrie byla porušena u výrobce Amber, a proto využijeme znaménkový test.</w:t>
      </w:r>
    </w:p>
    <w:p w14:paraId="0C4305C0" w14:textId="208A52D0" w:rsidR="007A7183" w:rsidRDefault="006514D0">
      <w:pPr>
        <w:jc w:val="both"/>
      </w:pPr>
      <w:r>
        <w:t xml:space="preserve">V datové sadě, máme pokles reprezentovaný jako kladné číslo. Při intervalových odhadech se proto přikláníme </w:t>
      </w:r>
      <w:r w:rsidR="004E7C18">
        <w:t>k</w:t>
      </w:r>
      <w:r>
        <w:t xml:space="preserve"> levostranné verzi.</w:t>
      </w:r>
    </w:p>
    <w:p w14:paraId="507B86D0" w14:textId="2DEFC250" w:rsidR="00F40388" w:rsidRDefault="00F40388">
      <w:pPr>
        <w:jc w:val="both"/>
      </w:pPr>
    </w:p>
    <w:p w14:paraId="22B9B10B" w14:textId="7A07C607" w:rsidR="00F40388" w:rsidRDefault="00F40388" w:rsidP="00F40388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3</w:t>
      </w:r>
      <w:r>
        <w:t>: Odhad mediánů poklesu světelného toku (</w:t>
      </w:r>
      <w:proofErr w:type="spellStart"/>
      <w:r>
        <w:t>lm</w:t>
      </w:r>
      <w:proofErr w:type="spellEnd"/>
      <w:r>
        <w:t>) dle výrobce a test významnosti poklesu</w:t>
      </w:r>
    </w:p>
    <w:tbl>
      <w:tblPr>
        <w:tblW w:w="91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2"/>
        <w:gridCol w:w="1976"/>
        <w:gridCol w:w="1867"/>
        <w:gridCol w:w="3844"/>
      </w:tblGrid>
      <w:tr w:rsidR="00771C29" w14:paraId="6ECBA5CA" w14:textId="77777777" w:rsidTr="00C5374B">
        <w:trPr>
          <w:trHeight w:val="311"/>
        </w:trPr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1D899" w14:textId="09ABFF85" w:rsidR="00771C29" w:rsidRPr="00074227" w:rsidRDefault="00074227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9F3574" w14:textId="3BC8E562" w:rsidR="00771C29" w:rsidRPr="00074227" w:rsidRDefault="00835AC2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B</w:t>
            </w:r>
            <w:r w:rsidR="00771C29" w:rsidRPr="00074227">
              <w:rPr>
                <w:b/>
                <w:bCs/>
                <w:i/>
                <w:iCs/>
              </w:rPr>
              <w:t>odový odhad (</w:t>
            </w:r>
            <w:proofErr w:type="spellStart"/>
            <w:r w:rsidR="00771C29" w:rsidRPr="00074227">
              <w:rPr>
                <w:b/>
                <w:bCs/>
                <w:i/>
                <w:iCs/>
              </w:rPr>
              <w:t>lm</w:t>
            </w:r>
            <w:proofErr w:type="spellEnd"/>
            <w:r w:rsidR="00771C29"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D2951B" w14:textId="52C566D6" w:rsidR="00771C29" w:rsidRPr="00074227" w:rsidRDefault="00771C29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>95% levostranný intervalový odhad (</w:t>
            </w:r>
            <w:proofErr w:type="spellStart"/>
            <w:r w:rsidRPr="00074227">
              <w:rPr>
                <w:b/>
                <w:bCs/>
                <w:i/>
                <w:iCs/>
              </w:rPr>
              <w:t>lm</w:t>
            </w:r>
            <w:proofErr w:type="spellEnd"/>
            <w:r w:rsidRPr="00074227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3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F1137" w14:textId="479FEE63" w:rsidR="00771C29" w:rsidRPr="00074227" w:rsidRDefault="00674E2F" w:rsidP="009667B1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074227">
              <w:rPr>
                <w:b/>
                <w:bCs/>
                <w:i/>
                <w:iCs/>
              </w:rPr>
              <w:t xml:space="preserve">Znaménkový </w:t>
            </w:r>
            <w:r w:rsidR="00FF37E3" w:rsidRPr="00074227">
              <w:rPr>
                <w:b/>
                <w:bCs/>
                <w:i/>
                <w:iCs/>
              </w:rPr>
              <w:t>levostranný test (p-hodnota)</w:t>
            </w:r>
          </w:p>
        </w:tc>
      </w:tr>
      <w:tr w:rsidR="00771C29" w:rsidRPr="00B6714A" w14:paraId="743B6BD5" w14:textId="77777777" w:rsidTr="00C5374B">
        <w:trPr>
          <w:trHeight w:val="337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A4396F" w14:textId="77777777" w:rsidR="00771C29" w:rsidRPr="00074227" w:rsidRDefault="00771C29" w:rsidP="009667B1">
            <w:pPr>
              <w:pStyle w:val="TableContents"/>
              <w:jc w:val="center"/>
            </w:pPr>
            <w:r w:rsidRPr="00074227">
              <w:t>Amber</w:t>
            </w:r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3C2553" w14:textId="40E0D296" w:rsidR="00771C29" w:rsidRPr="00E67A9A" w:rsidRDefault="001A7FD5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  <w:r w:rsidR="00B93664">
              <w:rPr>
                <w:lang w:val="en-US"/>
              </w:rPr>
              <w:t>0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70BE5E" w14:textId="7A624139" w:rsidR="00771C29" w:rsidRDefault="001A7FD5" w:rsidP="009667B1">
            <w:pPr>
              <w:pStyle w:val="TableContents"/>
              <w:jc w:val="center"/>
            </w:pPr>
            <w:r>
              <w:t>(</w:t>
            </w:r>
            <w:r>
              <w:rPr>
                <w:lang w:val="en-US"/>
              </w:rPr>
              <w:t>-0,2</w:t>
            </w:r>
            <w:r w:rsidR="00B93664">
              <w:rPr>
                <w:lang w:val="en-US"/>
              </w:rPr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43CE1F" w14:textId="7E22CA28" w:rsidR="00771C29" w:rsidRDefault="00674E2F" w:rsidP="009667B1">
            <w:pPr>
              <w:pStyle w:val="TableContents"/>
              <w:jc w:val="center"/>
            </w:pPr>
            <w:r w:rsidRPr="00674E2F">
              <w:t>0</w:t>
            </w:r>
            <w:r w:rsidR="002B03E3">
              <w:t>,</w:t>
            </w:r>
            <w:r w:rsidRPr="00674E2F">
              <w:t>275</w:t>
            </w:r>
          </w:p>
        </w:tc>
      </w:tr>
      <w:tr w:rsidR="00771C29" w:rsidRPr="00B6714A" w14:paraId="38A89324" w14:textId="77777777" w:rsidTr="00C5374B">
        <w:trPr>
          <w:trHeight w:val="311"/>
        </w:trPr>
        <w:tc>
          <w:tcPr>
            <w:tcW w:w="14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A4C56A" w14:textId="77777777" w:rsidR="00771C29" w:rsidRPr="00074227" w:rsidRDefault="00771C29" w:rsidP="009667B1">
            <w:pPr>
              <w:pStyle w:val="TableContents"/>
              <w:jc w:val="center"/>
            </w:pPr>
            <w:proofErr w:type="spellStart"/>
            <w:r w:rsidRPr="00074227">
              <w:t>Bright</w:t>
            </w:r>
            <w:proofErr w:type="spellEnd"/>
          </w:p>
        </w:tc>
        <w:tc>
          <w:tcPr>
            <w:tcW w:w="19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3630E0" w14:textId="2A0B5BE5" w:rsidR="00771C29" w:rsidRDefault="001A7FD5" w:rsidP="009667B1">
            <w:pPr>
              <w:pStyle w:val="TableContents"/>
              <w:jc w:val="center"/>
            </w:pPr>
            <w:r>
              <w:t>1,35</w:t>
            </w:r>
          </w:p>
        </w:tc>
        <w:tc>
          <w:tcPr>
            <w:tcW w:w="1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FDD226" w14:textId="266D0EE3" w:rsidR="00771C29" w:rsidRDefault="001A7FD5" w:rsidP="009667B1">
            <w:pPr>
              <w:pStyle w:val="TableContents"/>
              <w:jc w:val="center"/>
            </w:pPr>
            <w:r>
              <w:t>(0,6</w:t>
            </w:r>
            <w:r w:rsidR="00B93664">
              <w:t>0</w:t>
            </w:r>
            <w:r>
              <w:t>; ∞)</w:t>
            </w:r>
          </w:p>
        </w:tc>
        <w:tc>
          <w:tcPr>
            <w:tcW w:w="38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73CE4D" w14:textId="7A18D3A0" w:rsidR="00771C29" w:rsidRPr="00A56ED9" w:rsidRDefault="00A56ED9" w:rsidP="009667B1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&lt; 0,001</w:t>
            </w:r>
          </w:p>
        </w:tc>
      </w:tr>
    </w:tbl>
    <w:p w14:paraId="448A5A8D" w14:textId="44496B77" w:rsidR="00771C29" w:rsidRDefault="00771C29">
      <w:pPr>
        <w:jc w:val="both"/>
      </w:pPr>
    </w:p>
    <w:p w14:paraId="36BF1501" w14:textId="5D8D2EE1" w:rsidR="00092EF6" w:rsidRDefault="006D2D65">
      <w:pPr>
        <w:jc w:val="both"/>
      </w:pPr>
      <w:r>
        <w:t xml:space="preserve">U výrobce Amber, lze očekávat, že polovina zářivek bude vykazovat pokles světelného toku menší než </w:t>
      </w:r>
      <w:r w:rsidR="004B6E22">
        <w:rPr>
          <w:lang w:val="en-US"/>
        </w:rPr>
        <w:t>0,20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</w:t>
      </w:r>
      <w:r w:rsidR="00092EF6">
        <w:t>(</w:t>
      </w:r>
      <w:r w:rsidR="00092EF6">
        <w:rPr>
          <w:lang w:val="en-US"/>
        </w:rPr>
        <w:t>-0,2</w:t>
      </w:r>
      <w:r w:rsidR="00CB56F1">
        <w:rPr>
          <w:lang w:val="en-US"/>
        </w:rPr>
        <w:t>0</w:t>
      </w:r>
      <w:r w:rsidR="00092EF6">
        <w:t xml:space="preserve">; ∞) </w:t>
      </w:r>
      <w:proofErr w:type="spellStart"/>
      <w:r>
        <w:t>lm</w:t>
      </w:r>
      <w:proofErr w:type="spellEnd"/>
      <w:r>
        <w:t>. Společně</w:t>
      </w:r>
      <w:r w:rsidR="00092EF6">
        <w:t xml:space="preserve"> </w:t>
      </w:r>
      <w:r>
        <w:t>s</w:t>
      </w:r>
      <w:r w:rsidR="00092EF6">
        <w:t>e</w:t>
      </w:r>
      <w:r>
        <w:t> znaménkovým levostranným testem, lze pozorovat, že medián poklesu světelného toku je statisticky nevýznamný</w:t>
      </w:r>
      <w:r w:rsidR="00092EF6">
        <w:t xml:space="preserve"> (na hladině významnosti </w:t>
      </w:r>
      <w:proofErr w:type="gramStart"/>
      <w:r w:rsidR="00092EF6">
        <w:t>5%</w:t>
      </w:r>
      <w:proofErr w:type="gramEnd"/>
      <w:r w:rsidR="00092EF6">
        <w:t>)</w:t>
      </w:r>
      <w:r>
        <w:t>.</w:t>
      </w:r>
    </w:p>
    <w:p w14:paraId="0A3D888F" w14:textId="150A8C44" w:rsidR="00092EF6" w:rsidRPr="006D2D65" w:rsidRDefault="00092EF6" w:rsidP="00092EF6">
      <w:pPr>
        <w:jc w:val="both"/>
      </w:pPr>
      <w:r>
        <w:t xml:space="preserve">U výrobce </w:t>
      </w:r>
      <w:proofErr w:type="spellStart"/>
      <w:r>
        <w:t>Bright</w:t>
      </w:r>
      <w:proofErr w:type="spellEnd"/>
      <w:r>
        <w:t xml:space="preserve">, lze očekávat, že polovina zářivek bude vykazovat pokles světelného toku menší než </w:t>
      </w:r>
      <w:r w:rsidR="004F60BC">
        <w:t>1,35</w:t>
      </w:r>
      <w:r>
        <w:t xml:space="preserve"> </w:t>
      </w:r>
      <w:proofErr w:type="spellStart"/>
      <w:r>
        <w:t>lm</w:t>
      </w:r>
      <w:proofErr w:type="spellEnd"/>
      <w:r>
        <w:t>. 95</w:t>
      </w:r>
      <w:r>
        <w:rPr>
          <w:lang w:val="en-US"/>
        </w:rPr>
        <w:t>%</w:t>
      </w:r>
      <w:r>
        <w:t xml:space="preserve"> levostranný intervalový odhad mediánu poklesu světelného toku u výrobce Amber je (0,6</w:t>
      </w:r>
      <w:r w:rsidR="00CB56F1">
        <w:t>0</w:t>
      </w:r>
      <w:r>
        <w:t xml:space="preserve">; ∞) </w:t>
      </w:r>
      <w:proofErr w:type="spellStart"/>
      <w:r>
        <w:t>lm</w:t>
      </w:r>
      <w:proofErr w:type="spellEnd"/>
      <w:r>
        <w:t>. Společně s</w:t>
      </w:r>
      <w:r w:rsidR="00835AC2">
        <w:t>e</w:t>
      </w:r>
      <w:r>
        <w:t xml:space="preserve"> znaménkovým levostranným testem, lze pozorovat, že medián poklesu světelného toku je statisticky významný (na hladině významnosti </w:t>
      </w:r>
      <w:proofErr w:type="gramStart"/>
      <w:r>
        <w:t>5%</w:t>
      </w:r>
      <w:proofErr w:type="gramEnd"/>
      <w:r>
        <w:t>).</w:t>
      </w:r>
    </w:p>
    <w:p w14:paraId="14B54C51" w14:textId="77777777" w:rsidR="00092EF6" w:rsidRPr="006D2D65" w:rsidRDefault="00092EF6">
      <w:pPr>
        <w:jc w:val="both"/>
      </w:pPr>
    </w:p>
    <w:p w14:paraId="7D3FB6A7" w14:textId="104F258C" w:rsidR="003E02DF" w:rsidRDefault="003E02DF">
      <w:pPr>
        <w:jc w:val="both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2D5F8CD4" w:rsidR="002B7E3D" w:rsidRDefault="005F17DC" w:rsidP="00E43AC8">
      <w:pPr>
        <w:pStyle w:val="Odstavecseseznamem"/>
        <w:ind w:left="357"/>
        <w:jc w:val="both"/>
      </w:pPr>
      <w:r>
        <w:t xml:space="preserve">Vzhledem k předchozímu příkladu, jsme zamítli normalitu u výrobce zářivek </w:t>
      </w:r>
      <w:proofErr w:type="spellStart"/>
      <w:r>
        <w:t>Bright</w:t>
      </w:r>
      <w:proofErr w:type="spellEnd"/>
      <w:r>
        <w:t xml:space="preserve"> (viz Tab. </w:t>
      </w:r>
      <w:r>
        <w:rPr>
          <w:lang w:val="en-US"/>
        </w:rPr>
        <w:t>2</w:t>
      </w:r>
      <w:r>
        <w:t>), takže budeme pokračovat kontrolou stejného tvaru rozdělení.</w:t>
      </w:r>
    </w:p>
    <w:p w14:paraId="003A3D1A" w14:textId="20715FD9" w:rsidR="005F17DC" w:rsidRDefault="001A610B" w:rsidP="00835AC2">
      <w:pPr>
        <w:pStyle w:val="Odstavecseseznamem"/>
        <w:ind w:left="357"/>
        <w:jc w:val="both"/>
      </w:pPr>
      <w:r>
        <w:t xml:space="preserve">Z histogramů, lze pozorovat </w:t>
      </w:r>
      <w:r w:rsidR="00063545">
        <w:t>srovnatelný</w:t>
      </w:r>
      <w:r>
        <w:t xml:space="preserve"> tvar</w:t>
      </w:r>
      <w:r w:rsidR="008143C4">
        <w:t xml:space="preserve"> rozdělení</w:t>
      </w:r>
      <w:r>
        <w:t xml:space="preserve">, takže jsme schopni využít </w:t>
      </w:r>
      <w:r w:rsidRPr="001A610B">
        <w:t>Mannův-</w:t>
      </w:r>
      <w:proofErr w:type="spellStart"/>
      <w:r w:rsidRPr="001A610B">
        <w:t>Whitneyho</w:t>
      </w:r>
      <w:proofErr w:type="spellEnd"/>
      <w:r w:rsidRPr="001A610B">
        <w:t xml:space="preserve"> test</w:t>
      </w:r>
      <w:r>
        <w:t>.</w:t>
      </w:r>
    </w:p>
    <w:p w14:paraId="4C8F372E" w14:textId="337AE4FD" w:rsidR="008353F0" w:rsidRDefault="008353F0" w:rsidP="008353F0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4</w:t>
      </w:r>
      <w:r>
        <w:t>: Srovnání mediánů poklesu světelného toku (</w:t>
      </w:r>
      <w:proofErr w:type="spellStart"/>
      <w:r>
        <w:t>lm</w:t>
      </w:r>
      <w:proofErr w:type="spellEnd"/>
      <w:r>
        <w:t xml:space="preserve">) výrobce </w:t>
      </w:r>
      <w:proofErr w:type="spellStart"/>
      <w:r>
        <w:t>Bright</w:t>
      </w:r>
      <w:proofErr w:type="spellEnd"/>
      <w:r>
        <w:t xml:space="preserve">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a výrobce Amber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  <m:r>
          <w:rPr>
            <w:rFonts w:ascii="Cambria Math" w:hAnsi="Cambria Math"/>
          </w:rPr>
          <m:t>)</m:t>
        </m:r>
      </m:oMath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65"/>
        <w:gridCol w:w="3397"/>
      </w:tblGrid>
      <w:tr w:rsidR="008353F0" w14:paraId="197A81F8" w14:textId="77777777" w:rsidTr="008353F0">
        <w:tc>
          <w:tcPr>
            <w:tcW w:w="5665" w:type="dxa"/>
          </w:tcPr>
          <w:p w14:paraId="3A531A8F" w14:textId="7A904AC9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3397" w:type="dxa"/>
          </w:tcPr>
          <w:p w14:paraId="212EBFA3" w14:textId="2B987C53" w:rsidR="008353F0" w:rsidRDefault="008353F0">
            <w:pPr>
              <w:jc w:val="both"/>
            </w:pPr>
            <w:r w:rsidRPr="008353F0">
              <w:t>1</w:t>
            </w:r>
            <w:r w:rsidR="002B03E3">
              <w:t>,</w:t>
            </w:r>
            <w:r w:rsidRPr="008353F0">
              <w:t>15</w:t>
            </w:r>
          </w:p>
        </w:tc>
      </w:tr>
      <w:tr w:rsidR="008353F0" w14:paraId="177BE165" w14:textId="77777777" w:rsidTr="008353F0">
        <w:tc>
          <w:tcPr>
            <w:tcW w:w="5665" w:type="dxa"/>
          </w:tcPr>
          <w:p w14:paraId="0BD8D1F3" w14:textId="5F309035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 xml:space="preserve">95% </w:t>
            </w:r>
            <w:r w:rsidR="006A459D">
              <w:rPr>
                <w:b/>
                <w:bCs/>
                <w:i/>
                <w:iCs/>
              </w:rPr>
              <w:t>oboustranný</w:t>
            </w:r>
            <w:r w:rsidRPr="009D4604">
              <w:rPr>
                <w:b/>
                <w:bCs/>
                <w:i/>
                <w:iCs/>
              </w:rPr>
              <w:t xml:space="preserve"> intervalový odhad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-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p>
              </m:sSubSup>
            </m:oMath>
            <w:r w:rsidRPr="009D4604">
              <w:rPr>
                <w:b/>
                <w:bCs/>
                <w:i/>
                <w:iCs/>
              </w:rPr>
              <w:t xml:space="preserve"> (lm) </w:t>
            </w:r>
          </w:p>
        </w:tc>
        <w:tc>
          <w:tcPr>
            <w:tcW w:w="3397" w:type="dxa"/>
          </w:tcPr>
          <w:p w14:paraId="17FB1C5D" w14:textId="0622A6B6" w:rsidR="008353F0" w:rsidRDefault="008353F0">
            <w:pPr>
              <w:jc w:val="both"/>
            </w:pPr>
            <w:r>
              <w:rPr>
                <w:lang w:val="en-US"/>
              </w:rPr>
              <w:t>(</w:t>
            </w:r>
            <w:r w:rsidRPr="008353F0">
              <w:t>-0</w:t>
            </w:r>
            <w:r w:rsidR="002B03E3">
              <w:t>,</w:t>
            </w:r>
            <w:r w:rsidRPr="008353F0">
              <w:t>49</w:t>
            </w:r>
            <w:r>
              <w:t>;</w:t>
            </w:r>
            <w:r w:rsidRPr="008353F0">
              <w:t xml:space="preserve"> 1</w:t>
            </w:r>
            <w:r w:rsidR="002B03E3">
              <w:t>,</w:t>
            </w:r>
            <w:r w:rsidR="00B93664">
              <w:t>50</w:t>
            </w:r>
            <w:r>
              <w:t>)</w:t>
            </w:r>
          </w:p>
        </w:tc>
      </w:tr>
      <w:tr w:rsidR="008353F0" w14:paraId="1BE170FB" w14:textId="77777777" w:rsidTr="008353F0">
        <w:tc>
          <w:tcPr>
            <w:tcW w:w="5665" w:type="dxa"/>
          </w:tcPr>
          <w:p w14:paraId="0682AFB8" w14:textId="51DB53F4" w:rsidR="008353F0" w:rsidRPr="009D4604" w:rsidRDefault="008353F0">
            <w:pPr>
              <w:jc w:val="both"/>
              <w:rPr>
                <w:b/>
                <w:bCs/>
                <w:i/>
                <w:iCs/>
              </w:rPr>
            </w:pPr>
            <w:r w:rsidRPr="009D4604">
              <w:rPr>
                <w:b/>
                <w:bCs/>
                <w:i/>
                <w:iCs/>
              </w:rPr>
              <w:t>Mannův-</w:t>
            </w:r>
            <w:proofErr w:type="spellStart"/>
            <w:r w:rsidRPr="009D4604">
              <w:rPr>
                <w:b/>
                <w:bCs/>
                <w:i/>
                <w:iCs/>
              </w:rPr>
              <w:t>Whitneyho</w:t>
            </w:r>
            <w:proofErr w:type="spellEnd"/>
            <w:r w:rsidRPr="009D4604">
              <w:rPr>
                <w:b/>
                <w:bCs/>
                <w:i/>
                <w:iCs/>
              </w:rPr>
              <w:t xml:space="preserve"> </w:t>
            </w:r>
            <w:r w:rsidR="006A459D">
              <w:rPr>
                <w:b/>
                <w:bCs/>
                <w:i/>
                <w:iCs/>
              </w:rPr>
              <w:t>oboustranný</w:t>
            </w:r>
            <w:r w:rsidRPr="009D4604">
              <w:rPr>
                <w:b/>
                <w:bCs/>
                <w:i/>
                <w:iCs/>
              </w:rPr>
              <w:t xml:space="preserve"> test (p-hodnota)</w:t>
            </w:r>
          </w:p>
        </w:tc>
        <w:tc>
          <w:tcPr>
            <w:tcW w:w="3397" w:type="dxa"/>
          </w:tcPr>
          <w:p w14:paraId="5E9BD905" w14:textId="11794E1F" w:rsidR="008353F0" w:rsidRDefault="008353F0">
            <w:pPr>
              <w:jc w:val="both"/>
            </w:pPr>
            <w:r w:rsidRPr="008353F0">
              <w:t>0</w:t>
            </w:r>
            <w:r w:rsidR="002B03E3">
              <w:t>,</w:t>
            </w:r>
            <w:r w:rsidRPr="008353F0">
              <w:t>345</w:t>
            </w:r>
          </w:p>
        </w:tc>
      </w:tr>
    </w:tbl>
    <w:p w14:paraId="1AD84938" w14:textId="25EAF452" w:rsidR="00063545" w:rsidRDefault="00063545" w:rsidP="00063545">
      <w:pPr>
        <w:pStyle w:val="Odstavecseseznamem"/>
        <w:ind w:left="357"/>
        <w:jc w:val="both"/>
      </w:pPr>
    </w:p>
    <w:p w14:paraId="41ABB379" w14:textId="1F9BAC5F" w:rsidR="00063545" w:rsidRDefault="0030122C">
      <w:pPr>
        <w:suppressAutoHyphens w:val="0"/>
        <w:spacing w:after="0" w:line="240" w:lineRule="auto"/>
        <w:textAlignment w:val="auto"/>
      </w:pPr>
      <w:r>
        <w:t xml:space="preserve">Data neposkytují dostatek důkazů pro podpoření tvrzení, že by </w:t>
      </w:r>
      <w:r w:rsidR="00522CB9">
        <w:t xml:space="preserve">se </w:t>
      </w:r>
      <w:r w:rsidR="00A842BB">
        <w:t>zářivky vyrobené</w:t>
      </w:r>
      <w:r>
        <w:t xml:space="preserve"> od </w:t>
      </w:r>
      <w:proofErr w:type="spellStart"/>
      <w:r>
        <w:t>Bright</w:t>
      </w:r>
      <w:proofErr w:type="spellEnd"/>
      <w:r>
        <w:t xml:space="preserve"> </w:t>
      </w:r>
      <w:r w:rsidR="00DA680F">
        <w:t>signifikantně</w:t>
      </w:r>
      <w:r w:rsidR="00A842BB">
        <w:t xml:space="preserve"> lišily od</w:t>
      </w:r>
      <w:r>
        <w:t xml:space="preserve"> zářivek vyrobených od Amber.</w:t>
      </w:r>
      <w:r w:rsidR="00835AC2">
        <w:t xml:space="preserve"> Na zadané hladině významnosti </w:t>
      </w:r>
      <w:proofErr w:type="gramStart"/>
      <w:r w:rsidR="00835AC2">
        <w:t>5</w:t>
      </w:r>
      <w:r w:rsidR="00835AC2">
        <w:rPr>
          <w:lang w:val="en-US"/>
        </w:rPr>
        <w:t>%</w:t>
      </w:r>
      <w:proofErr w:type="gramEnd"/>
      <w:r w:rsidR="00835AC2">
        <w:rPr>
          <w:lang w:val="en-US"/>
        </w:rPr>
        <w:t>, ted</w:t>
      </w:r>
      <w:r w:rsidR="00835AC2">
        <w:t>y rozdíl mediánů nelze považovat za statisticky významný</w:t>
      </w:r>
      <w:r w:rsidR="002B03E3">
        <w:t xml:space="preserve"> (viz výsledky Tab.</w:t>
      </w:r>
      <w:r w:rsidR="002B03E3">
        <w:rPr>
          <w:lang w:val="en-US"/>
        </w:rPr>
        <w:t xml:space="preserve"> 4</w:t>
      </w:r>
      <w:r w:rsidR="002B03E3">
        <w:t>).</w:t>
      </w:r>
      <w:r w:rsidR="00063545"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6539AF70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29AD6034" w14:textId="4C0684B7" w:rsidR="00755454" w:rsidRDefault="00755454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  <w:r>
        <w:t xml:space="preserve">Analyzovaná data obsahala odlehlá pozorování, která lze vidět na Obr. 8. Tyto statistické jednotky byly pro další analýzu odstraněny. Dle Obr. 9, se zda, že výrobci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jsou si podobní. Výrobce </w:t>
      </w:r>
      <w:proofErr w:type="spellStart"/>
      <w:r>
        <w:t>Dim</w:t>
      </w:r>
      <w:proofErr w:type="spellEnd"/>
      <w:r>
        <w:t xml:space="preserve"> by mohl dost pravděpodobně být zařazen k výrobci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. Výrobce zářivek Amber vykazuje odlišný světelný </w:t>
      </w:r>
      <w:r w:rsidR="004D54FB">
        <w:t>tok</w:t>
      </w:r>
      <w:r w:rsidR="00CB20A9">
        <w:t xml:space="preserve"> než ostatní výrobci</w:t>
      </w:r>
      <w:r>
        <w:t>.</w:t>
      </w:r>
    </w:p>
    <w:p w14:paraId="5888680E" w14:textId="3BA02D63" w:rsidR="00755454" w:rsidRPr="00645F90" w:rsidRDefault="00755454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  <w:rPr>
          <w:lang w:val="en-US"/>
        </w:rPr>
      </w:pPr>
    </w:p>
    <w:p w14:paraId="7B03BE62" w14:textId="02BD5D94" w:rsidR="00755454" w:rsidRDefault="005F0C20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A6FD816" wp14:editId="4C49A038">
            <wp:simplePos x="0" y="0"/>
            <wp:positionH relativeFrom="margin">
              <wp:align>center</wp:align>
            </wp:positionH>
            <wp:positionV relativeFrom="paragraph">
              <wp:posOffset>171341</wp:posOffset>
            </wp:positionV>
            <wp:extent cx="2406015" cy="261239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F2EE9" w14:textId="0AE15D1A" w:rsidR="002B7E3D" w:rsidRPr="00163F3E" w:rsidRDefault="002B7E3D" w:rsidP="00163F3E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647E12D7" w14:textId="50B97E28" w:rsidR="002B7E3D" w:rsidRDefault="00163F3E" w:rsidP="00163F3E">
      <w:pPr>
        <w:pStyle w:val="Titulek"/>
        <w:keepNext/>
        <w:tabs>
          <w:tab w:val="center" w:pos="4896"/>
        </w:tabs>
        <w:jc w:val="center"/>
      </w:pPr>
      <w:r>
        <w:t>Obr. 8:</w:t>
      </w:r>
      <w:r w:rsidR="005649E2">
        <w:t xml:space="preserve"> Světelný tok zářivek (</w:t>
      </w:r>
      <w:proofErr w:type="spellStart"/>
      <w:r w:rsidR="005649E2">
        <w:t>lm</w:t>
      </w:r>
      <w:proofErr w:type="spellEnd"/>
      <w:r w:rsidR="005649E2">
        <w:t xml:space="preserve">) všech výrobců v závislosti na teplotě </w:t>
      </w:r>
      <w:proofErr w:type="gramStart"/>
      <w:r w:rsidR="005649E2" w:rsidRPr="007A5F23">
        <w:t>5°C</w:t>
      </w:r>
      <w:proofErr w:type="gramEnd"/>
      <w:r w:rsidR="005649E2">
        <w:t xml:space="preserve"> (krabicový graf, původní data)</w:t>
      </w:r>
    </w:p>
    <w:p w14:paraId="7117B7AC" w14:textId="35EE351A" w:rsidR="005F0C20" w:rsidRDefault="005F0C20" w:rsidP="005F0C20">
      <w:pPr>
        <w:suppressAutoHyphens w:val="0"/>
        <w:spacing w:after="0" w:line="240" w:lineRule="auto"/>
        <w:textAlignment w:val="auto"/>
      </w:pPr>
      <w:r>
        <w:br w:type="page"/>
      </w:r>
    </w:p>
    <w:p w14:paraId="0E77E46A" w14:textId="0900BC30" w:rsidR="005F0C20" w:rsidRDefault="00645F90" w:rsidP="005F0C20">
      <w:pPr>
        <w:pStyle w:val="Titulek"/>
        <w:keepNext/>
        <w:tabs>
          <w:tab w:val="center" w:pos="4896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2313E84" wp14:editId="13175DC9">
            <wp:simplePos x="0" y="0"/>
            <wp:positionH relativeFrom="margin">
              <wp:align>center</wp:align>
            </wp:positionH>
            <wp:positionV relativeFrom="paragraph">
              <wp:posOffset>3176270</wp:posOffset>
            </wp:positionV>
            <wp:extent cx="2941069" cy="3197451"/>
            <wp:effectExtent l="0" t="0" r="0" b="3175"/>
            <wp:wrapTopAndBottom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69" cy="319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20">
        <w:rPr>
          <w:noProof/>
        </w:rPr>
        <w:drawing>
          <wp:anchor distT="0" distB="0" distL="114300" distR="114300" simplePos="0" relativeHeight="251677696" behindDoc="0" locked="0" layoutInCell="1" allowOverlap="1" wp14:anchorId="326ADCFF" wp14:editId="6C9B08E3">
            <wp:simplePos x="0" y="0"/>
            <wp:positionH relativeFrom="margin">
              <wp:align>center</wp:align>
            </wp:positionH>
            <wp:positionV relativeFrom="paragraph">
              <wp:posOffset>55989</wp:posOffset>
            </wp:positionV>
            <wp:extent cx="2404872" cy="2615184"/>
            <wp:effectExtent l="0" t="0" r="0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72" cy="261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C20">
        <w:t>Obr. 9: Světelný tok zářivek (</w:t>
      </w:r>
      <w:proofErr w:type="spellStart"/>
      <w:r w:rsidR="005F0C20">
        <w:t>lm</w:t>
      </w:r>
      <w:proofErr w:type="spellEnd"/>
      <w:r w:rsidR="005F0C20">
        <w:t xml:space="preserve">) všech výrobců v závislosti na teplotě </w:t>
      </w:r>
      <w:proofErr w:type="gramStart"/>
      <w:r w:rsidR="005F0C20" w:rsidRPr="007A5F23">
        <w:t>5°C</w:t>
      </w:r>
      <w:proofErr w:type="gramEnd"/>
      <w:r w:rsidR="005F0C20">
        <w:t xml:space="preserve"> (krabicový graf, data po odstranění odlehlých pozorování)</w:t>
      </w:r>
    </w:p>
    <w:p w14:paraId="32E5DF21" w14:textId="61D6D044" w:rsidR="005F0C20" w:rsidRDefault="005F0C20" w:rsidP="00645F90">
      <w:pPr>
        <w:pStyle w:val="Titulek"/>
        <w:keepNext/>
        <w:tabs>
          <w:tab w:val="center" w:pos="4896"/>
        </w:tabs>
      </w:pPr>
    </w:p>
    <w:p w14:paraId="42C7E2B1" w14:textId="6C527881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 xml:space="preserve">Obr. </w:t>
      </w:r>
      <w:r>
        <w:rPr>
          <w:lang w:val="en-US"/>
        </w:rPr>
        <w:t>10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>histogram,</w:t>
      </w:r>
      <w:r>
        <w:t xml:space="preserve"> data po odstranění odlehlých pozorování)</w:t>
      </w:r>
    </w:p>
    <w:p w14:paraId="49790529" w14:textId="37ADCEFA" w:rsidR="005F0C20" w:rsidRDefault="005F0C20">
      <w:pPr>
        <w:suppressAutoHyphens w:val="0"/>
        <w:spacing w:after="0" w:line="240" w:lineRule="auto"/>
        <w:textAlignment w:val="auto"/>
      </w:pPr>
      <w:r>
        <w:br w:type="page"/>
      </w:r>
    </w:p>
    <w:p w14:paraId="42336B31" w14:textId="41451A7E" w:rsidR="002B7E3D" w:rsidRDefault="005F0C20">
      <w:pPr>
        <w:suppressAutoHyphens w:val="0"/>
        <w:spacing w:line="259" w:lineRule="auto"/>
        <w:contextualSpacing/>
        <w:jc w:val="both"/>
        <w:textAlignment w:val="auto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467C516" wp14:editId="50D97407">
            <wp:simplePos x="0" y="0"/>
            <wp:positionH relativeFrom="margin">
              <wp:align>center</wp:align>
            </wp:positionH>
            <wp:positionV relativeFrom="paragraph">
              <wp:posOffset>254</wp:posOffset>
            </wp:positionV>
            <wp:extent cx="3134847" cy="3403467"/>
            <wp:effectExtent l="0" t="0" r="8890" b="698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47" cy="340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365F8" w14:textId="1FF23279" w:rsidR="004A3D13" w:rsidRDefault="004A3D13" w:rsidP="004A3D13">
      <w:pPr>
        <w:pStyle w:val="Titulek"/>
        <w:keepNext/>
        <w:tabs>
          <w:tab w:val="center" w:pos="4896"/>
        </w:tabs>
        <w:jc w:val="center"/>
      </w:pPr>
      <w:r>
        <w:t>Obr.</w:t>
      </w:r>
      <w:r w:rsidR="00D11BF8">
        <w:t xml:space="preserve"> 11</w:t>
      </w:r>
      <w:r>
        <w:t>: Světelný tok zářivek (</w:t>
      </w:r>
      <w:proofErr w:type="spellStart"/>
      <w:r>
        <w:t>lm</w:t>
      </w:r>
      <w:proofErr w:type="spellEnd"/>
      <w:r>
        <w:t xml:space="preserve">) všech výrobců v závislosti na teplotě </w:t>
      </w:r>
      <w:proofErr w:type="gramStart"/>
      <w:r w:rsidRPr="007A5F23">
        <w:t>5°C</w:t>
      </w:r>
      <w:proofErr w:type="gramEnd"/>
      <w:r>
        <w:t xml:space="preserve"> (</w:t>
      </w:r>
      <w:r w:rsidR="00D34344">
        <w:t xml:space="preserve">Q-Q </w:t>
      </w:r>
      <w:r>
        <w:t>graf, data po odstranění odlehlých pozorování)</w:t>
      </w:r>
    </w:p>
    <w:p w14:paraId="46D2D1CD" w14:textId="6EEDC874" w:rsidR="005F0C20" w:rsidRDefault="005F0C20">
      <w:pPr>
        <w:suppressAutoHyphens w:val="0"/>
        <w:spacing w:after="0" w:line="240" w:lineRule="auto"/>
        <w:textAlignment w:val="auto"/>
      </w:pPr>
      <w:r>
        <w:br w:type="page"/>
      </w:r>
    </w:p>
    <w:p w14:paraId="146186DD" w14:textId="2D88187F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F728B04" w14:textId="7150F149" w:rsidR="002B7E3D" w:rsidRPr="00331ECC" w:rsidRDefault="00F027EA" w:rsidP="00331ECC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EF5E0AA" w14:textId="05AB9857" w:rsidR="004C5D9E" w:rsidRPr="00991795" w:rsidRDefault="004C5D9E" w:rsidP="004C5D9E">
      <w:pPr>
        <w:pStyle w:val="Titulek"/>
        <w:keepNext/>
        <w:jc w:val="center"/>
      </w:pPr>
      <w:r>
        <w:t xml:space="preserve">Tab. </w:t>
      </w:r>
      <w:r w:rsidR="00E319DD">
        <w:t>5</w:t>
      </w:r>
      <w:r>
        <w:t xml:space="preserve">: Nástroje pro ověření předpokladů symetrie a normality </w:t>
      </w:r>
      <w:r w:rsidR="00127C52">
        <w:t>dle výrobce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1726"/>
        <w:gridCol w:w="1332"/>
        <w:gridCol w:w="1350"/>
        <w:gridCol w:w="2550"/>
        <w:gridCol w:w="1747"/>
      </w:tblGrid>
      <w:tr w:rsidR="004859C4" w14:paraId="7B4B7AE0" w14:textId="77777777" w:rsidTr="00FD46AB">
        <w:tc>
          <w:tcPr>
            <w:tcW w:w="1726" w:type="dxa"/>
            <w:tcBorders>
              <w:bottom w:val="single" w:sz="4" w:space="0" w:color="auto"/>
            </w:tcBorders>
          </w:tcPr>
          <w:p w14:paraId="391AE8F5" w14:textId="336FFC22" w:rsidR="00164519" w:rsidRPr="008F1936" w:rsidRDefault="008F1936" w:rsidP="00FD46AB">
            <w:pPr>
              <w:jc w:val="center"/>
              <w:rPr>
                <w:b/>
                <w:bCs/>
                <w:i/>
                <w:iCs/>
              </w:rPr>
            </w:pPr>
            <w:r w:rsidRPr="008F1936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5867C37D" w14:textId="128DC40B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Šikmost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FC36D00" w14:textId="63A6A167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Špičatost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4AB29727" w14:textId="0F3D813A" w:rsidR="00146AAE" w:rsidRPr="008F1936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8F1936">
              <w:rPr>
                <w:b/>
                <w:bCs/>
                <w:i/>
                <w:iCs/>
                <w:sz w:val="22"/>
                <w:szCs w:val="22"/>
              </w:rPr>
              <w:t>Shapirův-Wilkův</w:t>
            </w:r>
            <w:proofErr w:type="spellEnd"/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 test</w:t>
            </w:r>
          </w:p>
          <w:p w14:paraId="0010DD52" w14:textId="64E1EF9F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273963A1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23507DC" w14:textId="77777777" w:rsidR="007434F7" w:rsidRDefault="00164519" w:rsidP="00FD46AB">
            <w:pPr>
              <w:pStyle w:val="Default"/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 xml:space="preserve">Test symetrie </w:t>
            </w:r>
          </w:p>
          <w:p w14:paraId="6234176F" w14:textId="3922AC34" w:rsidR="00164519" w:rsidRPr="008F1936" w:rsidRDefault="00164519" w:rsidP="00FD46AB">
            <w:pPr>
              <w:pStyle w:val="Default"/>
              <w:jc w:val="center"/>
              <w:rPr>
                <w:i/>
                <w:iCs/>
              </w:rPr>
            </w:pPr>
            <w:r w:rsidRPr="008F1936">
              <w:rPr>
                <w:b/>
                <w:bCs/>
                <w:i/>
                <w:iCs/>
                <w:sz w:val="22"/>
                <w:szCs w:val="22"/>
              </w:rPr>
              <w:t>(p-hodnota)</w:t>
            </w:r>
          </w:p>
          <w:p w14:paraId="5FAFEE07" w14:textId="77777777" w:rsidR="00164519" w:rsidRPr="008F1936" w:rsidRDefault="00164519" w:rsidP="00FD46AB">
            <w:pPr>
              <w:jc w:val="center"/>
              <w:rPr>
                <w:i/>
                <w:iCs/>
              </w:rPr>
            </w:pPr>
          </w:p>
        </w:tc>
      </w:tr>
      <w:tr w:rsidR="004859C4" w14:paraId="3CC7040D" w14:textId="77777777" w:rsidTr="00FD46AB">
        <w:tc>
          <w:tcPr>
            <w:tcW w:w="1726" w:type="dxa"/>
            <w:tcBorders>
              <w:top w:val="single" w:sz="4" w:space="0" w:color="auto"/>
            </w:tcBorders>
          </w:tcPr>
          <w:p w14:paraId="19B5D8A4" w14:textId="756E9B0B" w:rsidR="00164519" w:rsidRPr="008F1936" w:rsidRDefault="00164519" w:rsidP="00FD46AB">
            <w:pPr>
              <w:jc w:val="center"/>
            </w:pPr>
            <w:r w:rsidRPr="008F1936">
              <w:t>Amber</w:t>
            </w:r>
          </w:p>
        </w:tc>
        <w:tc>
          <w:tcPr>
            <w:tcW w:w="1332" w:type="dxa"/>
            <w:tcBorders>
              <w:top w:val="single" w:sz="4" w:space="0" w:color="auto"/>
            </w:tcBorders>
          </w:tcPr>
          <w:p w14:paraId="7044C964" w14:textId="11848490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9EEFBEA" w14:textId="7D7F6D40" w:rsidR="00164519" w:rsidRDefault="004859C4" w:rsidP="00FD46AB">
            <w:pPr>
              <w:jc w:val="center"/>
            </w:pPr>
            <w:r w:rsidRPr="004859C4">
              <w:t>-1</w:t>
            </w:r>
            <w:r w:rsidR="005866E5">
              <w:t>,</w:t>
            </w:r>
            <w:r>
              <w:t>1</w:t>
            </w:r>
          </w:p>
        </w:tc>
        <w:tc>
          <w:tcPr>
            <w:tcW w:w="2550" w:type="dxa"/>
            <w:tcBorders>
              <w:top w:val="single" w:sz="4" w:space="0" w:color="auto"/>
            </w:tcBorders>
          </w:tcPr>
          <w:p w14:paraId="0042F9C8" w14:textId="42F0797D" w:rsidR="00164519" w:rsidRPr="0097420D" w:rsidRDefault="002A56A3" w:rsidP="00FD46AB">
            <w:pPr>
              <w:jc w:val="center"/>
              <w:rPr>
                <w:lang w:val="en-US"/>
              </w:rPr>
            </w:pPr>
            <w:r w:rsidRPr="002A56A3">
              <w:t>0</w:t>
            </w:r>
            <w:r w:rsidR="005866E5">
              <w:t>,</w:t>
            </w:r>
            <w:r w:rsidRPr="002A56A3">
              <w:t>03</w:t>
            </w:r>
            <w:r w:rsidR="0097420D">
              <w:t>2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14:paraId="247522DB" w14:textId="57E583B1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67</w:t>
            </w:r>
            <w:r w:rsidR="0097420D">
              <w:t>7</w:t>
            </w:r>
          </w:p>
        </w:tc>
      </w:tr>
      <w:tr w:rsidR="004859C4" w14:paraId="0AE01A77" w14:textId="77777777" w:rsidTr="00FD46AB">
        <w:tc>
          <w:tcPr>
            <w:tcW w:w="1726" w:type="dxa"/>
          </w:tcPr>
          <w:p w14:paraId="39F33C71" w14:textId="590C5812" w:rsidR="00164519" w:rsidRPr="008F1936" w:rsidRDefault="00164519" w:rsidP="00FD46AB">
            <w:pPr>
              <w:jc w:val="center"/>
            </w:pPr>
            <w:proofErr w:type="spellStart"/>
            <w:r w:rsidRPr="008F1936">
              <w:t>Bright</w:t>
            </w:r>
            <w:proofErr w:type="spellEnd"/>
          </w:p>
        </w:tc>
        <w:tc>
          <w:tcPr>
            <w:tcW w:w="1332" w:type="dxa"/>
          </w:tcPr>
          <w:p w14:paraId="43628D19" w14:textId="1EB710EC" w:rsidR="00164519" w:rsidRDefault="004859C4" w:rsidP="00FD46AB">
            <w:pPr>
              <w:jc w:val="center"/>
            </w:pPr>
            <w:r>
              <w:t>0</w:t>
            </w:r>
            <w:r w:rsidR="005866E5">
              <w:t>,</w:t>
            </w:r>
            <w:r w:rsidRPr="004859C4">
              <w:t>0</w:t>
            </w:r>
          </w:p>
        </w:tc>
        <w:tc>
          <w:tcPr>
            <w:tcW w:w="1350" w:type="dxa"/>
          </w:tcPr>
          <w:p w14:paraId="36CBCDF3" w14:textId="390F68D2" w:rsidR="00164519" w:rsidRDefault="004859C4" w:rsidP="00FD46AB">
            <w:pPr>
              <w:jc w:val="center"/>
            </w:pPr>
            <w:r w:rsidRPr="004859C4">
              <w:t>-</w:t>
            </w:r>
            <w:r>
              <w:t>1</w:t>
            </w:r>
            <w:r w:rsidR="005866E5">
              <w:t>,</w:t>
            </w:r>
            <w:r>
              <w:t>0</w:t>
            </w:r>
          </w:p>
        </w:tc>
        <w:tc>
          <w:tcPr>
            <w:tcW w:w="2550" w:type="dxa"/>
          </w:tcPr>
          <w:p w14:paraId="43A8C343" w14:textId="1E718AB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046</w:t>
            </w:r>
          </w:p>
        </w:tc>
        <w:tc>
          <w:tcPr>
            <w:tcW w:w="1747" w:type="dxa"/>
          </w:tcPr>
          <w:p w14:paraId="3C57AEF7" w14:textId="1AFA096D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985</w:t>
            </w:r>
          </w:p>
        </w:tc>
      </w:tr>
      <w:tr w:rsidR="004859C4" w14:paraId="09EA9FDE" w14:textId="77777777" w:rsidTr="00FD46AB">
        <w:tc>
          <w:tcPr>
            <w:tcW w:w="1726" w:type="dxa"/>
          </w:tcPr>
          <w:p w14:paraId="52640DD0" w14:textId="688968AB" w:rsidR="00164519" w:rsidRPr="008F1936" w:rsidRDefault="00164519" w:rsidP="00FD46AB">
            <w:pPr>
              <w:jc w:val="center"/>
            </w:pPr>
            <w:proofErr w:type="spellStart"/>
            <w:r w:rsidRPr="008F1936">
              <w:t>Clear</w:t>
            </w:r>
            <w:proofErr w:type="spellEnd"/>
          </w:p>
        </w:tc>
        <w:tc>
          <w:tcPr>
            <w:tcW w:w="1332" w:type="dxa"/>
          </w:tcPr>
          <w:p w14:paraId="6372C272" w14:textId="52ADE583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1</w:t>
            </w:r>
          </w:p>
        </w:tc>
        <w:tc>
          <w:tcPr>
            <w:tcW w:w="1350" w:type="dxa"/>
          </w:tcPr>
          <w:p w14:paraId="449A801B" w14:textId="530757D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 w:rsidRPr="004859C4">
              <w:t>8</w:t>
            </w:r>
          </w:p>
        </w:tc>
        <w:tc>
          <w:tcPr>
            <w:tcW w:w="2550" w:type="dxa"/>
          </w:tcPr>
          <w:p w14:paraId="76316CD6" w14:textId="04E2CA26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121</w:t>
            </w:r>
          </w:p>
        </w:tc>
        <w:tc>
          <w:tcPr>
            <w:tcW w:w="1747" w:type="dxa"/>
          </w:tcPr>
          <w:p w14:paraId="6129568F" w14:textId="05485233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413</w:t>
            </w:r>
          </w:p>
        </w:tc>
      </w:tr>
      <w:tr w:rsidR="004859C4" w14:paraId="7A984E97" w14:textId="77777777" w:rsidTr="00FD46AB">
        <w:tc>
          <w:tcPr>
            <w:tcW w:w="1726" w:type="dxa"/>
          </w:tcPr>
          <w:p w14:paraId="0903BB0E" w14:textId="0AD117E1" w:rsidR="00164519" w:rsidRPr="008F1936" w:rsidRDefault="00164519" w:rsidP="00FD46AB">
            <w:pPr>
              <w:jc w:val="center"/>
            </w:pPr>
            <w:proofErr w:type="spellStart"/>
            <w:r w:rsidRPr="008F1936">
              <w:t>Dim</w:t>
            </w:r>
            <w:proofErr w:type="spellEnd"/>
          </w:p>
        </w:tc>
        <w:tc>
          <w:tcPr>
            <w:tcW w:w="1332" w:type="dxa"/>
          </w:tcPr>
          <w:p w14:paraId="6F2BAC6C" w14:textId="71BFB2DE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2</w:t>
            </w:r>
          </w:p>
        </w:tc>
        <w:tc>
          <w:tcPr>
            <w:tcW w:w="1350" w:type="dxa"/>
          </w:tcPr>
          <w:p w14:paraId="7982AF1B" w14:textId="4BC232CC" w:rsidR="00164519" w:rsidRDefault="004859C4" w:rsidP="00FD46AB">
            <w:pPr>
              <w:jc w:val="center"/>
            </w:pPr>
            <w:r w:rsidRPr="004859C4">
              <w:t>-0</w:t>
            </w:r>
            <w:r w:rsidR="005866E5">
              <w:t>,</w:t>
            </w:r>
            <w:r>
              <w:t>7</w:t>
            </w:r>
          </w:p>
        </w:tc>
        <w:tc>
          <w:tcPr>
            <w:tcW w:w="2550" w:type="dxa"/>
          </w:tcPr>
          <w:p w14:paraId="25849306" w14:textId="0B71D479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023</w:t>
            </w:r>
          </w:p>
        </w:tc>
        <w:tc>
          <w:tcPr>
            <w:tcW w:w="1747" w:type="dxa"/>
          </w:tcPr>
          <w:p w14:paraId="6A091C87" w14:textId="0833F682" w:rsidR="00164519" w:rsidRDefault="002A56A3" w:rsidP="00FD46AB">
            <w:pPr>
              <w:jc w:val="center"/>
            </w:pPr>
            <w:r w:rsidRPr="002A56A3">
              <w:t>0</w:t>
            </w:r>
            <w:r w:rsidR="005866E5">
              <w:t>,</w:t>
            </w:r>
            <w:r w:rsidRPr="002A56A3">
              <w:t>01</w:t>
            </w:r>
            <w:r w:rsidR="0097420D">
              <w:t>7</w:t>
            </w:r>
          </w:p>
        </w:tc>
      </w:tr>
    </w:tbl>
    <w:p w14:paraId="428B323B" w14:textId="7112CBF5" w:rsidR="00B22412" w:rsidRDefault="00B22412">
      <w:pPr>
        <w:ind w:left="357"/>
        <w:jc w:val="both"/>
      </w:pPr>
    </w:p>
    <w:p w14:paraId="395E3188" w14:textId="77777777" w:rsidR="007434F7" w:rsidRDefault="00FE4AEC">
      <w:pPr>
        <w:ind w:left="357"/>
        <w:jc w:val="both"/>
      </w:pPr>
      <w:r>
        <w:t xml:space="preserve">Dle prezentovaných grafů na Obr. 10 a Obr. 11 nelze zcela usoudit, zda světelný tok lze modelovat pomocí normálního rozdělení. Například na histogramu u výrobce </w:t>
      </w:r>
      <w:proofErr w:type="spellStart"/>
      <w:r>
        <w:t>Dim</w:t>
      </w:r>
      <w:proofErr w:type="spellEnd"/>
      <w:r>
        <w:t>, lze pozorovat záporné zešikmení, u výrobce Amber naopak špičatost.</w:t>
      </w:r>
      <w:r w:rsidR="00770A57">
        <w:t xml:space="preserve"> V závislosti na Q-Q grafech, lze pozorovat podobné anomálie, přičemž si můžeme povšimnout statistických jednotek, které vypadají jako odlehlá pozorování, i když tato byla korektně odstraněna v předchozích krocích.</w:t>
      </w:r>
    </w:p>
    <w:p w14:paraId="79276485" w14:textId="2E33FB9E" w:rsidR="00B22412" w:rsidRDefault="007434F7">
      <w:pPr>
        <w:ind w:left="357"/>
        <w:jc w:val="both"/>
      </w:pPr>
      <w:r>
        <w:t>Dle empiricky vypočtených hodnot šikmosti a špičatosti</w:t>
      </w:r>
      <w:r w:rsidR="00770A57">
        <w:t xml:space="preserve"> </w:t>
      </w:r>
      <w:r>
        <w:t>(viz. Tab. 5) data odpovídají normálnímu rozdělení.</w:t>
      </w:r>
    </w:p>
    <w:p w14:paraId="0FC7F7B2" w14:textId="75FB04BF" w:rsidR="007434F7" w:rsidRDefault="007434F7" w:rsidP="007434F7">
      <w:pPr>
        <w:ind w:left="357"/>
        <w:jc w:val="both"/>
      </w:pPr>
      <w:r>
        <w:t xml:space="preserve">Dle </w:t>
      </w:r>
      <w:proofErr w:type="spellStart"/>
      <w:r>
        <w:t>Shapirova-Wilkova</w:t>
      </w:r>
      <w:proofErr w:type="spellEnd"/>
      <w:r>
        <w:t xml:space="preserve"> testu lze na hladině významnosti 0,05 předpoklad normality pro výrobce Amber, </w:t>
      </w:r>
      <w:proofErr w:type="spellStart"/>
      <w:r>
        <w:t>Bright</w:t>
      </w:r>
      <w:proofErr w:type="spellEnd"/>
      <w:r>
        <w:t xml:space="preserve"> a </w:t>
      </w:r>
      <w:proofErr w:type="spellStart"/>
      <w:r>
        <w:t>Dim</w:t>
      </w:r>
      <w:proofErr w:type="spellEnd"/>
      <w:r>
        <w:t xml:space="preserve"> zamítnout.</w:t>
      </w:r>
    </w:p>
    <w:p w14:paraId="4EE6F10F" w14:textId="0D6B6259" w:rsidR="006075D0" w:rsidRDefault="007434F7" w:rsidP="006075D0">
      <w:pPr>
        <w:ind w:left="357"/>
        <w:jc w:val="both"/>
      </w:pPr>
      <w:r>
        <w:t xml:space="preserve">Dle testu symetrie (viz. Tab. 5), grafů (viz. Obr. 10), lze zamítnout symetričnost u výrobce </w:t>
      </w:r>
      <w:proofErr w:type="spellStart"/>
      <w:r>
        <w:t>Dim</w:t>
      </w:r>
      <w:proofErr w:type="spellEnd"/>
      <w:r w:rsidR="00F6448B">
        <w:t>.</w:t>
      </w:r>
    </w:p>
    <w:p w14:paraId="549460FB" w14:textId="77777777" w:rsidR="007434F7" w:rsidRDefault="007434F7">
      <w:pPr>
        <w:ind w:left="357"/>
        <w:jc w:val="both"/>
      </w:pPr>
    </w:p>
    <w:p w14:paraId="20FC4973" w14:textId="099A7861" w:rsidR="007434F7" w:rsidRDefault="007434F7">
      <w:pPr>
        <w:ind w:left="357"/>
        <w:jc w:val="both"/>
      </w:pPr>
    </w:p>
    <w:p w14:paraId="0608CC2D" w14:textId="77777777" w:rsidR="007434F7" w:rsidRDefault="007434F7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12D5948B" w:rsidR="00B22412" w:rsidRDefault="00B22412">
      <w:pPr>
        <w:suppressAutoHyphens w:val="0"/>
        <w:spacing w:after="0" w:line="240" w:lineRule="auto"/>
        <w:textAlignment w:val="auto"/>
      </w:pPr>
      <w:r>
        <w:br w:type="page"/>
      </w:r>
    </w:p>
    <w:p w14:paraId="26B042AF" w14:textId="77777777" w:rsidR="002B7E3D" w:rsidRDefault="002B7E3D">
      <w:pPr>
        <w:ind w:left="357"/>
        <w:jc w:val="both"/>
      </w:pPr>
    </w:p>
    <w:p w14:paraId="1F350436" w14:textId="55FCEB3F" w:rsidR="002B7E3D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08A60919" w14:textId="2B2B3D35" w:rsidR="00E319DD" w:rsidRPr="006B5D3C" w:rsidRDefault="00E319DD" w:rsidP="006B5D3C">
      <w:pPr>
        <w:pStyle w:val="Titulek"/>
        <w:keepNext/>
        <w:jc w:val="center"/>
      </w:pPr>
      <w:r>
        <w:t xml:space="preserve">Tab. 6: </w:t>
      </w:r>
      <w:r w:rsidR="001A42DF">
        <w:t>Rozptyly</w:t>
      </w:r>
      <w:r w:rsidR="00AD2ADD">
        <w:t xml:space="preserve"> světelného toku</w:t>
      </w:r>
      <w:r w:rsidR="00C71CF8">
        <w:t xml:space="preserve"> v závislosti na teplotě </w:t>
      </w:r>
      <w:r w:rsidR="00C71CF8" w:rsidRPr="007A5F23">
        <w:t>5 °C</w:t>
      </w:r>
      <w:r w:rsidR="00C71CF8">
        <w:t xml:space="preserve"> </w:t>
      </w:r>
      <w:r w:rsidR="001A42DF">
        <w:t>dle výrobce zářivek</w:t>
      </w:r>
    </w:p>
    <w:tbl>
      <w:tblPr>
        <w:tblStyle w:val="Mkatabulky"/>
        <w:tblW w:w="0" w:type="auto"/>
        <w:tblInd w:w="357" w:type="dxa"/>
        <w:tblLook w:val="04A0" w:firstRow="1" w:lastRow="0" w:firstColumn="1" w:lastColumn="0" w:noHBand="0" w:noVBand="1"/>
      </w:tblPr>
      <w:tblGrid>
        <w:gridCol w:w="4636"/>
        <w:gridCol w:w="3577"/>
      </w:tblGrid>
      <w:tr w:rsidR="005B330B" w:rsidRPr="00901858" w14:paraId="3C8FED22" w14:textId="77777777" w:rsidTr="00BF630E">
        <w:trPr>
          <w:trHeight w:val="412"/>
        </w:trPr>
        <w:tc>
          <w:tcPr>
            <w:tcW w:w="4636" w:type="dxa"/>
            <w:tcBorders>
              <w:bottom w:val="single" w:sz="4" w:space="0" w:color="auto"/>
            </w:tcBorders>
          </w:tcPr>
          <w:p w14:paraId="29E49BC9" w14:textId="6C46EA80" w:rsidR="005B330B" w:rsidRPr="00901858" w:rsidRDefault="00FD46AB" w:rsidP="00BF630E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Výrobce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14:paraId="42393F5B" w14:textId="1C57E566" w:rsidR="005B330B" w:rsidRPr="00901858" w:rsidRDefault="005B330B" w:rsidP="00BF630E">
            <w:pPr>
              <w:pStyle w:val="Default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Rozptyl</w:t>
            </w:r>
          </w:p>
        </w:tc>
      </w:tr>
      <w:tr w:rsidR="005B330B" w:rsidRPr="00901858" w14:paraId="2DFDABD0" w14:textId="77777777" w:rsidTr="00BF630E">
        <w:trPr>
          <w:trHeight w:val="423"/>
        </w:trPr>
        <w:tc>
          <w:tcPr>
            <w:tcW w:w="4636" w:type="dxa"/>
            <w:tcBorders>
              <w:top w:val="single" w:sz="4" w:space="0" w:color="auto"/>
            </w:tcBorders>
          </w:tcPr>
          <w:p w14:paraId="788913CE" w14:textId="1631CACB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Amber</w:t>
            </w:r>
          </w:p>
        </w:tc>
        <w:tc>
          <w:tcPr>
            <w:tcW w:w="3577" w:type="dxa"/>
            <w:tcBorders>
              <w:top w:val="single" w:sz="4" w:space="0" w:color="auto"/>
            </w:tcBorders>
          </w:tcPr>
          <w:p w14:paraId="3DC9B99A" w14:textId="3E91D8D2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303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6</w:t>
            </w:r>
          </w:p>
        </w:tc>
      </w:tr>
      <w:tr w:rsidR="005B330B" w:rsidRPr="00901858" w14:paraId="1E278249" w14:textId="77777777" w:rsidTr="00BF630E">
        <w:trPr>
          <w:trHeight w:val="412"/>
        </w:trPr>
        <w:tc>
          <w:tcPr>
            <w:tcW w:w="4636" w:type="dxa"/>
          </w:tcPr>
          <w:p w14:paraId="77B51929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Bright</w:t>
            </w:r>
            <w:proofErr w:type="spellEnd"/>
          </w:p>
        </w:tc>
        <w:tc>
          <w:tcPr>
            <w:tcW w:w="3577" w:type="dxa"/>
          </w:tcPr>
          <w:p w14:paraId="7993287C" w14:textId="049CB6CB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717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</w:p>
        </w:tc>
      </w:tr>
      <w:tr w:rsidR="005B330B" w:rsidRPr="00901858" w14:paraId="778A5BB8" w14:textId="77777777" w:rsidTr="00BF630E">
        <w:trPr>
          <w:trHeight w:val="423"/>
        </w:trPr>
        <w:tc>
          <w:tcPr>
            <w:tcW w:w="4636" w:type="dxa"/>
          </w:tcPr>
          <w:p w14:paraId="6CBDFF56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Clear</w:t>
            </w:r>
            <w:proofErr w:type="spellEnd"/>
          </w:p>
        </w:tc>
        <w:tc>
          <w:tcPr>
            <w:tcW w:w="3577" w:type="dxa"/>
          </w:tcPr>
          <w:p w14:paraId="4FF977C2" w14:textId="79ABDD6E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616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>8</w:t>
            </w:r>
          </w:p>
        </w:tc>
      </w:tr>
      <w:tr w:rsidR="005B330B" w:rsidRPr="00901858" w14:paraId="71ECECF7" w14:textId="77777777" w:rsidTr="00BF630E">
        <w:trPr>
          <w:trHeight w:val="412"/>
        </w:trPr>
        <w:tc>
          <w:tcPr>
            <w:tcW w:w="4636" w:type="dxa"/>
          </w:tcPr>
          <w:p w14:paraId="11EDA220" w14:textId="77777777" w:rsidR="005B330B" w:rsidRPr="00901858" w:rsidRDefault="005B330B" w:rsidP="00BF630E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01858">
              <w:rPr>
                <w:rFonts w:asciiTheme="minorHAnsi" w:hAnsiTheme="minorHAnsi" w:cstheme="minorHAnsi"/>
              </w:rPr>
              <w:t>Dim</w:t>
            </w:r>
            <w:proofErr w:type="spellEnd"/>
          </w:p>
        </w:tc>
        <w:tc>
          <w:tcPr>
            <w:tcW w:w="3577" w:type="dxa"/>
          </w:tcPr>
          <w:p w14:paraId="647157E6" w14:textId="221CB013" w:rsidR="005B330B" w:rsidRPr="00901858" w:rsidRDefault="00B77EA2" w:rsidP="00BF630E">
            <w:pPr>
              <w:jc w:val="center"/>
              <w:rPr>
                <w:rFonts w:asciiTheme="minorHAnsi" w:hAnsiTheme="minorHAnsi" w:cstheme="minorHAnsi"/>
              </w:rPr>
            </w:pPr>
            <w:r w:rsidRPr="00901858">
              <w:rPr>
                <w:rFonts w:asciiTheme="minorHAnsi" w:hAnsiTheme="minorHAnsi" w:cstheme="minorHAnsi"/>
              </w:rPr>
              <w:t>55</w:t>
            </w:r>
            <w:r w:rsidR="00156414" w:rsidRPr="00901858">
              <w:rPr>
                <w:rFonts w:asciiTheme="minorHAnsi" w:hAnsiTheme="minorHAnsi" w:cstheme="minorHAnsi"/>
              </w:rPr>
              <w:t>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156414" w:rsidRPr="00901858">
              <w:rPr>
                <w:rFonts w:asciiTheme="minorHAnsi" w:hAnsiTheme="minorHAnsi" w:cstheme="minorHAnsi"/>
              </w:rPr>
              <w:t>0</w:t>
            </w:r>
          </w:p>
        </w:tc>
      </w:tr>
    </w:tbl>
    <w:p w14:paraId="2FE1766A" w14:textId="77889998" w:rsidR="00E319DD" w:rsidRDefault="00E319DD" w:rsidP="002A56A3">
      <w:pPr>
        <w:suppressAutoHyphens w:val="0"/>
        <w:spacing w:line="259" w:lineRule="auto"/>
        <w:contextualSpacing/>
        <w:jc w:val="both"/>
        <w:textAlignment w:val="auto"/>
        <w:rPr>
          <w:rFonts w:asciiTheme="minorHAnsi" w:hAnsiTheme="minorHAnsi" w:cstheme="minorHAnsi"/>
          <w:i/>
          <w:iCs/>
        </w:rPr>
      </w:pPr>
    </w:p>
    <w:p w14:paraId="6129530F" w14:textId="05BC6ED8" w:rsidR="002A56A3" w:rsidRPr="00E319DD" w:rsidRDefault="00E319DD" w:rsidP="00E319DD">
      <w:pPr>
        <w:pStyle w:val="Titulek"/>
        <w:keepNext/>
        <w:jc w:val="center"/>
      </w:pPr>
      <w:r>
        <w:t xml:space="preserve">Tab. 7: Nástroje pro ověření předpokladů </w:t>
      </w:r>
      <w:r w:rsidR="001A42DF">
        <w:t>shody rozptylů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6AB" w:rsidRPr="00901858" w14:paraId="21E63AD8" w14:textId="77777777" w:rsidTr="00191F6B">
        <w:tc>
          <w:tcPr>
            <w:tcW w:w="4531" w:type="dxa"/>
          </w:tcPr>
          <w:p w14:paraId="3EDE18B5" w14:textId="1BBCF75E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Empiricky (největší ku nejmenšímu) </w:t>
            </w:r>
            <w:proofErr w:type="gramStart"/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&lt; 2</w:t>
            </w:r>
            <w:proofErr w:type="gramEnd"/>
          </w:p>
        </w:tc>
        <w:tc>
          <w:tcPr>
            <w:tcW w:w="4531" w:type="dxa"/>
          </w:tcPr>
          <w:p w14:paraId="6966A574" w14:textId="1E194330" w:rsidR="00FD46AB" w:rsidRPr="00901858" w:rsidRDefault="00191F6B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i/>
                <w:iCs/>
                <w:lang w:val="en-US"/>
              </w:rPr>
            </w:pPr>
            <w:r w:rsidRPr="00901858">
              <w:rPr>
                <w:rFonts w:asciiTheme="minorHAnsi" w:hAnsiTheme="minorHAnsi" w:cstheme="minorHAnsi"/>
              </w:rPr>
              <w:t>(717</w:t>
            </w:r>
            <w:r w:rsidR="004E5D77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 xml:space="preserve">1908 </w:t>
            </w:r>
            <w:r w:rsidRPr="00901858">
              <w:rPr>
                <w:rFonts w:asciiTheme="minorHAnsi" w:hAnsiTheme="minorHAnsi" w:cstheme="minorHAnsi"/>
                <w:lang w:val="en-US"/>
              </w:rPr>
              <w:t xml:space="preserve">/ </w:t>
            </w:r>
            <w:r w:rsidRPr="00901858">
              <w:rPr>
                <w:rFonts w:asciiTheme="minorHAnsi" w:hAnsiTheme="minorHAnsi" w:cstheme="minorHAnsi"/>
              </w:rPr>
              <w:t>303</w:t>
            </w:r>
            <w:r w:rsidR="004E5D77">
              <w:rPr>
                <w:rFonts w:asciiTheme="minorHAnsi" w:hAnsiTheme="minorHAnsi" w:cstheme="minorHAnsi"/>
              </w:rPr>
              <w:t>,</w:t>
            </w:r>
            <w:r w:rsidRPr="00901858">
              <w:rPr>
                <w:rFonts w:asciiTheme="minorHAnsi" w:hAnsiTheme="minorHAnsi" w:cstheme="minorHAnsi"/>
              </w:rPr>
              <w:t xml:space="preserve">6150) </w:t>
            </w:r>
            <w:r w:rsidRPr="00901858">
              <w:rPr>
                <w:rFonts w:ascii="Cambria Math" w:hAnsi="Cambria Math" w:cs="Cambria Math"/>
              </w:rPr>
              <w:t>≅</w:t>
            </w:r>
            <w:r w:rsidRPr="00901858">
              <w:rPr>
                <w:rFonts w:asciiTheme="minorHAnsi" w:hAnsiTheme="minorHAnsi" w:cstheme="minorHAnsi"/>
              </w:rPr>
              <w:t xml:space="preserve"> 2</w:t>
            </w:r>
            <w:r w:rsidR="005866E5">
              <w:rPr>
                <w:rFonts w:asciiTheme="minorHAnsi" w:hAnsiTheme="minorHAnsi" w:cstheme="minorHAnsi"/>
              </w:rPr>
              <w:t>,</w:t>
            </w:r>
            <w:r w:rsidR="009C6972" w:rsidRPr="00901858">
              <w:rPr>
                <w:rFonts w:asciiTheme="minorHAnsi" w:hAnsiTheme="minorHAnsi" w:cstheme="minorHAnsi"/>
              </w:rPr>
              <w:t>4</w:t>
            </w:r>
          </w:p>
        </w:tc>
      </w:tr>
      <w:tr w:rsidR="00FD46AB" w:rsidRPr="00901858" w14:paraId="0BD72A05" w14:textId="77777777" w:rsidTr="00191F6B">
        <w:tc>
          <w:tcPr>
            <w:tcW w:w="4531" w:type="dxa"/>
          </w:tcPr>
          <w:p w14:paraId="186C32EF" w14:textId="30D9EB5F" w:rsidR="00FD46AB" w:rsidRPr="00901858" w:rsidRDefault="000F55AE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Exaktně (</w:t>
            </w:r>
            <w:proofErr w:type="spellStart"/>
            <w:r w:rsidR="00AD4B55">
              <w:rPr>
                <w:rFonts w:asciiTheme="minorHAnsi" w:hAnsiTheme="minorHAnsi" w:cstheme="minorHAnsi"/>
                <w:b/>
                <w:bCs/>
              </w:rPr>
              <w:t>Leveneho</w:t>
            </w:r>
            <w:proofErr w:type="spellEnd"/>
            <w:r w:rsidRPr="00901858">
              <w:rPr>
                <w:rFonts w:asciiTheme="minorHAnsi" w:hAnsiTheme="minorHAnsi" w:cstheme="minorHAnsi"/>
                <w:b/>
                <w:bCs/>
              </w:rPr>
              <w:t xml:space="preserve"> test</w:t>
            </w:r>
            <w:r w:rsidRPr="00901858">
              <w:rPr>
                <w:rFonts w:asciiTheme="minorHAnsi" w:hAnsiTheme="minorHAnsi" w:cstheme="minorHAnsi"/>
                <w:b/>
                <w:bCs/>
                <w:i/>
                <w:iCs/>
              </w:rPr>
              <w:t>)</w:t>
            </w:r>
            <w:r w:rsidR="00101930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p-hodnota</w:t>
            </w:r>
          </w:p>
        </w:tc>
        <w:tc>
          <w:tcPr>
            <w:tcW w:w="4531" w:type="dxa"/>
          </w:tcPr>
          <w:p w14:paraId="09EAB2B9" w14:textId="6DE53F26" w:rsidR="00FD46AB" w:rsidRPr="005866E5" w:rsidRDefault="00101930" w:rsidP="00191F6B">
            <w:pPr>
              <w:suppressAutoHyphens w:val="0"/>
              <w:spacing w:line="259" w:lineRule="auto"/>
              <w:contextualSpacing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5866E5">
              <w:rPr>
                <w:rFonts w:asciiTheme="minorHAnsi" w:hAnsiTheme="minorHAnsi" w:cstheme="minorHAnsi"/>
              </w:rPr>
              <w:t>0</w:t>
            </w:r>
            <w:r w:rsidR="005866E5" w:rsidRPr="005866E5">
              <w:rPr>
                <w:rFonts w:asciiTheme="minorHAnsi" w:hAnsiTheme="minorHAnsi" w:cstheme="minorHAnsi"/>
              </w:rPr>
              <w:t>,</w:t>
            </w:r>
            <w:r w:rsidRPr="005866E5">
              <w:rPr>
                <w:rFonts w:asciiTheme="minorHAnsi" w:hAnsiTheme="minorHAnsi" w:cstheme="minorHAnsi"/>
              </w:rPr>
              <w:t>00</w:t>
            </w:r>
            <w:r w:rsidR="00E319DD" w:rsidRPr="005866E5">
              <w:rPr>
                <w:rFonts w:asciiTheme="minorHAnsi" w:hAnsiTheme="minorHAnsi" w:cstheme="minorHAnsi"/>
              </w:rPr>
              <w:t>4</w:t>
            </w:r>
          </w:p>
        </w:tc>
      </w:tr>
    </w:tbl>
    <w:p w14:paraId="651F53E2" w14:textId="2E7AAC7A" w:rsidR="00AD4B55" w:rsidRDefault="00AD4B55" w:rsidP="002A56A3">
      <w:pPr>
        <w:suppressAutoHyphens w:val="0"/>
        <w:spacing w:line="259" w:lineRule="auto"/>
        <w:contextualSpacing/>
        <w:jc w:val="both"/>
        <w:textAlignment w:val="auto"/>
        <w:rPr>
          <w:i/>
          <w:iCs/>
        </w:rPr>
      </w:pPr>
    </w:p>
    <w:p w14:paraId="27F17B43" w14:textId="6ADCB29A" w:rsidR="002A56A3" w:rsidRDefault="005866E5" w:rsidP="0097420D">
      <w:pPr>
        <w:suppressAutoHyphens w:val="0"/>
        <w:spacing w:line="259" w:lineRule="auto"/>
        <w:contextualSpacing/>
        <w:jc w:val="both"/>
        <w:textAlignment w:val="auto"/>
      </w:pPr>
      <w:r w:rsidRPr="005866E5">
        <w:rPr>
          <w:rFonts w:asciiTheme="minorHAnsi" w:hAnsiTheme="minorHAnsi" w:cstheme="minorHAnsi"/>
        </w:rPr>
        <w:t xml:space="preserve">Dle Tab. 6 a Tab. 7 lze </w:t>
      </w:r>
      <w:r w:rsidR="0083080F" w:rsidRPr="005866E5">
        <w:rPr>
          <w:rFonts w:asciiTheme="minorHAnsi" w:hAnsiTheme="minorHAnsi" w:cstheme="minorHAnsi"/>
        </w:rPr>
        <w:t>říct</w:t>
      </w:r>
      <w:r w:rsidRPr="005866E5">
        <w:rPr>
          <w:rFonts w:asciiTheme="minorHAnsi" w:hAnsiTheme="minorHAnsi" w:cstheme="minorHAnsi"/>
        </w:rPr>
        <w:t xml:space="preserve">, že rozptyly světelného toku při teplotě </w:t>
      </w:r>
      <w:r w:rsidRPr="005866E5">
        <w:t>5</w:t>
      </w:r>
      <w:r w:rsidR="00DC1737">
        <w:t xml:space="preserve"> </w:t>
      </w:r>
      <w:r w:rsidRPr="005866E5">
        <w:t xml:space="preserve">°C nejsou srovnatelné. Tento úsudek </w:t>
      </w:r>
      <w:r>
        <w:t>můžeme prezentovat v závislosti na empirickém ověření největšího rozptylu ku nejmenšímu. Tento poměr vyšel 2,4 což přesahuje hodnotu 2.</w:t>
      </w:r>
      <w:r w:rsidR="001A42DF">
        <w:t xml:space="preserve"> </w:t>
      </w:r>
      <w:proofErr w:type="spellStart"/>
      <w:r w:rsidR="0083080F">
        <w:t>Homoskedacitia</w:t>
      </w:r>
      <w:proofErr w:type="spellEnd"/>
      <w:r w:rsidR="0083080F">
        <w:t xml:space="preserve"> je zároveň zamítnuta v závislosti na </w:t>
      </w:r>
      <w:proofErr w:type="spellStart"/>
      <w:r w:rsidR="0083080F">
        <w:t>Leveneho</w:t>
      </w:r>
      <w:proofErr w:type="spellEnd"/>
      <w:r w:rsidR="0083080F">
        <w:t xml:space="preserve"> testu, kde nám p-hodnota vychází nižší</w:t>
      </w:r>
      <w:r w:rsidR="00871393">
        <w:t xml:space="preserve"> než</w:t>
      </w:r>
      <w:r w:rsidR="0083080F">
        <w:t xml:space="preserve"> hladina významnosti.</w:t>
      </w:r>
    </w:p>
    <w:p w14:paraId="30CEA5E7" w14:textId="77777777" w:rsidR="002B7E3D" w:rsidRDefault="002B7E3D">
      <w:pPr>
        <w:jc w:val="both"/>
      </w:pPr>
    </w:p>
    <w:p w14:paraId="3FD4CB8B" w14:textId="094F0C79" w:rsidR="002B7E3D" w:rsidRPr="004823DA" w:rsidRDefault="00F027EA" w:rsidP="004823D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52FD7DBD" w14:textId="1FF0DCA5" w:rsidR="001E1D5E" w:rsidRDefault="001E1D5E" w:rsidP="00181D1A">
      <w:pPr>
        <w:ind w:left="-3"/>
        <w:jc w:val="both"/>
      </w:pPr>
      <w:r>
        <w:t>Předpoklady symetrie a normality (viz bod b) byly zamítnuty. Tudíž u intervalového odhadu byl využit znaménkový test, výsledky v Tab. 8. Zároveň byl využit bodový odhad mediánu, který je znázorněn také v Tab. 8.</w:t>
      </w:r>
    </w:p>
    <w:p w14:paraId="63CF261B" w14:textId="4654A9CF" w:rsidR="004823DA" w:rsidRPr="004823DA" w:rsidRDefault="004823DA" w:rsidP="004823DA">
      <w:pPr>
        <w:pStyle w:val="Titulek"/>
        <w:keepNext/>
        <w:jc w:val="center"/>
        <w:rPr>
          <w:lang w:val="en-US"/>
        </w:rPr>
      </w:pPr>
      <w:r>
        <w:t xml:space="preserve">Tab. 8: </w:t>
      </w:r>
      <w:r w:rsidR="000938A4">
        <w:t>Odhad mediánů světelného toku (</w:t>
      </w:r>
      <w:proofErr w:type="spellStart"/>
      <w:r w:rsidR="000938A4">
        <w:t>lm</w:t>
      </w:r>
      <w:proofErr w:type="spellEnd"/>
      <w:r w:rsidR="000938A4">
        <w:t xml:space="preserve">) v závislosti na teplotě </w:t>
      </w:r>
      <w:r w:rsidR="000938A4" w:rsidRPr="005866E5">
        <w:t>5</w:t>
      </w:r>
      <w:r w:rsidR="000938A4">
        <w:t xml:space="preserve"> </w:t>
      </w:r>
      <w:r w:rsidR="000938A4" w:rsidRPr="005866E5">
        <w:t>°C</w:t>
      </w:r>
    </w:p>
    <w:tbl>
      <w:tblPr>
        <w:tblStyle w:val="Mkatabulky"/>
        <w:tblW w:w="8273" w:type="dxa"/>
        <w:tblInd w:w="357" w:type="dxa"/>
        <w:tblLook w:val="04A0" w:firstRow="1" w:lastRow="0" w:firstColumn="1" w:lastColumn="0" w:noHBand="0" w:noVBand="1"/>
      </w:tblPr>
      <w:tblGrid>
        <w:gridCol w:w="2775"/>
        <w:gridCol w:w="2771"/>
        <w:gridCol w:w="2727"/>
      </w:tblGrid>
      <w:tr w:rsidR="000B4E21" w14:paraId="214F0DDA" w14:textId="77777777" w:rsidTr="00903294">
        <w:trPr>
          <w:trHeight w:val="426"/>
        </w:trPr>
        <w:tc>
          <w:tcPr>
            <w:tcW w:w="2775" w:type="dxa"/>
          </w:tcPr>
          <w:p w14:paraId="739EE768" w14:textId="60A147E4" w:rsidR="000B4E21" w:rsidRPr="006A459D" w:rsidRDefault="000B4E21" w:rsidP="004823DA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6A459D">
              <w:rPr>
                <w:b/>
                <w:bCs/>
                <w:i/>
                <w:iCs/>
              </w:rPr>
              <w:t>Výrobce</w:t>
            </w:r>
          </w:p>
        </w:tc>
        <w:tc>
          <w:tcPr>
            <w:tcW w:w="2771" w:type="dxa"/>
          </w:tcPr>
          <w:p w14:paraId="3220742C" w14:textId="5F2C8BB3" w:rsidR="000B4E21" w:rsidRDefault="000B4E21" w:rsidP="004823DA">
            <w:pPr>
              <w:jc w:val="center"/>
            </w:pPr>
            <w:r w:rsidRPr="009D4604">
              <w:rPr>
                <w:b/>
                <w:bCs/>
                <w:i/>
                <w:iCs/>
              </w:rPr>
              <w:t xml:space="preserve">Bodový odhad </w:t>
            </w:r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(</w:t>
            </w:r>
            <w:proofErr w:type="spellStart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lm</w:t>
            </w:r>
            <w:proofErr w:type="spellEnd"/>
            <w:r w:rsidRPr="009D4604">
              <w:rPr>
                <w:rFonts w:ascii="Cambria Math" w:hAnsi="Cambria Math" w:cs="Cambria Math"/>
                <w:b/>
                <w:bCs/>
                <w:i/>
                <w:iCs/>
              </w:rPr>
              <w:t>)</w:t>
            </w:r>
          </w:p>
        </w:tc>
        <w:tc>
          <w:tcPr>
            <w:tcW w:w="2727" w:type="dxa"/>
          </w:tcPr>
          <w:p w14:paraId="22158B56" w14:textId="1CD9D801" w:rsidR="000B4E21" w:rsidRPr="000B4E21" w:rsidRDefault="000B4E21" w:rsidP="004823DA">
            <w:pPr>
              <w:jc w:val="center"/>
              <w:rPr>
                <w:b/>
                <w:bCs/>
                <w:i/>
                <w:iCs/>
              </w:rPr>
            </w:pPr>
            <w:r w:rsidRPr="000B4E21">
              <w:rPr>
                <w:b/>
                <w:bCs/>
                <w:i/>
                <w:iCs/>
              </w:rPr>
              <w:t>95% intervalový odhad (</w:t>
            </w:r>
            <w:proofErr w:type="spellStart"/>
            <w:r>
              <w:rPr>
                <w:b/>
                <w:bCs/>
                <w:i/>
                <w:iCs/>
              </w:rPr>
              <w:t>lm</w:t>
            </w:r>
            <w:proofErr w:type="spellEnd"/>
            <w:r w:rsidRPr="000B4E21">
              <w:rPr>
                <w:b/>
                <w:bCs/>
                <w:i/>
                <w:iCs/>
              </w:rPr>
              <w:t>)</w:t>
            </w:r>
          </w:p>
        </w:tc>
      </w:tr>
      <w:tr w:rsidR="000B4E21" w14:paraId="65284D3D" w14:textId="77777777" w:rsidTr="00903294">
        <w:trPr>
          <w:trHeight w:val="436"/>
        </w:trPr>
        <w:tc>
          <w:tcPr>
            <w:tcW w:w="2775" w:type="dxa"/>
          </w:tcPr>
          <w:p w14:paraId="70D32455" w14:textId="0DA1C636" w:rsidR="000B4E21" w:rsidRDefault="000B4E21" w:rsidP="004823DA">
            <w:pPr>
              <w:jc w:val="center"/>
            </w:pPr>
            <w:r>
              <w:t>Amber</w:t>
            </w:r>
          </w:p>
        </w:tc>
        <w:tc>
          <w:tcPr>
            <w:tcW w:w="2771" w:type="dxa"/>
          </w:tcPr>
          <w:p w14:paraId="6F25BD4C" w14:textId="3406C1EE" w:rsidR="000B4E21" w:rsidRDefault="00A51221" w:rsidP="004823DA">
            <w:pPr>
              <w:jc w:val="center"/>
            </w:pPr>
            <w:r w:rsidRPr="00A51221">
              <w:t>782</w:t>
            </w:r>
            <w:r w:rsidR="00B3376A">
              <w:t>,</w:t>
            </w:r>
            <w:r w:rsidRPr="00A51221">
              <w:t>8</w:t>
            </w:r>
          </w:p>
        </w:tc>
        <w:tc>
          <w:tcPr>
            <w:tcW w:w="2727" w:type="dxa"/>
          </w:tcPr>
          <w:p w14:paraId="15DC0685" w14:textId="11F8C9C3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777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5</w:t>
            </w:r>
            <w:r>
              <w:t>;</w:t>
            </w:r>
            <w:r w:rsidRPr="008353F0">
              <w:t xml:space="preserve"> </w:t>
            </w:r>
            <w:r w:rsidRPr="004823DA">
              <w:t>788</w:t>
            </w:r>
            <w:r w:rsidR="00B3376A">
              <w:t>,</w:t>
            </w:r>
            <w:r w:rsidR="00253BB4">
              <w:t>3</w:t>
            </w:r>
            <w:r>
              <w:t>)</w:t>
            </w:r>
          </w:p>
        </w:tc>
      </w:tr>
      <w:tr w:rsidR="000B4E21" w14:paraId="1EE16D3C" w14:textId="77777777" w:rsidTr="00903294">
        <w:trPr>
          <w:trHeight w:val="426"/>
        </w:trPr>
        <w:tc>
          <w:tcPr>
            <w:tcW w:w="2775" w:type="dxa"/>
          </w:tcPr>
          <w:p w14:paraId="56281485" w14:textId="60CB9635" w:rsidR="000B4E21" w:rsidRDefault="000B4E21" w:rsidP="004823DA">
            <w:pPr>
              <w:jc w:val="center"/>
            </w:pPr>
            <w:proofErr w:type="spellStart"/>
            <w:r>
              <w:t>Bright</w:t>
            </w:r>
            <w:proofErr w:type="spellEnd"/>
          </w:p>
        </w:tc>
        <w:tc>
          <w:tcPr>
            <w:tcW w:w="2771" w:type="dxa"/>
          </w:tcPr>
          <w:p w14:paraId="5AA819B7" w14:textId="002FA5C9" w:rsidR="000B4E21" w:rsidRDefault="00A51221" w:rsidP="004823DA">
            <w:pPr>
              <w:jc w:val="center"/>
            </w:pPr>
            <w:r w:rsidRPr="00A51221">
              <w:t>808</w:t>
            </w:r>
            <w:r w:rsidR="00B3376A">
              <w:t>,</w:t>
            </w:r>
            <w:r w:rsidRPr="00A51221">
              <w:t>8</w:t>
            </w:r>
          </w:p>
        </w:tc>
        <w:tc>
          <w:tcPr>
            <w:tcW w:w="2727" w:type="dxa"/>
          </w:tcPr>
          <w:p w14:paraId="7DEF74CB" w14:textId="6326887D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800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5</w:t>
            </w:r>
            <w:r>
              <w:t xml:space="preserve">; </w:t>
            </w:r>
            <w:r w:rsidRPr="004823DA">
              <w:t>81</w:t>
            </w:r>
            <w:r w:rsidR="00253BB4">
              <w:t>6</w:t>
            </w:r>
            <w:r w:rsidR="00B3376A">
              <w:t>,</w:t>
            </w:r>
            <w:r w:rsidR="00253BB4">
              <w:t>0</w:t>
            </w:r>
            <w:r>
              <w:t>)</w:t>
            </w:r>
          </w:p>
        </w:tc>
      </w:tr>
      <w:tr w:rsidR="000B4E21" w14:paraId="185F28CE" w14:textId="77777777" w:rsidTr="00903294">
        <w:trPr>
          <w:trHeight w:val="426"/>
        </w:trPr>
        <w:tc>
          <w:tcPr>
            <w:tcW w:w="2775" w:type="dxa"/>
          </w:tcPr>
          <w:p w14:paraId="492858E2" w14:textId="38AF4B7D" w:rsidR="000B4E21" w:rsidRDefault="000B4E21" w:rsidP="004823DA">
            <w:pPr>
              <w:jc w:val="center"/>
            </w:pPr>
            <w:proofErr w:type="spellStart"/>
            <w:r>
              <w:t>Clear</w:t>
            </w:r>
            <w:proofErr w:type="spellEnd"/>
          </w:p>
        </w:tc>
        <w:tc>
          <w:tcPr>
            <w:tcW w:w="2771" w:type="dxa"/>
          </w:tcPr>
          <w:p w14:paraId="2BE6B7E2" w14:textId="3F144A56" w:rsidR="000B4E21" w:rsidRDefault="00A51221" w:rsidP="004823DA">
            <w:pPr>
              <w:jc w:val="center"/>
            </w:pPr>
            <w:r w:rsidRPr="00A51221">
              <w:t>808</w:t>
            </w:r>
            <w:r w:rsidR="00B3376A">
              <w:t>,</w:t>
            </w:r>
            <w:r w:rsidRPr="00A51221">
              <w:t>3</w:t>
            </w:r>
          </w:p>
        </w:tc>
        <w:tc>
          <w:tcPr>
            <w:tcW w:w="2727" w:type="dxa"/>
          </w:tcPr>
          <w:p w14:paraId="4D293483" w14:textId="1BEBF9A2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800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3</w:t>
            </w:r>
            <w:r>
              <w:t xml:space="preserve">; </w:t>
            </w:r>
            <w:r w:rsidRPr="004823DA">
              <w:t>817</w:t>
            </w:r>
            <w:r w:rsidR="00B3376A">
              <w:t>,</w:t>
            </w:r>
            <w:r w:rsidR="00253BB4">
              <w:t>4</w:t>
            </w:r>
            <w:r>
              <w:t>)</w:t>
            </w:r>
          </w:p>
        </w:tc>
      </w:tr>
      <w:tr w:rsidR="000B4E21" w14:paraId="1ED2E990" w14:textId="77777777" w:rsidTr="00903294">
        <w:trPr>
          <w:trHeight w:val="426"/>
        </w:trPr>
        <w:tc>
          <w:tcPr>
            <w:tcW w:w="2775" w:type="dxa"/>
          </w:tcPr>
          <w:p w14:paraId="15AD1691" w14:textId="450C9956" w:rsidR="000B4E21" w:rsidRDefault="000B4E21" w:rsidP="004823DA">
            <w:pPr>
              <w:jc w:val="center"/>
            </w:pPr>
            <w:proofErr w:type="spellStart"/>
            <w:r>
              <w:t>Dim</w:t>
            </w:r>
            <w:proofErr w:type="spellEnd"/>
          </w:p>
        </w:tc>
        <w:tc>
          <w:tcPr>
            <w:tcW w:w="2771" w:type="dxa"/>
          </w:tcPr>
          <w:p w14:paraId="2C478734" w14:textId="7D1619A7" w:rsidR="000B4E21" w:rsidRDefault="00A51221" w:rsidP="004823DA">
            <w:pPr>
              <w:jc w:val="center"/>
            </w:pPr>
            <w:r w:rsidRPr="00A51221">
              <w:t>815</w:t>
            </w:r>
            <w:r w:rsidR="00B3376A">
              <w:t>,</w:t>
            </w:r>
            <w:r>
              <w:t>1</w:t>
            </w:r>
          </w:p>
        </w:tc>
        <w:tc>
          <w:tcPr>
            <w:tcW w:w="2727" w:type="dxa"/>
          </w:tcPr>
          <w:p w14:paraId="4F1A9727" w14:textId="37DE7BF0" w:rsidR="000B4E21" w:rsidRDefault="004823DA" w:rsidP="004823DA">
            <w:pPr>
              <w:jc w:val="center"/>
            </w:pPr>
            <w:r>
              <w:rPr>
                <w:lang w:val="en-US"/>
              </w:rPr>
              <w:t>(</w:t>
            </w:r>
            <w:r w:rsidRPr="004823DA">
              <w:rPr>
                <w:lang w:val="en-US"/>
              </w:rPr>
              <w:t>803</w:t>
            </w:r>
            <w:r w:rsidR="00B3376A">
              <w:rPr>
                <w:lang w:val="en-US"/>
              </w:rPr>
              <w:t>,</w:t>
            </w:r>
            <w:r w:rsidRPr="004823DA">
              <w:rPr>
                <w:lang w:val="en-US"/>
              </w:rPr>
              <w:t>0</w:t>
            </w:r>
            <w:r>
              <w:t>;</w:t>
            </w:r>
            <w:r w:rsidRPr="008353F0">
              <w:t xml:space="preserve"> </w:t>
            </w:r>
            <w:r w:rsidRPr="004823DA">
              <w:t>820</w:t>
            </w:r>
            <w:r w:rsidR="00B3376A">
              <w:t>,</w:t>
            </w:r>
            <w:r w:rsidR="00253BB4">
              <w:t>5</w:t>
            </w:r>
            <w:r>
              <w:t>)</w:t>
            </w:r>
          </w:p>
        </w:tc>
      </w:tr>
    </w:tbl>
    <w:p w14:paraId="72B23F6A" w14:textId="77777777" w:rsidR="002B7E3D" w:rsidRDefault="002B7E3D">
      <w:pPr>
        <w:ind w:left="357"/>
        <w:jc w:val="both"/>
      </w:pPr>
    </w:p>
    <w:p w14:paraId="0457F946" w14:textId="3FAE4AF1" w:rsidR="00257F3F" w:rsidRPr="00AA03DB" w:rsidRDefault="00B3376A" w:rsidP="00AA03DB">
      <w:pPr>
        <w:jc w:val="both"/>
      </w:pPr>
      <w:r>
        <w:t xml:space="preserve">U poloviny zářivek od výrobce </w:t>
      </w:r>
      <w:proofErr w:type="spellStart"/>
      <w:r>
        <w:t>Dim</w:t>
      </w:r>
      <w:proofErr w:type="spellEnd"/>
      <w:r>
        <w:t xml:space="preserve">, lze očekávat světelný nok menší než 815,1 </w:t>
      </w:r>
      <w:proofErr w:type="spellStart"/>
      <w:r>
        <w:t>lm</w:t>
      </w:r>
      <w:proofErr w:type="spellEnd"/>
      <w:r>
        <w:t>.</w:t>
      </w:r>
      <w:r w:rsidR="00BC5883">
        <w:t xml:space="preserve"> 95% intervalový odhad mediánu je </w:t>
      </w:r>
      <w:r w:rsidR="00BC5883">
        <w:rPr>
          <w:lang w:val="en-US"/>
        </w:rPr>
        <w:t>(</w:t>
      </w:r>
      <w:r w:rsidR="00BC5883" w:rsidRPr="004823DA">
        <w:rPr>
          <w:lang w:val="en-US"/>
        </w:rPr>
        <w:t>803</w:t>
      </w:r>
      <w:r w:rsidR="00BC5883">
        <w:rPr>
          <w:lang w:val="en-US"/>
        </w:rPr>
        <w:t>,</w:t>
      </w:r>
      <w:r w:rsidR="00BC5883" w:rsidRPr="004823DA">
        <w:rPr>
          <w:lang w:val="en-US"/>
        </w:rPr>
        <w:t>0</w:t>
      </w:r>
      <w:r w:rsidR="00BC5883">
        <w:t>;</w:t>
      </w:r>
      <w:r w:rsidR="00BC5883" w:rsidRPr="008353F0">
        <w:t xml:space="preserve"> </w:t>
      </w:r>
      <w:r w:rsidR="00BC5883" w:rsidRPr="004823DA">
        <w:t>820</w:t>
      </w:r>
      <w:r w:rsidR="00BC5883">
        <w:t xml:space="preserve">,5) </w:t>
      </w:r>
      <w:proofErr w:type="spellStart"/>
      <w:r w:rsidR="00BC5883">
        <w:t>lm</w:t>
      </w:r>
      <w:proofErr w:type="spellEnd"/>
      <w:r w:rsidR="00BC5883">
        <w:t>. Pro ostatní výrobce, lze využít stejnou interpretaci výsledků, tudíž slovní interpretace není explicitně zopakována.</w:t>
      </w:r>
      <w:r w:rsidR="00FA6C81">
        <w:t xml:space="preserve"> Při bližším náhledu na </w:t>
      </w:r>
      <w:r w:rsidR="00E92A60">
        <w:t xml:space="preserve">bodový odhad mediánu, lze pozorovat až na pár desetin stejné mediány u výrobce </w:t>
      </w:r>
      <w:proofErr w:type="spellStart"/>
      <w:r w:rsidR="00E92A60">
        <w:t>Bright</w:t>
      </w:r>
      <w:proofErr w:type="spellEnd"/>
      <w:r w:rsidR="00E92A60">
        <w:t xml:space="preserve"> a </w:t>
      </w:r>
      <w:proofErr w:type="spellStart"/>
      <w:r w:rsidR="00E92A60">
        <w:t>Clear</w:t>
      </w:r>
      <w:proofErr w:type="spellEnd"/>
      <w:r w:rsidR="00E92A60">
        <w:t xml:space="preserve">. Oproti ostatním výrobcům (Amber, </w:t>
      </w:r>
      <w:proofErr w:type="spellStart"/>
      <w:r w:rsidR="00E92A60">
        <w:t>Dim</w:t>
      </w:r>
      <w:proofErr w:type="spellEnd"/>
      <w:r w:rsidR="00E92A60">
        <w:t xml:space="preserve">) se </w:t>
      </w:r>
      <w:proofErr w:type="spellStart"/>
      <w:r w:rsidR="00E92A60">
        <w:t>Bright</w:t>
      </w:r>
      <w:proofErr w:type="spellEnd"/>
      <w:r w:rsidR="00E92A60">
        <w:t xml:space="preserve"> a </w:t>
      </w:r>
      <w:proofErr w:type="spellStart"/>
      <w:r w:rsidR="00E92A60">
        <w:t>Clear</w:t>
      </w:r>
      <w:proofErr w:type="spellEnd"/>
      <w:r w:rsidR="00E92A60">
        <w:t xml:space="preserve"> výrazněji liší.</w:t>
      </w:r>
    </w:p>
    <w:p w14:paraId="2D516F7B" w14:textId="22FCAFB2" w:rsidR="002B7E3D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52ED0E1D" w14:textId="6782A5DC" w:rsidR="00903294" w:rsidRDefault="00903294" w:rsidP="00903294">
      <w:pPr>
        <w:suppressAutoHyphens w:val="0"/>
        <w:spacing w:line="259" w:lineRule="auto"/>
        <w:ind w:left="-3"/>
        <w:contextualSpacing/>
        <w:jc w:val="both"/>
        <w:textAlignment w:val="auto"/>
      </w:pPr>
      <w:r>
        <w:t xml:space="preserve">Vzhledem k provedeným předpokladům (viz bod b), jsem se rozhodl provést </w:t>
      </w:r>
      <w:proofErr w:type="spellStart"/>
      <w:r>
        <w:t>Kruskalův-Wallisův</w:t>
      </w:r>
      <w:proofErr w:type="spellEnd"/>
      <w:r>
        <w:t xml:space="preserve"> test. Musíme brát zřetel, že ne všechny předpoklady byly splněny, ačkoliv k tomuto testu se můžeme uchýlit, protože test je brán jako jeden z robustnějších.</w:t>
      </w:r>
    </w:p>
    <w:p w14:paraId="1A21CADB" w14:textId="77777777" w:rsidR="002F1BCE" w:rsidRDefault="002F1BCE" w:rsidP="00903294">
      <w:pPr>
        <w:suppressAutoHyphens w:val="0"/>
        <w:spacing w:line="259" w:lineRule="auto"/>
        <w:ind w:left="-3"/>
        <w:contextualSpacing/>
        <w:jc w:val="both"/>
        <w:textAlignment w:val="auto"/>
      </w:pPr>
    </w:p>
    <w:p w14:paraId="58B0DDF9" w14:textId="297564C2" w:rsidR="004D2447" w:rsidRPr="004D2447" w:rsidRDefault="004D2447" w:rsidP="00903294">
      <w:pPr>
        <w:suppressAutoHyphens w:val="0"/>
        <w:spacing w:line="259" w:lineRule="auto"/>
        <w:ind w:left="-3"/>
        <w:contextualSpacing/>
        <w:jc w:val="both"/>
        <w:textAlignment w:val="auto"/>
        <w:rPr>
          <w:lang w:val="en-US"/>
        </w:rPr>
      </w:pPr>
      <w:proofErr w:type="spellStart"/>
      <w:r>
        <w:t>Výsledek</w:t>
      </w:r>
      <w:r w:rsidR="00AA700C">
        <w:t>em</w:t>
      </w:r>
      <w:proofErr w:type="spellEnd"/>
      <w:r>
        <w:t xml:space="preserve"> </w:t>
      </w:r>
      <w:proofErr w:type="spellStart"/>
      <w:r>
        <w:t>Kruskalův-Wallisův</w:t>
      </w:r>
      <w:proofErr w:type="spellEnd"/>
      <w:r>
        <w:t xml:space="preserve"> je p-hodnota </w:t>
      </w:r>
      <w:r w:rsidR="00514829">
        <w:rPr>
          <w:lang w:val="en-US"/>
        </w:rPr>
        <w:t>&lt;0,001</w:t>
      </w:r>
      <w:r>
        <w:rPr>
          <w:lang w:val="en-US"/>
        </w:rPr>
        <w:t>.</w:t>
      </w:r>
    </w:p>
    <w:p w14:paraId="612E13A6" w14:textId="3FB4C33D" w:rsidR="00903294" w:rsidRPr="006B4DFB" w:rsidRDefault="00903294" w:rsidP="002F1BCE">
      <w:pPr>
        <w:suppressAutoHyphens w:val="0"/>
        <w:spacing w:line="259" w:lineRule="auto"/>
        <w:contextualSpacing/>
        <w:jc w:val="both"/>
        <w:textAlignment w:val="auto"/>
      </w:pPr>
    </w:p>
    <w:p w14:paraId="282E9A67" w14:textId="58C51597" w:rsidR="002B7E3D" w:rsidRDefault="006248A1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>Na hladině významnosti 0,05 zamítáme nulovou hypotézu, a tak předpokládáme, že mediány světelných toků dle výrobce se</w:t>
      </w:r>
      <w:r w:rsidR="00A76269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někde </w:t>
      </w: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statisticky </w:t>
      </w:r>
      <w:r w:rsidR="006B4DFB"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>signifikantně</w:t>
      </w:r>
      <w:r w:rsidRPr="006B4DFB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liší</w:t>
      </w:r>
      <w:r w:rsidR="009D3732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. Rozhodneme se provést </w:t>
      </w:r>
      <w:r w:rsidR="006B69D0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Dunnové post hoc analýzu, abychom mohli provést </w:t>
      </w:r>
      <w:r w:rsidR="009E7C68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exaktní </w:t>
      </w:r>
      <w:r w:rsidR="00DF34E7">
        <w:rPr>
          <w:rFonts w:asciiTheme="minorHAnsi" w:eastAsia="Times New Roman" w:hAnsiTheme="minorHAnsi" w:cstheme="minorHAnsi"/>
          <w:sz w:val="21"/>
          <w:szCs w:val="21"/>
          <w:lang w:eastAsia="cs-CZ"/>
        </w:rPr>
        <w:t>závěry</w:t>
      </w:r>
      <w:r w:rsidR="006B69D0">
        <w:rPr>
          <w:rFonts w:asciiTheme="minorHAnsi" w:eastAsia="Times New Roman" w:hAnsiTheme="minorHAnsi" w:cstheme="minorHAnsi"/>
          <w:sz w:val="21"/>
          <w:szCs w:val="21"/>
          <w:lang w:eastAsia="cs-CZ"/>
        </w:rPr>
        <w:t>.</w:t>
      </w:r>
    </w:p>
    <w:p w14:paraId="374F49FE" w14:textId="4340D02A" w:rsidR="0022234A" w:rsidRDefault="0022234A" w:rsidP="0022234A">
      <w:pPr>
        <w:pStyle w:val="Titulek"/>
        <w:keepNext/>
        <w:jc w:val="center"/>
      </w:pPr>
      <w:r>
        <w:t xml:space="preserve">Tab. </w:t>
      </w:r>
      <w:r w:rsidR="00173245">
        <w:rPr>
          <w:lang w:val="en-US"/>
        </w:rPr>
        <w:t>9</w:t>
      </w:r>
      <w:r>
        <w:t>: Výsledky Dunnové post hoc analýzy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27F9E" w14:paraId="6B773583" w14:textId="77777777" w:rsidTr="00A83E33">
        <w:tc>
          <w:tcPr>
            <w:tcW w:w="4531" w:type="dxa"/>
          </w:tcPr>
          <w:p w14:paraId="0CC81BD1" w14:textId="0D3C0918" w:rsidR="00827F9E" w:rsidRPr="00827F9E" w:rsidRDefault="00827F9E" w:rsidP="00A83E33">
            <w:pPr>
              <w:pStyle w:val="Titulek"/>
              <w:keepNext/>
              <w:jc w:val="center"/>
              <w:rPr>
                <w:b/>
                <w:bCs/>
                <w:sz w:val="22"/>
                <w:szCs w:val="22"/>
              </w:rPr>
            </w:pPr>
            <w:r w:rsidRPr="00827F9E">
              <w:rPr>
                <w:b/>
                <w:bCs/>
                <w:color w:val="auto"/>
                <w:sz w:val="22"/>
                <w:szCs w:val="22"/>
              </w:rPr>
              <w:t>Srovnání</w:t>
            </w:r>
          </w:p>
        </w:tc>
        <w:tc>
          <w:tcPr>
            <w:tcW w:w="4531" w:type="dxa"/>
          </w:tcPr>
          <w:p w14:paraId="73DFCAE2" w14:textId="0AAB60EC" w:rsidR="00827F9E" w:rsidRPr="00827F9E" w:rsidRDefault="00827F9E" w:rsidP="00A83E33">
            <w:pPr>
              <w:pStyle w:val="Titulek"/>
              <w:keepNext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27F9E">
              <w:rPr>
                <w:b/>
                <w:bCs/>
                <w:color w:val="auto"/>
                <w:sz w:val="22"/>
                <w:szCs w:val="22"/>
              </w:rPr>
              <w:t>p-hodnota</w:t>
            </w:r>
          </w:p>
        </w:tc>
      </w:tr>
      <w:tr w:rsidR="00827F9E" w14:paraId="556499B0" w14:textId="77777777" w:rsidTr="00A83E33">
        <w:tc>
          <w:tcPr>
            <w:tcW w:w="4531" w:type="dxa"/>
          </w:tcPr>
          <w:p w14:paraId="574CD4B4" w14:textId="4F37F657" w:rsidR="00827F9E" w:rsidRPr="00827F9E" w:rsidRDefault="00827F9E" w:rsidP="00A83E33">
            <w:pPr>
              <w:pStyle w:val="Titulek"/>
              <w:keepNext/>
              <w:jc w:val="center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-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Bright</w:t>
            </w:r>
          </w:p>
        </w:tc>
        <w:tc>
          <w:tcPr>
            <w:tcW w:w="4531" w:type="dxa"/>
          </w:tcPr>
          <w:p w14:paraId="3988EFCF" w14:textId="7F937C45" w:rsidR="00827F9E" w:rsidRPr="00A83E33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3298B3E6" w14:textId="77777777" w:rsidTr="00A83E33">
        <w:tc>
          <w:tcPr>
            <w:tcW w:w="4531" w:type="dxa"/>
          </w:tcPr>
          <w:p w14:paraId="0F68C557" w14:textId="01778AED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 - Clear</w:t>
            </w:r>
          </w:p>
        </w:tc>
        <w:tc>
          <w:tcPr>
            <w:tcW w:w="4531" w:type="dxa"/>
          </w:tcPr>
          <w:p w14:paraId="41674A43" w14:textId="79E2AAAC" w:rsidR="00827F9E" w:rsidRPr="00827F9E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092A9907" w14:textId="77777777" w:rsidTr="00A83E33">
        <w:tc>
          <w:tcPr>
            <w:tcW w:w="4531" w:type="dxa"/>
          </w:tcPr>
          <w:p w14:paraId="273A43F1" w14:textId="72BEB492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Bright </w:t>
            </w:r>
            <w:r w:rsidR="00E501FF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-</w:t>
            </w: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Clear</w:t>
            </w:r>
          </w:p>
        </w:tc>
        <w:tc>
          <w:tcPr>
            <w:tcW w:w="4531" w:type="dxa"/>
          </w:tcPr>
          <w:p w14:paraId="014D2FAC" w14:textId="1B372CF5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</w:t>
            </w:r>
            <w:r w:rsidR="00A83E33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  <w:tr w:rsidR="00827F9E" w14:paraId="0D9BD92A" w14:textId="77777777" w:rsidTr="00A83E33">
        <w:tc>
          <w:tcPr>
            <w:tcW w:w="4531" w:type="dxa"/>
          </w:tcPr>
          <w:p w14:paraId="423D5638" w14:textId="09076DC7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Amber - Dim</w:t>
            </w:r>
          </w:p>
        </w:tc>
        <w:tc>
          <w:tcPr>
            <w:tcW w:w="4531" w:type="dxa"/>
          </w:tcPr>
          <w:p w14:paraId="46217BEC" w14:textId="43BB3EE5" w:rsidR="00827F9E" w:rsidRPr="00827F9E" w:rsidRDefault="00A83E33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&lt;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001</w:t>
            </w:r>
          </w:p>
        </w:tc>
      </w:tr>
      <w:tr w:rsidR="00827F9E" w14:paraId="0728802E" w14:textId="77777777" w:rsidTr="00A83E33">
        <w:tc>
          <w:tcPr>
            <w:tcW w:w="4531" w:type="dxa"/>
          </w:tcPr>
          <w:p w14:paraId="2EE6DE3A" w14:textId="152BADC8" w:rsidR="00827F9E" w:rsidRDefault="00827F9E" w:rsidP="00A83E33">
            <w:pPr>
              <w:pStyle w:val="Titulek"/>
              <w:keepNext/>
              <w:jc w:val="center"/>
              <w:rPr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Bright - Dim</w:t>
            </w:r>
          </w:p>
        </w:tc>
        <w:tc>
          <w:tcPr>
            <w:tcW w:w="4531" w:type="dxa"/>
          </w:tcPr>
          <w:p w14:paraId="69E812DC" w14:textId="25DB4E6B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  <w:tr w:rsidR="00827F9E" w14:paraId="5063F44A" w14:textId="77777777" w:rsidTr="00A83E33">
        <w:tc>
          <w:tcPr>
            <w:tcW w:w="4531" w:type="dxa"/>
          </w:tcPr>
          <w:p w14:paraId="28D273BE" w14:textId="665ABC7B" w:rsidR="00827F9E" w:rsidRPr="00827F9E" w:rsidRDefault="00827F9E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827F9E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Clear - Dim</w:t>
            </w:r>
          </w:p>
        </w:tc>
        <w:tc>
          <w:tcPr>
            <w:tcW w:w="4531" w:type="dxa"/>
          </w:tcPr>
          <w:p w14:paraId="2CAEFE71" w14:textId="11A51F0B" w:rsidR="00827F9E" w:rsidRPr="00827F9E" w:rsidRDefault="000748E6" w:rsidP="00A83E33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&gt; 0</w:t>
            </w:r>
            <w:r w:rsidR="00CE1DE9"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,</w:t>
            </w:r>
            <w:r>
              <w:rPr>
                <w:i w:val="0"/>
                <w:iCs w:val="0"/>
                <w:color w:val="auto"/>
                <w:sz w:val="22"/>
                <w:szCs w:val="22"/>
                <w:lang w:val="en-US"/>
              </w:rPr>
              <w:t>999</w:t>
            </w:r>
          </w:p>
        </w:tc>
      </w:tr>
    </w:tbl>
    <w:p w14:paraId="40C69030" w14:textId="77777777" w:rsidR="00827F9E" w:rsidRPr="004823DA" w:rsidRDefault="00827F9E" w:rsidP="0022234A">
      <w:pPr>
        <w:pStyle w:val="Titulek"/>
        <w:keepNext/>
        <w:jc w:val="center"/>
        <w:rPr>
          <w:lang w:val="en-US"/>
        </w:rPr>
      </w:pPr>
    </w:p>
    <w:p w14:paraId="271A04DA" w14:textId="4BBC74FE" w:rsidR="0022234A" w:rsidRDefault="00A10634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V zavilosti na výsledcích z Dunnové post hoc analýze (viz Tab. 9), lze považovat za homogenní, co se týče světelného toku (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lm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), výrobce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Bright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Clear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Dim</w:t>
      </w:r>
      <w:proofErr w:type="spellEnd"/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. Medián výrobce Amber se jako jediný statisticky signifikantně liší oproti ostatním výrobcům.</w:t>
      </w:r>
      <w:r w:rsidR="008E154C">
        <w:rPr>
          <w:rFonts w:asciiTheme="minorHAnsi" w:eastAsia="Times New Roman" w:hAnsiTheme="minorHAnsi" w:cstheme="minorHAnsi"/>
          <w:sz w:val="21"/>
          <w:szCs w:val="21"/>
          <w:lang w:eastAsia="cs-CZ"/>
        </w:rPr>
        <w:t xml:space="preserve"> Vlastnost homogenity šel zároveň pozorovat na krabicovém grafu na Obr. 9.</w:t>
      </w:r>
    </w:p>
    <w:p w14:paraId="20A280D9" w14:textId="69B8B3C6" w:rsidR="0022234A" w:rsidRDefault="00A10634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cs-CZ"/>
        </w:rPr>
        <w:t>Na základě těchto výsledků, lze výrobce seřadit tak, jak je ilustrováno v Tab. 10.</w:t>
      </w:r>
    </w:p>
    <w:p w14:paraId="5937E984" w14:textId="48803EC8" w:rsidR="000748E6" w:rsidRDefault="000748E6" w:rsidP="000748E6">
      <w:pPr>
        <w:pStyle w:val="Titulek"/>
        <w:keepNext/>
        <w:jc w:val="center"/>
      </w:pPr>
      <w:r>
        <w:t xml:space="preserve">Tab. </w:t>
      </w:r>
      <w:r>
        <w:rPr>
          <w:lang w:val="en-US"/>
        </w:rPr>
        <w:t>10</w:t>
      </w:r>
      <w:r>
        <w:t xml:space="preserve">: </w:t>
      </w:r>
      <w:r w:rsidR="002746D1">
        <w:t>Sestupné s</w:t>
      </w:r>
      <w:r w:rsidR="00DE203A">
        <w:t>eřazení podle světelného toku</w:t>
      </w:r>
      <w:r w:rsidR="00AD67DA">
        <w:t xml:space="preserve"> (</w:t>
      </w:r>
      <w:proofErr w:type="spellStart"/>
      <w:r w:rsidR="00AD67DA">
        <w:t>lm</w:t>
      </w:r>
      <w:proofErr w:type="spellEnd"/>
      <w:r w:rsidR="00AD67DA">
        <w:t>)</w:t>
      </w:r>
      <w:r w:rsidR="00DE203A">
        <w:t xml:space="preserve"> znázorňující srovnatelné výrobce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48E6" w14:paraId="74A22D4C" w14:textId="77777777" w:rsidTr="000748E6">
        <w:tc>
          <w:tcPr>
            <w:tcW w:w="9062" w:type="dxa"/>
          </w:tcPr>
          <w:p w14:paraId="60AD54FC" w14:textId="13BAE02F" w:rsidR="000748E6" w:rsidRPr="00DE203A" w:rsidRDefault="000748E6" w:rsidP="000748E6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Bright</w:t>
            </w:r>
            <w:proofErr w:type="spellEnd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Clear</w:t>
            </w:r>
            <w:proofErr w:type="spellEnd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Dim</w:t>
            </w:r>
            <w:proofErr w:type="spellEnd"/>
          </w:p>
        </w:tc>
      </w:tr>
      <w:tr w:rsidR="000748E6" w14:paraId="715F9F4B" w14:textId="77777777" w:rsidTr="000748E6">
        <w:tc>
          <w:tcPr>
            <w:tcW w:w="9062" w:type="dxa"/>
          </w:tcPr>
          <w:p w14:paraId="0CB0B014" w14:textId="45C2467D" w:rsidR="000748E6" w:rsidRPr="00DE203A" w:rsidRDefault="000748E6" w:rsidP="000748E6">
            <w:pPr>
              <w:pStyle w:val="Titulek"/>
              <w:keepNext/>
              <w:jc w:val="center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DE203A">
              <w:rPr>
                <w:i w:val="0"/>
                <w:iCs w:val="0"/>
                <w:color w:val="auto"/>
                <w:sz w:val="22"/>
                <w:szCs w:val="22"/>
              </w:rPr>
              <w:t>Amber</w:t>
            </w:r>
          </w:p>
        </w:tc>
      </w:tr>
    </w:tbl>
    <w:p w14:paraId="77B2F11A" w14:textId="77777777" w:rsidR="000748E6" w:rsidRDefault="000748E6" w:rsidP="000748E6">
      <w:pPr>
        <w:pStyle w:val="Titulek"/>
        <w:keepNext/>
        <w:jc w:val="center"/>
      </w:pPr>
    </w:p>
    <w:p w14:paraId="099CA378" w14:textId="77777777" w:rsidR="000748E6" w:rsidRDefault="000748E6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4D2DEF5B" w14:textId="77777777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6FE3F5D7" w14:textId="175B3ACF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21EBDADD" w14:textId="77777777" w:rsidR="0022234A" w:rsidRDefault="0022234A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74A72A63" w14:textId="7777777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78C03690" w14:textId="00FA365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1A035D2F" w14:textId="77777777" w:rsidR="00DF34E7" w:rsidRDefault="00DF34E7" w:rsidP="006248A1">
      <w:pPr>
        <w:jc w:val="both"/>
        <w:rPr>
          <w:rFonts w:asciiTheme="minorHAnsi" w:eastAsia="Times New Roman" w:hAnsiTheme="minorHAnsi" w:cstheme="minorHAnsi"/>
          <w:sz w:val="21"/>
          <w:szCs w:val="21"/>
          <w:lang w:eastAsia="cs-CZ"/>
        </w:rPr>
      </w:pPr>
    </w:p>
    <w:p w14:paraId="1B719B88" w14:textId="77777777" w:rsidR="009D3732" w:rsidRPr="006B4DFB" w:rsidRDefault="009D3732" w:rsidP="006248A1">
      <w:pPr>
        <w:jc w:val="both"/>
        <w:rPr>
          <w:rFonts w:asciiTheme="minorHAnsi" w:hAnsiTheme="minorHAnsi" w:cstheme="minorHAnsi"/>
        </w:rPr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B2E81" w14:textId="77777777" w:rsidR="00B8397B" w:rsidRDefault="00B8397B">
      <w:pPr>
        <w:spacing w:after="0" w:line="240" w:lineRule="auto"/>
      </w:pPr>
      <w:r>
        <w:separator/>
      </w:r>
    </w:p>
  </w:endnote>
  <w:endnote w:type="continuationSeparator" w:id="0">
    <w:p w14:paraId="030D98CD" w14:textId="77777777" w:rsidR="00B8397B" w:rsidRDefault="00B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4169F9" w:rsidRDefault="004169F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4169F9" w:rsidRDefault="004169F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4169F9" w:rsidRDefault="004169F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4169F9" w:rsidRDefault="004169F9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4169F9" w:rsidRDefault="004169F9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4169F9" w:rsidRDefault="004169F9">
    <w:pPr>
      <w:pStyle w:val="Zpat"/>
      <w:jc w:val="center"/>
    </w:pPr>
  </w:p>
  <w:p w14:paraId="1D08B321" w14:textId="77777777" w:rsidR="004169F9" w:rsidRDefault="004169F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3ED35" w14:textId="77777777" w:rsidR="00B8397B" w:rsidRDefault="00B8397B">
      <w:pPr>
        <w:spacing w:after="0" w:line="240" w:lineRule="auto"/>
      </w:pPr>
      <w:r>
        <w:separator/>
      </w:r>
    </w:p>
  </w:footnote>
  <w:footnote w:type="continuationSeparator" w:id="0">
    <w:p w14:paraId="27F080C7" w14:textId="77777777" w:rsidR="00B8397B" w:rsidRDefault="00B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4169F9" w:rsidRDefault="004169F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4169F9" w:rsidRDefault="004169F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4169F9" w:rsidRDefault="004169F9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4169F9" w:rsidRPr="00D73218" w:rsidRDefault="004169F9">
    <w:pPr>
      <w:pStyle w:val="Zhlav"/>
      <w:tabs>
        <w:tab w:val="left" w:pos="6750"/>
      </w:tabs>
      <w:rPr>
        <w:lang w:val="en-US"/>
      </w:rPr>
    </w:pPr>
    <w:r>
      <w:t xml:space="preserve">Jméno: Vojtěch Prokop                                                                            </w:t>
    </w:r>
    <w:r>
      <w:tab/>
      <w:t xml:space="preserve">               Číslo zadání: 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4169F9" w:rsidRPr="000079C7" w:rsidRDefault="004169F9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00467"/>
    <w:multiLevelType w:val="hybridMultilevel"/>
    <w:tmpl w:val="F9EC7DE4"/>
    <w:lvl w:ilvl="0" w:tplc="0A4C431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 w15:restartNumberingAfterBreak="0">
    <w:nsid w:val="207F4D29"/>
    <w:multiLevelType w:val="hybridMultilevel"/>
    <w:tmpl w:val="8CBC73B2"/>
    <w:lvl w:ilvl="0" w:tplc="780E4020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52227A"/>
    <w:multiLevelType w:val="hybridMultilevel"/>
    <w:tmpl w:val="B8D66F32"/>
    <w:lvl w:ilvl="0" w:tplc="0B8AE87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8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12"/>
  </w:num>
  <w:num w:numId="10">
    <w:abstractNumId w:val="13"/>
  </w:num>
  <w:num w:numId="11">
    <w:abstractNumId w:val="7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46098"/>
    <w:rsid w:val="00063545"/>
    <w:rsid w:val="00074227"/>
    <w:rsid w:val="000748E6"/>
    <w:rsid w:val="00092EF6"/>
    <w:rsid w:val="000938A4"/>
    <w:rsid w:val="00097D2D"/>
    <w:rsid w:val="000B4E21"/>
    <w:rsid w:val="000D4884"/>
    <w:rsid w:val="000F06D6"/>
    <w:rsid w:val="000F3DA9"/>
    <w:rsid w:val="000F55AE"/>
    <w:rsid w:val="00101930"/>
    <w:rsid w:val="00127C52"/>
    <w:rsid w:val="00143E6F"/>
    <w:rsid w:val="0014640D"/>
    <w:rsid w:val="00146AAE"/>
    <w:rsid w:val="00153E35"/>
    <w:rsid w:val="00156414"/>
    <w:rsid w:val="00163F3E"/>
    <w:rsid w:val="00163FE7"/>
    <w:rsid w:val="00164519"/>
    <w:rsid w:val="00173245"/>
    <w:rsid w:val="00181D1A"/>
    <w:rsid w:val="001903FD"/>
    <w:rsid w:val="00191F6B"/>
    <w:rsid w:val="001A42DF"/>
    <w:rsid w:val="001A610B"/>
    <w:rsid w:val="001A7EB3"/>
    <w:rsid w:val="001A7FD5"/>
    <w:rsid w:val="001C47CD"/>
    <w:rsid w:val="001E1D5E"/>
    <w:rsid w:val="001E5116"/>
    <w:rsid w:val="001F56F2"/>
    <w:rsid w:val="002051B2"/>
    <w:rsid w:val="0022234A"/>
    <w:rsid w:val="00244B50"/>
    <w:rsid w:val="00247A2B"/>
    <w:rsid w:val="00252D9D"/>
    <w:rsid w:val="00253BB4"/>
    <w:rsid w:val="00257F3F"/>
    <w:rsid w:val="002746D1"/>
    <w:rsid w:val="00291E72"/>
    <w:rsid w:val="00294D2C"/>
    <w:rsid w:val="002A56A3"/>
    <w:rsid w:val="002B03E3"/>
    <w:rsid w:val="002B7E3D"/>
    <w:rsid w:val="002D0773"/>
    <w:rsid w:val="002F1BCE"/>
    <w:rsid w:val="0030122C"/>
    <w:rsid w:val="00331ECC"/>
    <w:rsid w:val="0034614A"/>
    <w:rsid w:val="003E02DF"/>
    <w:rsid w:val="003F1CD2"/>
    <w:rsid w:val="003F70B7"/>
    <w:rsid w:val="0041131A"/>
    <w:rsid w:val="00415C6C"/>
    <w:rsid w:val="004169F9"/>
    <w:rsid w:val="00424AFF"/>
    <w:rsid w:val="00427C13"/>
    <w:rsid w:val="00441F03"/>
    <w:rsid w:val="00473719"/>
    <w:rsid w:val="004747DB"/>
    <w:rsid w:val="004749B6"/>
    <w:rsid w:val="004823DA"/>
    <w:rsid w:val="004859C4"/>
    <w:rsid w:val="004971DA"/>
    <w:rsid w:val="004A3D13"/>
    <w:rsid w:val="004B07BD"/>
    <w:rsid w:val="004B6E22"/>
    <w:rsid w:val="004C5D9E"/>
    <w:rsid w:val="004D2447"/>
    <w:rsid w:val="004D3168"/>
    <w:rsid w:val="004D54FB"/>
    <w:rsid w:val="004E5D77"/>
    <w:rsid w:val="004E6689"/>
    <w:rsid w:val="004E7C18"/>
    <w:rsid w:val="004F60BC"/>
    <w:rsid w:val="00514829"/>
    <w:rsid w:val="00522CB9"/>
    <w:rsid w:val="00546D41"/>
    <w:rsid w:val="00552219"/>
    <w:rsid w:val="005554B0"/>
    <w:rsid w:val="005649E2"/>
    <w:rsid w:val="005866E5"/>
    <w:rsid w:val="00586BE8"/>
    <w:rsid w:val="00590553"/>
    <w:rsid w:val="005A3927"/>
    <w:rsid w:val="005B330B"/>
    <w:rsid w:val="005B3A00"/>
    <w:rsid w:val="005C65DB"/>
    <w:rsid w:val="005E478D"/>
    <w:rsid w:val="005F0C20"/>
    <w:rsid w:val="005F17DC"/>
    <w:rsid w:val="006075D0"/>
    <w:rsid w:val="006137E2"/>
    <w:rsid w:val="006248A1"/>
    <w:rsid w:val="00640E0C"/>
    <w:rsid w:val="00641CCB"/>
    <w:rsid w:val="00645F90"/>
    <w:rsid w:val="006514D0"/>
    <w:rsid w:val="00653D20"/>
    <w:rsid w:val="00666B50"/>
    <w:rsid w:val="00674E2F"/>
    <w:rsid w:val="00680B1D"/>
    <w:rsid w:val="0068781F"/>
    <w:rsid w:val="00692698"/>
    <w:rsid w:val="006A459D"/>
    <w:rsid w:val="006A5EA0"/>
    <w:rsid w:val="006A71D1"/>
    <w:rsid w:val="006B4DFB"/>
    <w:rsid w:val="006B5D3C"/>
    <w:rsid w:val="006B69D0"/>
    <w:rsid w:val="006C7034"/>
    <w:rsid w:val="006D00A1"/>
    <w:rsid w:val="006D2D65"/>
    <w:rsid w:val="006D5A4C"/>
    <w:rsid w:val="00702D60"/>
    <w:rsid w:val="00703EE0"/>
    <w:rsid w:val="00741846"/>
    <w:rsid w:val="007434F7"/>
    <w:rsid w:val="00755454"/>
    <w:rsid w:val="007573F3"/>
    <w:rsid w:val="00770A57"/>
    <w:rsid w:val="00771C29"/>
    <w:rsid w:val="007A5F23"/>
    <w:rsid w:val="007A7183"/>
    <w:rsid w:val="007B2376"/>
    <w:rsid w:val="007C1D36"/>
    <w:rsid w:val="007C2E29"/>
    <w:rsid w:val="0081123A"/>
    <w:rsid w:val="008143C4"/>
    <w:rsid w:val="008222EF"/>
    <w:rsid w:val="00823AC4"/>
    <w:rsid w:val="0082414A"/>
    <w:rsid w:val="008269A4"/>
    <w:rsid w:val="00826DA5"/>
    <w:rsid w:val="00827F9E"/>
    <w:rsid w:val="0083080F"/>
    <w:rsid w:val="00834090"/>
    <w:rsid w:val="008353F0"/>
    <w:rsid w:val="00835AC2"/>
    <w:rsid w:val="00871393"/>
    <w:rsid w:val="00885DE0"/>
    <w:rsid w:val="008B4920"/>
    <w:rsid w:val="008C7E8B"/>
    <w:rsid w:val="008D56EE"/>
    <w:rsid w:val="008E154C"/>
    <w:rsid w:val="008E5678"/>
    <w:rsid w:val="008E6116"/>
    <w:rsid w:val="008F1936"/>
    <w:rsid w:val="008F78B5"/>
    <w:rsid w:val="00901858"/>
    <w:rsid w:val="00903294"/>
    <w:rsid w:val="009037A1"/>
    <w:rsid w:val="00904306"/>
    <w:rsid w:val="00914604"/>
    <w:rsid w:val="009479F0"/>
    <w:rsid w:val="009667B1"/>
    <w:rsid w:val="0097420D"/>
    <w:rsid w:val="00991795"/>
    <w:rsid w:val="00997ABA"/>
    <w:rsid w:val="009C3A5E"/>
    <w:rsid w:val="009C611B"/>
    <w:rsid w:val="009C6972"/>
    <w:rsid w:val="009D3732"/>
    <w:rsid w:val="009D4604"/>
    <w:rsid w:val="009D75FA"/>
    <w:rsid w:val="009E7C68"/>
    <w:rsid w:val="00A10634"/>
    <w:rsid w:val="00A13BBA"/>
    <w:rsid w:val="00A159B5"/>
    <w:rsid w:val="00A24A9C"/>
    <w:rsid w:val="00A26E17"/>
    <w:rsid w:val="00A36111"/>
    <w:rsid w:val="00A51221"/>
    <w:rsid w:val="00A56DF2"/>
    <w:rsid w:val="00A56ED9"/>
    <w:rsid w:val="00A73212"/>
    <w:rsid w:val="00A76269"/>
    <w:rsid w:val="00A83E33"/>
    <w:rsid w:val="00A842BB"/>
    <w:rsid w:val="00A87B16"/>
    <w:rsid w:val="00A87D08"/>
    <w:rsid w:val="00A916C8"/>
    <w:rsid w:val="00AA03DB"/>
    <w:rsid w:val="00AA700C"/>
    <w:rsid w:val="00AC6321"/>
    <w:rsid w:val="00AD2ADD"/>
    <w:rsid w:val="00AD4B55"/>
    <w:rsid w:val="00AD67DA"/>
    <w:rsid w:val="00AE3294"/>
    <w:rsid w:val="00B04F37"/>
    <w:rsid w:val="00B22412"/>
    <w:rsid w:val="00B3376A"/>
    <w:rsid w:val="00B6714A"/>
    <w:rsid w:val="00B77EA2"/>
    <w:rsid w:val="00B8397B"/>
    <w:rsid w:val="00B93664"/>
    <w:rsid w:val="00BC5883"/>
    <w:rsid w:val="00BC7CD2"/>
    <w:rsid w:val="00BF4785"/>
    <w:rsid w:val="00BF630E"/>
    <w:rsid w:val="00C017AE"/>
    <w:rsid w:val="00C2332F"/>
    <w:rsid w:val="00C5374B"/>
    <w:rsid w:val="00C65F8E"/>
    <w:rsid w:val="00C71CF8"/>
    <w:rsid w:val="00C936AA"/>
    <w:rsid w:val="00CB20A9"/>
    <w:rsid w:val="00CB56F1"/>
    <w:rsid w:val="00CC576E"/>
    <w:rsid w:val="00CE1341"/>
    <w:rsid w:val="00CE1DE9"/>
    <w:rsid w:val="00CE4BC1"/>
    <w:rsid w:val="00CF43FB"/>
    <w:rsid w:val="00D00A8A"/>
    <w:rsid w:val="00D11BF8"/>
    <w:rsid w:val="00D126F3"/>
    <w:rsid w:val="00D130E0"/>
    <w:rsid w:val="00D27DD7"/>
    <w:rsid w:val="00D32658"/>
    <w:rsid w:val="00D34344"/>
    <w:rsid w:val="00D3546F"/>
    <w:rsid w:val="00D40B89"/>
    <w:rsid w:val="00D43674"/>
    <w:rsid w:val="00D464DF"/>
    <w:rsid w:val="00D46852"/>
    <w:rsid w:val="00D60356"/>
    <w:rsid w:val="00D60EA7"/>
    <w:rsid w:val="00D61731"/>
    <w:rsid w:val="00D71BD3"/>
    <w:rsid w:val="00D73218"/>
    <w:rsid w:val="00DA680F"/>
    <w:rsid w:val="00DC1737"/>
    <w:rsid w:val="00DD7B20"/>
    <w:rsid w:val="00DE203A"/>
    <w:rsid w:val="00DE29D7"/>
    <w:rsid w:val="00DE7D6A"/>
    <w:rsid w:val="00DF2362"/>
    <w:rsid w:val="00DF34E7"/>
    <w:rsid w:val="00E177E3"/>
    <w:rsid w:val="00E26A39"/>
    <w:rsid w:val="00E319DD"/>
    <w:rsid w:val="00E43AC8"/>
    <w:rsid w:val="00E501FF"/>
    <w:rsid w:val="00E53FAF"/>
    <w:rsid w:val="00E64C97"/>
    <w:rsid w:val="00E67A9A"/>
    <w:rsid w:val="00E71C69"/>
    <w:rsid w:val="00E74A83"/>
    <w:rsid w:val="00E8737A"/>
    <w:rsid w:val="00E92A60"/>
    <w:rsid w:val="00E95FF3"/>
    <w:rsid w:val="00EB6AE8"/>
    <w:rsid w:val="00EE0237"/>
    <w:rsid w:val="00F009A0"/>
    <w:rsid w:val="00F027EA"/>
    <w:rsid w:val="00F06E2F"/>
    <w:rsid w:val="00F105C7"/>
    <w:rsid w:val="00F1068C"/>
    <w:rsid w:val="00F1342E"/>
    <w:rsid w:val="00F336F4"/>
    <w:rsid w:val="00F40388"/>
    <w:rsid w:val="00F40C09"/>
    <w:rsid w:val="00F52132"/>
    <w:rsid w:val="00F52D39"/>
    <w:rsid w:val="00F6448B"/>
    <w:rsid w:val="00F94EC1"/>
    <w:rsid w:val="00FA6C81"/>
    <w:rsid w:val="00FB17AB"/>
    <w:rsid w:val="00FB7EB2"/>
    <w:rsid w:val="00FD46AB"/>
    <w:rsid w:val="00FE4AEC"/>
    <w:rsid w:val="00F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835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451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2916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238</cp:revision>
  <cp:lastPrinted>2021-04-28T10:41:00Z</cp:lastPrinted>
  <dcterms:created xsi:type="dcterms:W3CDTF">2021-03-26T17:06:00Z</dcterms:created>
  <dcterms:modified xsi:type="dcterms:W3CDTF">2021-04-28T10:41:00Z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