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0179B5">
      <w:pPr>
        <w:keepNext/>
        <w:keepLines/>
        <w:suppressLineNumbers/>
        <w:jc w:val="right"/>
        <w:rPr>
          <w:rFonts w:hint="default"/>
          <w:i w:val="0"/>
          <w:iCs/>
          <w:sz w:val="22"/>
          <w:szCs w:val="22"/>
          <w:lang w:val="uk-UA"/>
        </w:rPr>
      </w:pPr>
      <w:r>
        <w:rPr>
          <w:i w:val="0"/>
          <w:iCs/>
          <w:sz w:val="22"/>
          <w:szCs w:val="22"/>
          <w:lang w:val="uk-UA"/>
        </w:rPr>
        <w:t>Додаток</w:t>
      </w:r>
      <w:r>
        <w:rPr>
          <w:rFonts w:hint="default"/>
          <w:i w:val="0"/>
          <w:iCs/>
          <w:sz w:val="22"/>
          <w:szCs w:val="22"/>
          <w:lang w:val="uk-UA"/>
        </w:rPr>
        <w:t xml:space="preserve"> </w:t>
      </w:r>
      <w:r>
        <w:rPr>
          <w:i w:val="0"/>
          <w:iCs/>
          <w:sz w:val="22"/>
          <w:szCs w:val="22"/>
          <w:lang w:val="uk-UA"/>
        </w:rPr>
        <w:t>№</w:t>
      </w:r>
      <w:r>
        <w:rPr>
          <w:rFonts w:hint="default"/>
          <w:i w:val="0"/>
          <w:iCs/>
          <w:sz w:val="22"/>
          <w:szCs w:val="22"/>
          <w:lang w:val="uk-UA"/>
        </w:rPr>
        <w:t>1</w:t>
      </w:r>
    </w:p>
    <w:p w14:paraId="37FA568D">
      <w:pPr>
        <w:pStyle w:val="4"/>
        <w:spacing w:after="0"/>
        <w:ind w:left="0"/>
        <w:contextualSpacing/>
        <w:jc w:val="right"/>
        <w:rPr>
          <w:rFonts w:hint="default"/>
          <w:bCs/>
          <w:i w:val="0"/>
          <w:iCs/>
          <w:sz w:val="22"/>
          <w:szCs w:val="22"/>
          <w:lang w:val="uk-UA"/>
        </w:rPr>
      </w:pPr>
      <w:r>
        <w:rPr>
          <w:i w:val="0"/>
          <w:iCs/>
          <w:sz w:val="22"/>
          <w:szCs w:val="22"/>
          <w:lang w:val="uk-UA"/>
        </w:rPr>
        <w:t>тендерної документації</w:t>
      </w:r>
      <w:r>
        <w:rPr>
          <w:bCs/>
          <w:i w:val="0"/>
          <w:iCs/>
          <w:sz w:val="22"/>
          <w:szCs w:val="22"/>
          <w:lang w:val="uk-UA"/>
        </w:rPr>
        <w:t xml:space="preserve"> </w:t>
      </w:r>
    </w:p>
    <w:p w14:paraId="17D91042">
      <w:pPr>
        <w:pStyle w:val="4"/>
        <w:spacing w:after="0"/>
        <w:ind w:left="0"/>
        <w:contextualSpacing/>
        <w:jc w:val="right"/>
        <w:rPr>
          <w:rFonts w:hint="default"/>
          <w:bCs/>
          <w:i w:val="0"/>
          <w:iCs/>
          <w:sz w:val="22"/>
          <w:szCs w:val="22"/>
          <w:lang w:val="uk-UA"/>
        </w:rPr>
      </w:pPr>
    </w:p>
    <w:p w14:paraId="6432490B">
      <w:pPr>
        <w:widowControl w:val="0"/>
        <w:jc w:val="center"/>
        <w:rPr>
          <w:rFonts w:hint="default" w:ascii="Times New Roman" w:hAnsi="Times New Roman" w:cs="Times New Roman"/>
          <w:b/>
          <w:bCs w:val="0"/>
          <w:iCs/>
          <w:color w:val="0A0A0A"/>
          <w:highlight w:val="none"/>
          <w:shd w:val="clear" w:color="auto" w:fill="FFFFFF"/>
          <w:lang w:val="uk-UA" w:eastAsia="uk-UA"/>
        </w:rPr>
      </w:pPr>
      <w:bookmarkStart w:id="0" w:name="_Hlk182560468"/>
      <w:r>
        <w:t>Перелік документів та інформації, які повинен надати учасник у складі тендерної пропозиції по закупівлі:</w:t>
      </w:r>
      <w:r>
        <w:rPr>
          <w:b/>
          <w:bCs/>
        </w:rPr>
        <w:t xml:space="preserve"> </w:t>
      </w:r>
      <w:bookmarkEnd w:id="0"/>
      <w:r>
        <w:rPr>
          <w:b/>
          <w:iCs/>
        </w:rPr>
        <w:t>ДК 021:2015</w:t>
      </w:r>
      <w:r>
        <w:rPr>
          <w:rFonts w:hint="default"/>
          <w:b/>
          <w:iCs/>
          <w:lang w:val="uk-UA"/>
        </w:rPr>
        <w:t>:</w:t>
      </w:r>
      <w:r>
        <w:rPr>
          <w:rFonts w:hint="default"/>
          <w:b/>
          <w:iCs/>
        </w:rPr>
        <w:t>09330000-1  “Сонячна енергія”  “Сонячна гібридна електростанція з урахуванням витрат на встановлення та пусконалагодження”</w:t>
      </w:r>
      <w:bookmarkStart w:id="1" w:name="_GoBack"/>
      <w:bookmarkEnd w:id="1"/>
    </w:p>
    <w:p w14:paraId="7BAAA124">
      <w:pPr>
        <w:jc w:val="center"/>
        <w:rPr>
          <w:b/>
          <w:lang w:val="ru-RU"/>
        </w:rPr>
      </w:pPr>
    </w:p>
    <w:p w14:paraId="26CBC41B">
      <w:pPr>
        <w:pBdr>
          <w:top w:val="single" w:color="auto" w:sz="4" w:space="1"/>
          <w:left w:val="single" w:color="auto" w:sz="4" w:space="4"/>
          <w:bottom w:val="single" w:color="auto" w:sz="4" w:space="1"/>
          <w:right w:val="single" w:color="auto" w:sz="4" w:space="4"/>
        </w:pBdr>
        <w:ind w:right="-2"/>
        <w:jc w:val="both"/>
        <w:rPr>
          <w:bCs/>
          <w:i/>
          <w:iCs/>
          <w:sz w:val="22"/>
          <w:szCs w:val="22"/>
        </w:rPr>
      </w:pPr>
    </w:p>
    <w:p w14:paraId="4C5B8F0E">
      <w:pPr>
        <w:pStyle w:val="10"/>
        <w:pBdr>
          <w:top w:val="single" w:color="auto" w:sz="4" w:space="0"/>
          <w:left w:val="single" w:color="auto" w:sz="4" w:space="7"/>
          <w:bottom w:val="single" w:color="auto" w:sz="4" w:space="1"/>
          <w:right w:val="single" w:color="auto" w:sz="4" w:space="7"/>
          <w:between w:val="single" w:color="auto" w:sz="4" w:space="1"/>
        </w:pBdr>
        <w:tabs>
          <w:tab w:val="left" w:pos="435"/>
          <w:tab w:val="left" w:pos="5987"/>
          <w:tab w:val="left" w:pos="6129"/>
        </w:tabs>
        <w:ind w:left="34" w:right="34"/>
        <w:jc w:val="both"/>
        <w:rPr>
          <w:rFonts w:hint="default"/>
          <w:b/>
          <w:bCs/>
          <w:lang w:val="uk-UA"/>
        </w:rPr>
      </w:pPr>
      <w:r>
        <w:rPr>
          <w:b/>
          <w:bCs/>
        </w:rPr>
        <w:t>1. Заповнену та підписану тендерну пропозицію за формою, наведено</w:t>
      </w:r>
      <w:r>
        <w:rPr>
          <w:b/>
          <w:bCs/>
          <w:highlight w:val="none"/>
        </w:rPr>
        <w:t xml:space="preserve">ю у Додатку </w:t>
      </w:r>
      <w:r>
        <w:rPr>
          <w:rFonts w:hint="default"/>
          <w:b/>
          <w:bCs/>
          <w:highlight w:val="none"/>
          <w:lang w:val="uk-UA"/>
        </w:rPr>
        <w:t>5</w:t>
      </w:r>
      <w:r>
        <w:rPr>
          <w:b/>
          <w:bCs/>
          <w:highlight w:val="none"/>
        </w:rPr>
        <w:t xml:space="preserve"> до</w:t>
      </w:r>
      <w:r>
        <w:rPr>
          <w:b/>
          <w:bCs/>
          <w:highlight w:val="yellow"/>
        </w:rPr>
        <w:t xml:space="preserve"> </w:t>
      </w:r>
      <w:r>
        <w:rPr>
          <w:b/>
          <w:bCs/>
        </w:rPr>
        <w:t>тендерної документації</w:t>
      </w:r>
      <w:r>
        <w:rPr>
          <w:rFonts w:hint="default"/>
          <w:b/>
          <w:bCs/>
          <w:lang w:val="uk-UA"/>
        </w:rPr>
        <w:t>.</w:t>
      </w:r>
    </w:p>
    <w:tbl>
      <w:tblPr>
        <w:tblStyle w:val="3"/>
        <w:tblW w:w="9600" w:type="dxa"/>
        <w:jc w:val="center"/>
        <w:tblLayout w:type="fixed"/>
        <w:tblCellMar>
          <w:top w:w="0" w:type="dxa"/>
          <w:left w:w="108" w:type="dxa"/>
          <w:bottom w:w="0" w:type="dxa"/>
          <w:right w:w="108" w:type="dxa"/>
        </w:tblCellMar>
      </w:tblPr>
      <w:tblGrid>
        <w:gridCol w:w="9600"/>
      </w:tblGrid>
      <w:tr w14:paraId="68951234">
        <w:tblPrEx>
          <w:tblCellMar>
            <w:top w:w="0" w:type="dxa"/>
            <w:left w:w="108" w:type="dxa"/>
            <w:bottom w:w="0" w:type="dxa"/>
            <w:right w:w="108" w:type="dxa"/>
          </w:tblCellMar>
        </w:tblPrEx>
        <w:trPr>
          <w:trHeight w:val="912" w:hRule="atLeast"/>
          <w:jc w:val="center"/>
        </w:trPr>
        <w:tc>
          <w:tcPr>
            <w:tcW w:w="9596" w:type="dxa"/>
            <w:tcBorders>
              <w:top w:val="single" w:color="auto" w:sz="4" w:space="0"/>
              <w:left w:val="single" w:color="auto" w:sz="4" w:space="0"/>
              <w:bottom w:val="single" w:color="auto" w:sz="4" w:space="0"/>
              <w:right w:val="single" w:color="auto" w:sz="4" w:space="0"/>
            </w:tcBorders>
            <w:tcMar>
              <w:top w:w="100" w:type="dxa"/>
              <w:left w:w="100" w:type="dxa"/>
              <w:bottom w:w="100" w:type="dxa"/>
              <w:right w:w="100" w:type="dxa"/>
            </w:tcMar>
            <w:vAlign w:val="center"/>
          </w:tcPr>
          <w:p w14:paraId="7698352C">
            <w:pPr>
              <w:pStyle w:val="10"/>
              <w:pBdr>
                <w:top w:val="single" w:color="auto" w:sz="4" w:space="1"/>
                <w:left w:val="single" w:color="auto" w:sz="4" w:space="7"/>
                <w:right w:val="single" w:color="auto" w:sz="4" w:space="4"/>
                <w:between w:val="single" w:color="auto" w:sz="4" w:space="1"/>
              </w:pBdr>
              <w:tabs>
                <w:tab w:val="left" w:pos="597"/>
                <w:tab w:val="left" w:pos="5987"/>
                <w:tab w:val="left" w:pos="6129"/>
              </w:tabs>
              <w:spacing w:line="276" w:lineRule="auto"/>
              <w:ind w:left="34" w:right="34"/>
              <w:jc w:val="both"/>
              <w:rPr>
                <w:b/>
                <w:bCs/>
                <w:lang w:eastAsia="en-US"/>
              </w:rPr>
            </w:pPr>
            <w:r>
              <w:rPr>
                <w:b/>
                <w:bCs/>
                <w:lang w:eastAsia="en-US"/>
              </w:rPr>
              <w:t>2. Інформацію та документи, що підтверджують відповідність учасника кваліфікаційним критеріям :</w:t>
            </w:r>
          </w:p>
          <w:tbl>
            <w:tblPr>
              <w:tblStyle w:val="3"/>
              <w:tblW w:w="9615" w:type="dxa"/>
              <w:jc w:val="center"/>
              <w:tblLayout w:type="fixed"/>
              <w:tblCellMar>
                <w:top w:w="0" w:type="dxa"/>
                <w:left w:w="108" w:type="dxa"/>
                <w:bottom w:w="0" w:type="dxa"/>
                <w:right w:w="108" w:type="dxa"/>
              </w:tblCellMar>
            </w:tblPr>
            <w:tblGrid>
              <w:gridCol w:w="489"/>
              <w:gridCol w:w="2271"/>
              <w:gridCol w:w="6855"/>
            </w:tblGrid>
            <w:tr w14:paraId="5AA5702E">
              <w:tblPrEx>
                <w:tblCellMar>
                  <w:top w:w="0" w:type="dxa"/>
                  <w:left w:w="108" w:type="dxa"/>
                  <w:bottom w:w="0" w:type="dxa"/>
                  <w:right w:w="108" w:type="dxa"/>
                </w:tblCellMar>
              </w:tblPrEx>
              <w:trPr>
                <w:trHeight w:val="358" w:hRule="atLeast"/>
                <w:jc w:val="center"/>
              </w:trPr>
              <w:tc>
                <w:tcPr>
                  <w:tcW w:w="48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195BE623">
                  <w:pPr>
                    <w:spacing w:line="276" w:lineRule="auto"/>
                    <w:jc w:val="center"/>
                    <w:rPr>
                      <w:bCs/>
                      <w:lang w:eastAsia="en-US"/>
                    </w:rPr>
                  </w:pPr>
                  <w:r>
                    <w:rPr>
                      <w:bCs/>
                      <w:color w:val="000000"/>
                      <w:sz w:val="22"/>
                      <w:szCs w:val="22"/>
                      <w:lang w:eastAsia="en-US"/>
                    </w:rPr>
                    <w:t xml:space="preserve">№ </w:t>
                  </w:r>
                  <w:r>
                    <w:rPr>
                      <w:bCs/>
                      <w:sz w:val="22"/>
                      <w:szCs w:val="22"/>
                      <w:lang w:eastAsia="en-US"/>
                    </w:rPr>
                    <w:t>з</w:t>
                  </w:r>
                  <w:r>
                    <w:rPr>
                      <w:bCs/>
                      <w:color w:val="000000"/>
                      <w:sz w:val="22"/>
                      <w:szCs w:val="22"/>
                      <w:lang w:eastAsia="en-US"/>
                    </w:rPr>
                    <w:t>/п</w:t>
                  </w:r>
                </w:p>
              </w:tc>
              <w:tc>
                <w:tcPr>
                  <w:tcW w:w="227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716A74E3">
                  <w:pPr>
                    <w:spacing w:line="276" w:lineRule="auto"/>
                    <w:jc w:val="center"/>
                    <w:rPr>
                      <w:bCs/>
                      <w:lang w:eastAsia="en-US"/>
                    </w:rPr>
                  </w:pPr>
                  <w:r>
                    <w:rPr>
                      <w:bCs/>
                      <w:color w:val="000000"/>
                      <w:sz w:val="22"/>
                      <w:szCs w:val="22"/>
                      <w:lang w:eastAsia="en-US"/>
                    </w:rPr>
                    <w:t>Кваліфікаційні критерії</w:t>
                  </w:r>
                </w:p>
              </w:tc>
              <w:tc>
                <w:tcPr>
                  <w:tcW w:w="685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578DBA35">
                  <w:pPr>
                    <w:spacing w:line="276" w:lineRule="auto"/>
                    <w:jc w:val="center"/>
                    <w:rPr>
                      <w:bCs/>
                      <w:lang w:eastAsia="en-US"/>
                    </w:rPr>
                  </w:pPr>
                  <w:r>
                    <w:rPr>
                      <w:bCs/>
                      <w:color w:val="000000"/>
                      <w:sz w:val="22"/>
                      <w:szCs w:val="22"/>
                      <w:lang w:eastAsia="en-US"/>
                    </w:rPr>
                    <w:t>Документи т</w:t>
                  </w:r>
                  <w:r>
                    <w:rPr>
                      <w:bCs/>
                      <w:sz w:val="22"/>
                      <w:szCs w:val="22"/>
                      <w:lang w:eastAsia="en-US"/>
                    </w:rPr>
                    <w:t>а інформація, </w:t>
                  </w:r>
                  <w:r>
                    <w:rPr>
                      <w:bCs/>
                      <w:color w:val="000000"/>
                      <w:sz w:val="22"/>
                      <w:szCs w:val="22"/>
                      <w:lang w:eastAsia="en-US"/>
                    </w:rPr>
                    <w:t>які підтверджують відповідність Учасника кваліфікаційним критеріям**</w:t>
                  </w:r>
                </w:p>
              </w:tc>
            </w:tr>
            <w:tr w14:paraId="2EAE3798">
              <w:tblPrEx>
                <w:tblCellMar>
                  <w:top w:w="0" w:type="dxa"/>
                  <w:left w:w="108" w:type="dxa"/>
                  <w:bottom w:w="0" w:type="dxa"/>
                  <w:right w:w="108" w:type="dxa"/>
                </w:tblCellMar>
              </w:tblPrEx>
              <w:trPr>
                <w:trHeight w:val="4907" w:hRule="atLeast"/>
                <w:jc w:val="center"/>
              </w:trPr>
              <w:tc>
                <w:tcPr>
                  <w:tcW w:w="48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5B4106F">
                  <w:pPr>
                    <w:spacing w:line="276" w:lineRule="auto"/>
                    <w:jc w:val="center"/>
                    <w:rPr>
                      <w:bCs/>
                      <w:lang w:eastAsia="en-US"/>
                    </w:rPr>
                  </w:pPr>
                  <w:r>
                    <w:rPr>
                      <w:bCs/>
                      <w:color w:val="000000"/>
                      <w:sz w:val="22"/>
                      <w:szCs w:val="22"/>
                      <w:lang w:eastAsia="en-US"/>
                    </w:rPr>
                    <w:t>2.1</w:t>
                  </w:r>
                </w:p>
              </w:tc>
              <w:tc>
                <w:tcPr>
                  <w:tcW w:w="227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305B162">
                  <w:pPr>
                    <w:spacing w:line="276" w:lineRule="auto"/>
                    <w:jc w:val="center"/>
                    <w:rPr>
                      <w:bCs/>
                      <w:lang w:eastAsia="en-US"/>
                    </w:rPr>
                  </w:pPr>
                  <w:r>
                    <w:rPr>
                      <w:bCs/>
                      <w:color w:val="000000"/>
                      <w:sz w:val="22"/>
                      <w:szCs w:val="22"/>
                      <w:lang w:eastAsia="en-US"/>
                    </w:rPr>
                    <w:t>Наявність документально підтвердженого досвіду виконання аналогічного (аналогічних) за предметом закупівлі договору (договорів)</w:t>
                  </w:r>
                </w:p>
              </w:tc>
              <w:tc>
                <w:tcPr>
                  <w:tcW w:w="685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8160CAB">
                  <w:pPr>
                    <w:spacing w:line="276" w:lineRule="auto"/>
                    <w:jc w:val="both"/>
                    <w:rPr>
                      <w:i/>
                      <w:iCs/>
                      <w:lang w:eastAsia="en-US"/>
                    </w:rPr>
                  </w:pPr>
                  <w:r>
                    <w:rPr>
                      <w:i/>
                      <w:iCs/>
                      <w:color w:val="000000"/>
                      <w:sz w:val="22"/>
                      <w:szCs w:val="22"/>
                      <w:lang w:eastAsia="en-US"/>
                    </w:rPr>
                    <w:t>1.1. На підтвердження досвіду виконання аналогічного (аналогічних) за предметом закупівлі договору (договорів) Учасник має надати:</w:t>
                  </w:r>
                </w:p>
                <w:p w14:paraId="5B7FB123">
                  <w:pPr>
                    <w:spacing w:line="276" w:lineRule="auto"/>
                    <w:jc w:val="both"/>
                    <w:rPr>
                      <w:i/>
                      <w:iCs/>
                      <w:lang w:eastAsia="en-US"/>
                    </w:rPr>
                  </w:pPr>
                  <w:r>
                    <w:rPr>
                      <w:i/>
                      <w:iCs/>
                      <w:color w:val="000000"/>
                      <w:sz w:val="22"/>
                      <w:szCs w:val="22"/>
                      <w:lang w:eastAsia="en-US"/>
                    </w:rPr>
                    <w:t>1.1.1.довідку в довільній формі, з інформацією про виконання  аналогічного (аналогічних) за предметом закупівлі договору (договорів)  (не менше одного договору).</w:t>
                  </w:r>
                </w:p>
                <w:p w14:paraId="75685012">
                  <w:pPr>
                    <w:widowControl w:val="0"/>
                    <w:jc w:val="center"/>
                    <w:rPr>
                      <w:b/>
                      <w:bCs/>
                    </w:rPr>
                  </w:pPr>
                  <w:r>
                    <w:rPr>
                      <w:i/>
                      <w:iCs/>
                      <w:color w:val="000000"/>
                      <w:sz w:val="22"/>
                      <w:szCs w:val="22"/>
                      <w:lang w:eastAsia="en-US"/>
                    </w:rPr>
                    <w:t xml:space="preserve">Аналогічним вважається виконаний в повному обсязі договір поставки/купівлі/продажу того ж товару або будь-якого дослідного обладнання за тим же кодом закупівлі, що є предметом даної закупівлі, в якому учасник виступає постачальником, тобто </w:t>
                  </w:r>
                  <w:r>
                    <w:rPr>
                      <w:rStyle w:val="7"/>
                      <w:i/>
                      <w:iCs/>
                      <w:sz w:val="22"/>
                      <w:szCs w:val="22"/>
                      <w:lang w:eastAsia="en-US"/>
                    </w:rPr>
                    <w:t>за кодом</w:t>
                  </w:r>
                  <w:r>
                    <w:rPr>
                      <w:b/>
                      <w:iCs/>
                    </w:rPr>
                    <w:t xml:space="preserve"> </w:t>
                  </w:r>
                  <w:r>
                    <w:rPr>
                      <w:b/>
                      <w:i/>
                      <w:iCs/>
                    </w:rPr>
                    <w:t>ДК 021:2015 –</w:t>
                  </w:r>
                  <w:r>
                    <w:rPr>
                      <w:b/>
                      <w:i/>
                    </w:rPr>
                    <w:t xml:space="preserve"> </w:t>
                  </w:r>
                  <w:r>
                    <w:rPr>
                      <w:rFonts w:hint="default"/>
                      <w:b/>
                      <w:iCs/>
                    </w:rPr>
                    <w:t xml:space="preserve">09330000-1 «Сонячна енергія» </w:t>
                  </w:r>
                </w:p>
                <w:p w14:paraId="3CED9516">
                  <w:pPr>
                    <w:spacing w:line="276" w:lineRule="auto"/>
                    <w:jc w:val="both"/>
                  </w:pPr>
                  <w:r>
                    <w:rPr>
                      <w:rStyle w:val="7"/>
                      <w:i/>
                      <w:iCs/>
                      <w:sz w:val="22"/>
                      <w:szCs w:val="22"/>
                      <w:lang w:eastAsia="en-US"/>
                    </w:rPr>
                    <w:t xml:space="preserve"> </w:t>
                  </w:r>
                  <w:r>
                    <w:rPr>
                      <w:i/>
                      <w:iCs/>
                      <w:color w:val="000000"/>
                      <w:sz w:val="22"/>
                      <w:szCs w:val="22"/>
                      <w:lang w:eastAsia="en-US"/>
                    </w:rPr>
                    <w:t xml:space="preserve">1.1.2. не менше 1 копії договору, зазначеного </w:t>
                  </w:r>
                  <w:r>
                    <w:rPr>
                      <w:i/>
                      <w:iCs/>
                      <w:sz w:val="22"/>
                      <w:szCs w:val="22"/>
                      <w:lang w:eastAsia="en-US"/>
                    </w:rPr>
                    <w:t>в</w:t>
                  </w:r>
                  <w:r>
                    <w:rPr>
                      <w:i/>
                      <w:iCs/>
                      <w:color w:val="000000"/>
                      <w:sz w:val="22"/>
                      <w:szCs w:val="22"/>
                      <w:lang w:eastAsia="en-US"/>
                    </w:rPr>
                    <w:t xml:space="preserve"> довідці </w:t>
                  </w:r>
                  <w:r>
                    <w:rPr>
                      <w:i/>
                      <w:iCs/>
                      <w:sz w:val="22"/>
                      <w:szCs w:val="22"/>
                      <w:lang w:eastAsia="en-US"/>
                    </w:rPr>
                    <w:t>в</w:t>
                  </w:r>
                  <w:r>
                    <w:rPr>
                      <w:i/>
                      <w:iCs/>
                      <w:color w:val="000000"/>
                      <w:sz w:val="22"/>
                      <w:szCs w:val="22"/>
                      <w:lang w:eastAsia="en-US"/>
                    </w:rPr>
                    <w:t xml:space="preserve"> повному обсязі (з усіма додатками до нього),</w:t>
                  </w:r>
                </w:p>
                <w:p w14:paraId="1F0FCE5F">
                  <w:pPr>
                    <w:spacing w:line="276" w:lineRule="auto"/>
                    <w:jc w:val="both"/>
                    <w:rPr>
                      <w:i/>
                      <w:iCs/>
                      <w:lang w:eastAsia="en-US"/>
                    </w:rPr>
                  </w:pPr>
                  <w:r>
                    <w:rPr>
                      <w:i/>
                      <w:iCs/>
                      <w:color w:val="000000"/>
                      <w:sz w:val="22"/>
                      <w:szCs w:val="22"/>
                      <w:lang w:eastAsia="en-US"/>
                    </w:rPr>
                    <w:t>1.1.3. копію документів/</w:t>
                  </w:r>
                  <w:r>
                    <w:rPr>
                      <w:i/>
                      <w:iCs/>
                      <w:sz w:val="22"/>
                      <w:szCs w:val="22"/>
                      <w:lang w:eastAsia="en-US"/>
                    </w:rPr>
                    <w:t>а (накладна на поставку/видаткова накладна чи інше)</w:t>
                  </w:r>
                  <w:r>
                    <w:rPr>
                      <w:i/>
                      <w:iCs/>
                      <w:color w:val="000000"/>
                      <w:sz w:val="22"/>
                      <w:szCs w:val="22"/>
                      <w:lang w:eastAsia="en-US"/>
                    </w:rPr>
                    <w:t xml:space="preserve"> на підтвердження виконання в повному обсязі не менше ніж одного договору, зазначеного в наданій Учасником довідці, </w:t>
                  </w:r>
                </w:p>
                <w:p w14:paraId="572C90F3">
                  <w:pPr>
                    <w:spacing w:line="276" w:lineRule="auto"/>
                    <w:jc w:val="both"/>
                    <w:rPr>
                      <w:i/>
                      <w:iCs/>
                      <w:lang w:eastAsia="en-US"/>
                    </w:rPr>
                  </w:pPr>
                  <w:r>
                    <w:rPr>
                      <w:b/>
                      <w:i/>
                      <w:iCs/>
                      <w:sz w:val="22"/>
                      <w:szCs w:val="22"/>
                      <w:lang w:eastAsia="en-US"/>
                    </w:rPr>
                    <w:t>або</w:t>
                  </w:r>
                  <w:r>
                    <w:rPr>
                      <w:i/>
                      <w:iCs/>
                      <w:sz w:val="22"/>
                      <w:szCs w:val="22"/>
                      <w:lang w:eastAsia="en-US"/>
                    </w:rPr>
                    <w:t> </w:t>
                  </w:r>
                </w:p>
                <w:p w14:paraId="427CFAE1">
                  <w:pPr>
                    <w:spacing w:line="276" w:lineRule="auto"/>
                    <w:jc w:val="both"/>
                    <w:rPr>
                      <w:i/>
                      <w:iCs/>
                      <w:lang w:eastAsia="en-US"/>
                    </w:rPr>
                  </w:pPr>
                  <w:r>
                    <w:rPr>
                      <w:i/>
                      <w:iCs/>
                      <w:sz w:val="22"/>
                      <w:szCs w:val="22"/>
                      <w:lang w:eastAsia="en-US"/>
                    </w:rPr>
                    <w:t>лист-відгук (або рекомендаційний лист тощо) (не менше одного) від контрагента згідно з аналогічним договором, який зазначено в довідці та надано у складі тендерної пропозиції про належне виконання цього договору. (п.п. 1.1.3. на вибір учасника).</w:t>
                  </w:r>
                </w:p>
                <w:p w14:paraId="0BC4E2B1">
                  <w:pPr>
                    <w:spacing w:line="276" w:lineRule="auto"/>
                    <w:jc w:val="both"/>
                    <w:rPr>
                      <w:i/>
                      <w:iCs/>
                      <w:lang w:eastAsia="en-US"/>
                    </w:rPr>
                  </w:pPr>
                  <w:r>
                    <w:rPr>
                      <w:i/>
                      <w:iCs/>
                      <w:sz w:val="22"/>
                      <w:szCs w:val="22"/>
                      <w:lang w:eastAsia="en-US"/>
                    </w:rPr>
                    <w:t>1.2 У разі участі об’єднання учасників підтвердження відповідності кваліфікаційним критеріями здійснюється з урахуванням узагальнених об’єднаних показників кожного учасника такого об’єднання на підставі наданої об’єнанням інформації.</w:t>
                  </w:r>
                </w:p>
              </w:tc>
            </w:tr>
          </w:tbl>
          <w:p w14:paraId="2804DDFD">
            <w:pPr>
              <w:spacing w:line="276" w:lineRule="auto"/>
              <w:jc w:val="center"/>
              <w:rPr>
                <w:rFonts w:asciiTheme="minorHAnsi" w:hAnsiTheme="minorHAnsi" w:eastAsiaTheme="minorHAnsi" w:cstheme="minorBidi"/>
                <w:lang w:eastAsia="en-US"/>
              </w:rPr>
            </w:pPr>
          </w:p>
        </w:tc>
      </w:tr>
    </w:tbl>
    <w:p w14:paraId="5C1B0938">
      <w:pPr>
        <w:pStyle w:val="9"/>
        <w:widowControl w:val="0"/>
        <w:pBdr>
          <w:top w:val="single" w:color="auto" w:sz="4" w:space="1"/>
          <w:left w:val="single" w:color="auto" w:sz="4" w:space="4"/>
          <w:bottom w:val="single" w:color="auto" w:sz="4" w:space="1"/>
          <w:right w:val="single" w:color="auto" w:sz="4" w:space="4"/>
        </w:pBdr>
        <w:spacing w:line="240" w:lineRule="auto"/>
        <w:ind w:firstLine="9"/>
        <w:jc w:val="both"/>
        <w:rPr>
          <w:rFonts w:ascii="Times New Roman" w:hAnsi="Times New Roman" w:eastAsia="Times New Roman" w:cs="Times New Roman"/>
          <w:b/>
          <w:bCs/>
          <w:color w:val="auto"/>
          <w:lang w:val="uk-UA"/>
        </w:rPr>
      </w:pPr>
      <w:r>
        <w:rPr>
          <w:rFonts w:ascii="Times New Roman" w:hAnsi="Times New Roman" w:eastAsia="Times New Roman" w:cs="Times New Roman"/>
          <w:b/>
          <w:bCs/>
          <w:color w:val="auto"/>
          <w:lang w:val="uk-UA"/>
        </w:rPr>
        <w:t>3. Інформацію щодо відповідності учасника вимогам, визначеним у пункті 47 Особливостей :</w:t>
      </w:r>
    </w:p>
    <w:p w14:paraId="40FF7B71">
      <w:pPr>
        <w:pBdr>
          <w:top w:val="single" w:color="auto" w:sz="4" w:space="1"/>
          <w:left w:val="single" w:color="auto" w:sz="4" w:space="4"/>
          <w:bottom w:val="single" w:color="auto" w:sz="4" w:space="1"/>
          <w:right w:val="single" w:color="auto" w:sz="4" w:space="4"/>
        </w:pBdr>
        <w:jc w:val="both"/>
        <w:rPr>
          <w:i/>
          <w:iCs/>
          <w:sz w:val="22"/>
          <w:szCs w:val="22"/>
        </w:rPr>
      </w:pPr>
      <w:r>
        <w:rPr>
          <w:sz w:val="22"/>
          <w:szCs w:val="22"/>
        </w:rPr>
        <w:t xml:space="preserve">       </w:t>
      </w:r>
      <w:r>
        <w:rPr>
          <w:i/>
          <w:iCs/>
          <w:sz w:val="22"/>
          <w:szCs w:val="22"/>
        </w:rPr>
        <w:t>Учасник процедури закупівлі підтверджує відсутність підстав, зазначених в пункті 47 Особливостей  (крім підпунктів 1 і 7), шляхом самостійного декларування відсутності таких підстав в електронній системі закупівель під час подання тендерної пропозиції.</w:t>
      </w:r>
    </w:p>
    <w:p w14:paraId="2824F904">
      <w:pPr>
        <w:pBdr>
          <w:top w:val="single" w:color="auto" w:sz="4" w:space="1"/>
          <w:left w:val="single" w:color="auto" w:sz="4" w:space="4"/>
          <w:bottom w:val="single" w:color="auto" w:sz="4" w:space="1"/>
          <w:right w:val="single" w:color="auto" w:sz="4" w:space="4"/>
        </w:pBdr>
        <w:jc w:val="both"/>
        <w:rPr>
          <w:i/>
          <w:iCs/>
          <w:sz w:val="22"/>
          <w:szCs w:val="22"/>
        </w:rPr>
      </w:pPr>
      <w:r>
        <w:rPr>
          <w:i/>
          <w:iCs/>
          <w:sz w:val="22"/>
          <w:szCs w:val="22"/>
        </w:rPr>
        <w:t xml:space="preserve">       Замовник не вимагає від учасника процедури закупівлі під час подання тендерної пропозиції в електронній системі закупівель будь-яких документів, що підтверджують відсутність підстав, визначених у пункті 47 Особливостей, крім самостійного декларування відсутності таких підстав учасником процедури закупівлі відповідно до абзацу шістнадцятого пункту 47 Особливостей.</w:t>
      </w:r>
    </w:p>
    <w:p w14:paraId="45095C6D">
      <w:pPr>
        <w:pBdr>
          <w:top w:val="single" w:color="auto" w:sz="4" w:space="1"/>
          <w:left w:val="single" w:color="auto" w:sz="4" w:space="4"/>
          <w:bottom w:val="single" w:color="auto" w:sz="4" w:space="1"/>
          <w:right w:val="single" w:color="auto" w:sz="4" w:space="4"/>
        </w:pBdr>
        <w:jc w:val="both"/>
        <w:rPr>
          <w:i/>
          <w:iCs/>
          <w:sz w:val="22"/>
          <w:szCs w:val="22"/>
        </w:rPr>
      </w:pPr>
      <w:r>
        <w:rPr>
          <w:i/>
          <w:iCs/>
          <w:sz w:val="22"/>
          <w:szCs w:val="22"/>
        </w:rPr>
        <w:t xml:space="preserve">      Замовник самостійно за результатами розгляду тендерної пропозиції учасника процедури закупівлі підтверджує в електронній системі закупівель відсутність в учасника процедури закупівлі підстав, визначених підпунктами 1 і 7 цього пункту.</w:t>
      </w:r>
    </w:p>
    <w:p w14:paraId="50576DDE">
      <w:pPr>
        <w:pStyle w:val="9"/>
        <w:widowControl w:val="0"/>
        <w:pBdr>
          <w:top w:val="single" w:color="auto" w:sz="4" w:space="1"/>
          <w:left w:val="single" w:color="auto" w:sz="4" w:space="4"/>
          <w:bottom w:val="single" w:color="auto" w:sz="4" w:space="1"/>
          <w:right w:val="single" w:color="auto" w:sz="4" w:space="4"/>
        </w:pBdr>
        <w:spacing w:line="240" w:lineRule="auto"/>
        <w:ind w:firstLine="9"/>
        <w:jc w:val="both"/>
        <w:rPr>
          <w:rFonts w:ascii="Times New Roman" w:hAnsi="Times New Roman" w:cs="Times New Roman"/>
          <w:i/>
          <w:iCs/>
          <w:lang w:val="uk-UA"/>
        </w:rPr>
      </w:pPr>
      <w:r>
        <w:rPr>
          <w:rFonts w:ascii="Times New Roman" w:hAnsi="Times New Roman" w:cs="Times New Roman"/>
          <w:i/>
          <w:iCs/>
          <w:lang w:val="uk-UA"/>
        </w:rPr>
        <w:t xml:space="preserve">    У разі подання тендерної пропозиції об’єднанням учасників підтвердження відсутності підстав для відмови в участі у процедурі закупівлі, визначеним пунктом 47 Особливостей, подається по кожному з учасників окремо, які входять у склад об’єднання, шляхом надання довідки в довільній формі.</w:t>
      </w:r>
    </w:p>
    <w:p w14:paraId="314DDBA5">
      <w:pPr>
        <w:pStyle w:val="9"/>
        <w:widowControl w:val="0"/>
        <w:pBdr>
          <w:left w:val="single" w:color="auto" w:sz="4" w:space="4"/>
          <w:bottom w:val="single" w:color="auto" w:sz="4" w:space="1"/>
          <w:right w:val="single" w:color="auto" w:sz="4" w:space="4"/>
        </w:pBdr>
        <w:spacing w:line="240" w:lineRule="auto"/>
        <w:ind w:firstLine="9"/>
        <w:jc w:val="both"/>
        <w:rPr>
          <w:rFonts w:ascii="Times New Roman" w:hAnsi="Times New Roman" w:cs="Times New Roman"/>
          <w:b/>
          <w:bCs/>
          <w:lang w:val="uk-UA"/>
        </w:rPr>
      </w:pPr>
      <w:r>
        <w:rPr>
          <w:rFonts w:ascii="Times New Roman" w:hAnsi="Times New Roman" w:cs="Times New Roman"/>
          <w:b/>
          <w:bCs/>
          <w:lang w:val="uk-UA"/>
        </w:rPr>
        <w:t>4. Інформація про відсутність підстав, визначених пунктом 45  Особливостей:</w:t>
      </w:r>
    </w:p>
    <w:p w14:paraId="7AA94B2E">
      <w:pPr>
        <w:pStyle w:val="9"/>
        <w:widowControl w:val="0"/>
        <w:pBdr>
          <w:left w:val="single" w:color="auto" w:sz="4" w:space="4"/>
          <w:bottom w:val="single" w:color="auto" w:sz="4" w:space="1"/>
          <w:right w:val="single" w:color="auto" w:sz="4" w:space="4"/>
        </w:pBdr>
        <w:spacing w:line="240" w:lineRule="auto"/>
        <w:ind w:firstLine="9"/>
        <w:jc w:val="both"/>
        <w:rPr>
          <w:rFonts w:ascii="Times New Roman" w:hAnsi="Times New Roman" w:cs="Times New Roman"/>
          <w:i/>
          <w:iCs/>
          <w:lang w:val="uk-UA"/>
        </w:rPr>
      </w:pPr>
      <w:r>
        <w:rPr>
          <w:rFonts w:ascii="Times New Roman" w:hAnsi="Times New Roman" w:cs="Times New Roman"/>
          <w:i/>
          <w:iCs/>
          <w:lang w:val="uk-UA"/>
        </w:rPr>
        <w:t xml:space="preserve">     Учасник підтверджує відсутність підстав, визначених підпунктом 2 пункту 45 Особливостей, шляхом надання у складі тендерної пропозиції:</w:t>
      </w:r>
    </w:p>
    <w:p w14:paraId="724978CC">
      <w:pPr>
        <w:pStyle w:val="9"/>
        <w:widowControl w:val="0"/>
        <w:numPr>
          <w:ilvl w:val="0"/>
          <w:numId w:val="1"/>
        </w:numPr>
        <w:pBdr>
          <w:left w:val="single" w:color="auto" w:sz="4" w:space="4"/>
          <w:bottom w:val="single" w:color="auto" w:sz="4" w:space="1"/>
          <w:right w:val="single" w:color="auto" w:sz="4" w:space="4"/>
        </w:pBdr>
        <w:spacing w:line="240" w:lineRule="auto"/>
        <w:ind w:left="0" w:firstLine="0"/>
        <w:jc w:val="both"/>
        <w:rPr>
          <w:rFonts w:ascii="Times New Roman" w:hAnsi="Times New Roman" w:cs="Times New Roman"/>
          <w:i/>
          <w:iCs/>
          <w:lang w:val="uk-UA"/>
        </w:rPr>
      </w:pPr>
      <w:r>
        <w:rPr>
          <w:rFonts w:ascii="Times New Roman" w:hAnsi="Times New Roman" w:cs="Times New Roman"/>
          <w:i/>
          <w:iCs/>
          <w:lang w:val="uk-UA"/>
        </w:rPr>
        <w:t xml:space="preserve"> довідку в довільній форми про відсутність фактів невиконання своїх зобов’язань за раніше укладеним договором про закупівлю із замовником, що призвело до його дострокового розірвання</w:t>
      </w:r>
      <w:r>
        <w:rPr>
          <w:lang w:val="uk-UA"/>
        </w:rPr>
        <w:t xml:space="preserve"> </w:t>
      </w:r>
      <w:r>
        <w:rPr>
          <w:rFonts w:ascii="Times New Roman" w:hAnsi="Times New Roman" w:cs="Times New Roman"/>
          <w:i/>
          <w:iCs/>
          <w:lang w:val="uk-UA"/>
        </w:rPr>
        <w:t>і застосування санкцій у вигляді штрафів та/або відшкодування збитків протягом трьох років з дати дострокового розірвання такого договору до дати оголошення про проведення відкритих торгів.</w:t>
      </w:r>
    </w:p>
    <w:p w14:paraId="50F06743">
      <w:pPr>
        <w:pStyle w:val="9"/>
        <w:widowControl w:val="0"/>
        <w:pBdr>
          <w:left w:val="single" w:color="auto" w:sz="4" w:space="4"/>
          <w:bottom w:val="single" w:color="auto" w:sz="4" w:space="1"/>
          <w:right w:val="single" w:color="auto" w:sz="4" w:space="4"/>
        </w:pBdr>
        <w:spacing w:line="240" w:lineRule="auto"/>
        <w:jc w:val="both"/>
        <w:rPr>
          <w:rFonts w:ascii="Times New Roman" w:hAnsi="Times New Roman" w:cs="Times New Roman"/>
          <w:i/>
          <w:iCs/>
          <w:lang w:val="uk-UA"/>
        </w:rPr>
      </w:pPr>
      <w:r>
        <w:rPr>
          <w:rFonts w:ascii="Times New Roman" w:hAnsi="Times New Roman" w:cs="Times New Roman"/>
          <w:i/>
          <w:iCs/>
          <w:lang w:val="uk-UA"/>
        </w:rPr>
        <w:t xml:space="preserve">         У разі наявності вищезазначених фактів, учасник може надати довідку в довільної формі що підтверджує вжиття заходів для доведення своєї надійності, незважаючи на наявність відповідної підстави для відхилення тендерної пропозиції (про сплату або зобов’язання сплатити відповідні зобов’язання та відшкодування завданих збитків)</w:t>
      </w:r>
    </w:p>
    <w:p w14:paraId="1733A312">
      <w:pPr>
        <w:pStyle w:val="9"/>
        <w:widowControl w:val="0"/>
        <w:pBdr>
          <w:top w:val="single" w:color="auto" w:sz="4" w:space="1"/>
          <w:left w:val="single" w:color="auto" w:sz="4" w:space="4"/>
          <w:bottom w:val="single" w:color="auto" w:sz="4" w:space="1"/>
          <w:right w:val="single" w:color="auto" w:sz="4" w:space="4"/>
          <w:between w:val="single" w:color="auto" w:sz="4" w:space="1"/>
        </w:pBdr>
        <w:spacing w:line="240" w:lineRule="auto"/>
        <w:ind w:firstLine="9"/>
        <w:jc w:val="both"/>
        <w:rPr>
          <w:rFonts w:ascii="Times New Roman" w:hAnsi="Times New Roman" w:eastAsia="Times New Roman" w:cs="Times New Roman"/>
          <w:b/>
          <w:bCs/>
          <w:color w:val="auto"/>
          <w:lang w:val="uk-UA"/>
        </w:rPr>
      </w:pPr>
      <w:r>
        <w:rPr>
          <w:rFonts w:ascii="Times New Roman" w:hAnsi="Times New Roman" w:eastAsia="Times New Roman" w:cs="Times New Roman"/>
          <w:b/>
          <w:bCs/>
          <w:color w:val="auto"/>
          <w:lang w:val="uk-UA"/>
        </w:rPr>
        <w:t>5.</w:t>
      </w:r>
      <w:r>
        <w:rPr>
          <w:rFonts w:ascii="Times New Roman" w:hAnsi="Times New Roman" w:eastAsia="Times New Roman" w:cs="Times New Roman"/>
          <w:color w:val="auto"/>
          <w:lang w:val="uk-UA"/>
        </w:rPr>
        <w:t xml:space="preserve"> Інформацію про необхідні технічні, якісні та кількісні характеристики предмета закупівлі, підготовлені у відповідності з вимогами </w:t>
      </w:r>
      <w:r>
        <w:rPr>
          <w:rFonts w:ascii="Times New Roman" w:hAnsi="Times New Roman" w:eastAsia="Times New Roman" w:cs="Times New Roman"/>
          <w:b/>
          <w:bCs/>
          <w:color w:val="auto"/>
          <w:lang w:val="uk-UA"/>
        </w:rPr>
        <w:t xml:space="preserve"> (Додаток 2 до тендерної документації):</w:t>
      </w:r>
    </w:p>
    <w:p w14:paraId="48648DB1">
      <w:pPr>
        <w:pStyle w:val="9"/>
        <w:widowControl w:val="0"/>
        <w:pBdr>
          <w:top w:val="single" w:color="auto" w:sz="4" w:space="1"/>
          <w:left w:val="single" w:color="auto" w:sz="4" w:space="4"/>
          <w:right w:val="single" w:color="auto" w:sz="4" w:space="4"/>
        </w:pBdr>
        <w:spacing w:line="240" w:lineRule="auto"/>
        <w:ind w:firstLine="11"/>
        <w:jc w:val="both"/>
        <w:rPr>
          <w:rFonts w:ascii="Times New Roman" w:hAnsi="Times New Roman" w:cs="Times New Roman"/>
          <w:i/>
          <w:iCs/>
          <w:color w:val="auto"/>
          <w:lang w:val="uk-UA"/>
        </w:rPr>
      </w:pPr>
      <w:r>
        <w:rPr>
          <w:rFonts w:ascii="Times New Roman" w:hAnsi="Times New Roman" w:eastAsia="Times New Roman" w:cs="Times New Roman"/>
          <w:b/>
          <w:bCs/>
          <w:color w:val="auto"/>
          <w:lang w:val="uk-UA"/>
        </w:rPr>
        <w:t xml:space="preserve">6. </w:t>
      </w:r>
      <w:r>
        <w:rPr>
          <w:rFonts w:ascii="Times New Roman" w:hAnsi="Times New Roman" w:cs="Times New Roman"/>
          <w:b/>
          <w:bCs/>
          <w:color w:val="auto"/>
          <w:lang w:val="uk-UA"/>
        </w:rPr>
        <w:t>Для учасників-юридичних осіб - копію статуту зі змінами та доповненнями з відміткою державного реєстратора</w:t>
      </w:r>
      <w:r>
        <w:rPr>
          <w:rFonts w:ascii="Times New Roman" w:hAnsi="Times New Roman" w:cs="Times New Roman"/>
          <w:i/>
          <w:iCs/>
          <w:color w:val="auto"/>
          <w:lang w:val="uk-UA"/>
        </w:rPr>
        <w:t xml:space="preserve"> (у випадку відсутності відмітки державного реєстратора на статуті, учасник додатково у складі тендерної пропозиції повинен надати опис, де зазначено код доступу, за яким існує можливість перевірити достовірність наданого статуту або переглянути електронну версію документу або інший установчий документ зі змінами (у випадку законодавчо обумовленої відсутності статуту)). У разі, якщо учасник здійснює господарську діяльність на підставі модельного статуту, надається копія відповідного рішення загальних зборі учасників;</w:t>
      </w:r>
    </w:p>
    <w:p w14:paraId="07698B9C">
      <w:pPr>
        <w:pStyle w:val="9"/>
        <w:widowControl w:val="0"/>
        <w:pBdr>
          <w:top w:val="single" w:color="auto" w:sz="4" w:space="1"/>
          <w:left w:val="single" w:color="auto" w:sz="4" w:space="4"/>
          <w:right w:val="single" w:color="auto" w:sz="4" w:space="4"/>
        </w:pBdr>
        <w:ind w:firstLine="11"/>
        <w:jc w:val="both"/>
        <w:rPr>
          <w:rFonts w:ascii="Times New Roman" w:hAnsi="Times New Roman" w:cs="Times New Roman"/>
          <w:b/>
          <w:bCs/>
          <w:color w:val="auto"/>
          <w:lang w:val="uk-UA"/>
        </w:rPr>
      </w:pPr>
      <w:r>
        <w:rPr>
          <w:rFonts w:ascii="Times New Roman" w:hAnsi="Times New Roman" w:cs="Times New Roman"/>
          <w:b/>
          <w:bCs/>
          <w:color w:val="auto"/>
          <w:lang w:val="uk-UA"/>
        </w:rPr>
        <w:t>Для учасників - фізичних осіб,  фізичних осіб- підприємців:</w:t>
      </w:r>
    </w:p>
    <w:p w14:paraId="38B15A28">
      <w:pPr>
        <w:pStyle w:val="9"/>
        <w:widowControl w:val="0"/>
        <w:pBdr>
          <w:top w:val="single" w:color="auto" w:sz="4" w:space="1"/>
          <w:left w:val="single" w:color="auto" w:sz="4" w:space="4"/>
          <w:right w:val="single" w:color="auto" w:sz="4" w:space="4"/>
        </w:pBdr>
        <w:spacing w:line="240" w:lineRule="auto"/>
        <w:ind w:firstLine="11"/>
        <w:jc w:val="both"/>
        <w:rPr>
          <w:rFonts w:ascii="Times New Roman" w:hAnsi="Times New Roman" w:cs="Times New Roman"/>
          <w:i/>
          <w:iCs/>
          <w:color w:val="auto"/>
          <w:lang w:val="uk-UA"/>
        </w:rPr>
      </w:pPr>
      <w:r>
        <w:rPr>
          <w:rFonts w:ascii="Times New Roman" w:hAnsi="Times New Roman" w:cs="Times New Roman"/>
          <w:i/>
          <w:iCs/>
          <w:color w:val="auto"/>
          <w:lang w:val="uk-UA"/>
        </w:rPr>
        <w:t>- копія документу, що підтверджує статус платника податків (копія витягу з реєстру платників податку на додану вартість або копія свідоцтва платника податку на додану вартість, копія витягу з реєстру платників єдиного податку, наданого Уповноваженим органом за встановленою формою, тощо).</w:t>
      </w:r>
    </w:p>
    <w:p w14:paraId="362F2582">
      <w:pPr>
        <w:pStyle w:val="9"/>
        <w:widowControl w:val="0"/>
        <w:pBdr>
          <w:top w:val="single" w:color="auto" w:sz="4" w:space="1"/>
          <w:left w:val="single" w:color="auto" w:sz="4" w:space="4"/>
          <w:bottom w:val="single" w:color="auto" w:sz="4" w:space="1"/>
          <w:right w:val="single" w:color="auto" w:sz="4" w:space="4"/>
        </w:pBdr>
        <w:spacing w:line="240" w:lineRule="auto"/>
        <w:ind w:firstLine="11"/>
        <w:jc w:val="both"/>
        <w:rPr>
          <w:rFonts w:ascii="Times New Roman" w:hAnsi="Times New Roman" w:cs="Times New Roman"/>
          <w:b/>
          <w:bCs/>
          <w:lang w:val="uk-UA"/>
        </w:rPr>
      </w:pPr>
      <w:r>
        <w:rPr>
          <w:rFonts w:ascii="Times New Roman" w:hAnsi="Times New Roman" w:cs="Times New Roman"/>
          <w:b/>
          <w:bCs/>
          <w:lang w:val="uk-UA"/>
        </w:rPr>
        <w:t>7. Документи, що підтверджують повноваження щодо підпису документів тендерної пропозиції та внесення інформації в електронні поля тендерної пропозиції:</w:t>
      </w:r>
    </w:p>
    <w:p w14:paraId="5F8ECF03">
      <w:pPr>
        <w:pBdr>
          <w:top w:val="single" w:color="auto" w:sz="4" w:space="1"/>
          <w:left w:val="single" w:color="auto" w:sz="4" w:space="4"/>
          <w:bottom w:val="single" w:color="auto" w:sz="4" w:space="1"/>
          <w:right w:val="single" w:color="auto" w:sz="4" w:space="4"/>
        </w:pBdr>
        <w:shd w:val="clear" w:color="auto" w:fill="FFFFFF" w:themeFill="background1"/>
        <w:jc w:val="both"/>
        <w:rPr>
          <w:i/>
          <w:iCs/>
          <w:color w:val="000000"/>
          <w:sz w:val="22"/>
          <w:szCs w:val="22"/>
        </w:rPr>
      </w:pPr>
      <w:r>
        <w:rPr>
          <w:i/>
          <w:iCs/>
          <w:color w:val="000000"/>
          <w:sz w:val="22"/>
          <w:szCs w:val="22"/>
        </w:rPr>
        <w:t>- для учасників-юридичних осіб - у разі підписання керівником організації-учасника: а) протокол зборів засновників про призначення директора, президента, голови правління тощо або виписка (витяг) із зазначених документів; б) наказ про призначення керівника або виписка (витяг) із зазначених документів,  у разі підписання іншою особою – доручення (довіреність) керівника учасника та документальне підтвердження статусу та повноважень особи, яка видала доручення (довіреність), щодо видачі доручення (довіреності)) (протокол зборів засновників про призначення директора, президента, голови правління тощо, наказ про призначення керівника або виписка (витяг) із зазначених документів);</w:t>
      </w:r>
    </w:p>
    <w:p w14:paraId="08AB57C4">
      <w:pPr>
        <w:pBdr>
          <w:top w:val="single" w:color="auto" w:sz="4" w:space="1"/>
          <w:left w:val="single" w:color="auto" w:sz="4" w:space="4"/>
          <w:bottom w:val="single" w:color="auto" w:sz="4" w:space="1"/>
          <w:right w:val="single" w:color="auto" w:sz="4" w:space="4"/>
        </w:pBdr>
        <w:shd w:val="clear" w:color="auto" w:fill="FFFFFF" w:themeFill="background1"/>
        <w:jc w:val="both"/>
        <w:rPr>
          <w:i/>
          <w:iCs/>
          <w:color w:val="000000"/>
          <w:sz w:val="22"/>
          <w:szCs w:val="22"/>
        </w:rPr>
      </w:pPr>
      <w:r>
        <w:rPr>
          <w:i/>
          <w:iCs/>
          <w:color w:val="000000"/>
          <w:sz w:val="22"/>
          <w:szCs w:val="22"/>
        </w:rPr>
        <w:t>- для учасників - фізичних осіб-підприємців: не вимагається, а у випадку якщо такий учасник уповноважує на подання тендерної пропозиції іншу особу (представника), у складі тендерної пропозиції  подається довіреність або інший документ,  що підтверджує повноваження такого представника учасника.</w:t>
      </w:r>
    </w:p>
    <w:p w14:paraId="31CD7D60">
      <w:pPr>
        <w:pBdr>
          <w:left w:val="single" w:color="auto" w:sz="4" w:space="4"/>
          <w:bottom w:val="single" w:color="auto" w:sz="4" w:space="1"/>
          <w:right w:val="single" w:color="auto" w:sz="4" w:space="4"/>
        </w:pBdr>
        <w:jc w:val="both"/>
        <w:rPr>
          <w:b/>
          <w:sz w:val="22"/>
          <w:szCs w:val="22"/>
        </w:rPr>
      </w:pPr>
      <w:r>
        <w:rPr>
          <w:b/>
          <w:sz w:val="22"/>
          <w:szCs w:val="22"/>
        </w:rPr>
        <w:t>8. У разі якщо тендерна пропозиція подається об’єднанням учасників, учасник у складі тендерної пропозиції надає документ про створення такого об’єднання;</w:t>
      </w:r>
    </w:p>
    <w:p w14:paraId="7FD6EFA5">
      <w:pPr>
        <w:widowControl w:val="0"/>
        <w:pBdr>
          <w:top w:val="single" w:color="auto" w:sz="4" w:space="1"/>
          <w:left w:val="single" w:color="auto" w:sz="4" w:space="4"/>
          <w:right w:val="single" w:color="auto" w:sz="4" w:space="4"/>
        </w:pBdr>
        <w:ind w:firstLine="9"/>
        <w:jc w:val="both"/>
        <w:rPr>
          <w:b/>
          <w:i/>
          <w:iCs/>
          <w:sz w:val="22"/>
          <w:szCs w:val="22"/>
          <w:u w:val="single"/>
        </w:rPr>
      </w:pPr>
      <w:r>
        <w:rPr>
          <w:b/>
          <w:bCs/>
          <w:sz w:val="22"/>
          <w:szCs w:val="22"/>
        </w:rPr>
        <w:t>9.</w:t>
      </w:r>
      <w:r>
        <w:rPr>
          <w:sz w:val="22"/>
          <w:szCs w:val="22"/>
        </w:rPr>
        <w:t xml:space="preserve"> </w:t>
      </w:r>
      <w:r>
        <w:rPr>
          <w:b/>
          <w:bCs/>
          <w:sz w:val="22"/>
          <w:szCs w:val="22"/>
        </w:rPr>
        <w:t>Проект договору</w:t>
      </w:r>
      <w:r>
        <w:rPr>
          <w:i/>
          <w:iCs/>
          <w:sz w:val="22"/>
          <w:szCs w:val="22"/>
        </w:rPr>
        <w:t xml:space="preserve">, підготовлений у відповідності з </w:t>
      </w:r>
      <w:r>
        <w:rPr>
          <w:b/>
          <w:bCs/>
          <w:i/>
          <w:iCs/>
          <w:sz w:val="22"/>
          <w:szCs w:val="22"/>
        </w:rPr>
        <w:t xml:space="preserve">Додатком </w:t>
      </w:r>
      <w:r>
        <w:rPr>
          <w:rFonts w:hint="default"/>
          <w:b/>
          <w:bCs/>
          <w:i/>
          <w:iCs/>
          <w:sz w:val="22"/>
          <w:szCs w:val="22"/>
          <w:lang w:val="uk-UA"/>
        </w:rPr>
        <w:t>5</w:t>
      </w:r>
      <w:r>
        <w:rPr>
          <w:i/>
          <w:iCs/>
          <w:sz w:val="22"/>
          <w:szCs w:val="22"/>
        </w:rPr>
        <w:t xml:space="preserve"> до тендерної документації, який повинен бути заповнений для сторони учасника, включаючи додатки та специфікації до нього. </w:t>
      </w:r>
      <w:r>
        <w:rPr>
          <w:bCs/>
          <w:i/>
          <w:iCs/>
          <w:sz w:val="22"/>
          <w:szCs w:val="22"/>
        </w:rPr>
        <w:t>При заповнені проекту договору та додатків до договору цінові показники можуть не зазначатися (не заповнюватися);</w:t>
      </w:r>
    </w:p>
    <w:p w14:paraId="3FED3F0B">
      <w:pPr>
        <w:pBdr>
          <w:top w:val="single" w:color="auto" w:sz="4" w:space="1"/>
          <w:left w:val="single" w:color="auto" w:sz="4" w:space="4"/>
          <w:bottom w:val="single" w:color="auto" w:sz="4" w:space="1"/>
          <w:right w:val="single" w:color="auto" w:sz="4" w:space="4"/>
        </w:pBdr>
        <w:ind w:firstLine="9"/>
        <w:jc w:val="both"/>
        <w:textAlignment w:val="baseline"/>
        <w:rPr>
          <w:i/>
          <w:iCs/>
          <w:sz w:val="22"/>
          <w:szCs w:val="22"/>
        </w:rPr>
      </w:pPr>
      <w:r>
        <w:rPr>
          <w:b/>
          <w:bCs/>
          <w:sz w:val="22"/>
          <w:szCs w:val="22"/>
        </w:rPr>
        <w:t>10. Гарантійний лист</w:t>
      </w:r>
      <w:r>
        <w:rPr>
          <w:b/>
          <w:bCs/>
          <w:i/>
          <w:iCs/>
          <w:sz w:val="22"/>
          <w:szCs w:val="22"/>
        </w:rPr>
        <w:t>,</w:t>
      </w:r>
      <w:r>
        <w:rPr>
          <w:i/>
          <w:iCs/>
          <w:sz w:val="22"/>
          <w:szCs w:val="22"/>
        </w:rPr>
        <w:t xml:space="preserve"> яким учасник підтверджує, що учасник, засновник(и) учасника, кінцевий(і) бенефеціар(и) учасника, </w:t>
      </w:r>
      <w:r>
        <w:rPr>
          <w:i/>
          <w:iCs/>
          <w:sz w:val="22"/>
          <w:szCs w:val="22"/>
          <w:lang w:bidi="ru-RU"/>
        </w:rPr>
        <w:t xml:space="preserve">член або учасник </w:t>
      </w:r>
      <w:r>
        <w:rPr>
          <w:i/>
          <w:iCs/>
          <w:sz w:val="22"/>
          <w:szCs w:val="22"/>
          <w:lang w:eastAsia="uk-UA" w:bidi="uk-UA"/>
        </w:rPr>
        <w:t xml:space="preserve">(акціонер) юридичної </w:t>
      </w:r>
      <w:r>
        <w:rPr>
          <w:i/>
          <w:iCs/>
          <w:sz w:val="22"/>
          <w:szCs w:val="22"/>
          <w:lang w:bidi="ru-RU"/>
        </w:rPr>
        <w:t xml:space="preserve">особи - учасника процедури </w:t>
      </w:r>
      <w:r>
        <w:rPr>
          <w:i/>
          <w:iCs/>
          <w:sz w:val="22"/>
          <w:szCs w:val="22"/>
          <w:lang w:eastAsia="uk-UA" w:bidi="uk-UA"/>
        </w:rPr>
        <w:t>закупівлі,</w:t>
      </w:r>
      <w:r>
        <w:rPr>
          <w:i/>
          <w:iCs/>
          <w:sz w:val="22"/>
          <w:szCs w:val="22"/>
        </w:rPr>
        <w:t xml:space="preserve"> предмет закупівлі, запропонований на торги, </w:t>
      </w:r>
      <w:r>
        <w:rPr>
          <w:b/>
          <w:bCs/>
          <w:i/>
          <w:iCs/>
          <w:sz w:val="22"/>
          <w:szCs w:val="22"/>
        </w:rPr>
        <w:t>не перебувають</w:t>
      </w:r>
      <w:r>
        <w:rPr>
          <w:i/>
          <w:iCs/>
          <w:sz w:val="22"/>
          <w:szCs w:val="22"/>
        </w:rPr>
        <w:t xml:space="preserve"> під дією спеціальних економічних та/або інших обмежувальних заходів (санкцій) та/або спеціальних санкцій за порушення законодавства про зовнішньоекономічну діяльність, а також будь-яких інших обставин та заходів нормативного, адміністративного чи іншого характеру, що перешкоджають укладенню та/або виконанню договору про закупівлю, передбачених, зокрема, але не виключно, Законом України «Про санкції», Законом України «Про запобігання та протидію легалізації (відмиванню) доходів, одержаних злочинним шляхом, фінансуванню тероризму та фінансуванню розповсюдження зброї масового знищення», постановою Кабінету Міністрів від 07.11.2014р. №595 «Деякі питання фінансування бюджетних установ, здійснення соціальних виплат населенню та надання фінансової підтримки окремим підприємствам і організаціям Донецької та Луганської областей, а також інших платежів з рахунків, відкритих в органах Казначейства», постановою Кабінету Міністрів України від 30.12.2015 №1147 «Про заборону ввезення на митну територію України товарів, що походять з Російської Федерації», постановою Кабінету Міністрів України від 09.04.2022 №426 «Про застосування заборони ввезення товарів з Російської Федерації»;</w:t>
      </w:r>
    </w:p>
    <w:p w14:paraId="4A6FCBD4">
      <w:pPr>
        <w:pBdr>
          <w:left w:val="single" w:color="auto" w:sz="4" w:space="4"/>
          <w:bottom w:val="single" w:color="auto" w:sz="4" w:space="1"/>
          <w:right w:val="single" w:color="auto" w:sz="4" w:space="4"/>
        </w:pBdr>
        <w:ind w:firstLine="9"/>
        <w:jc w:val="both"/>
        <w:textAlignment w:val="baseline"/>
        <w:rPr>
          <w:rStyle w:val="11"/>
        </w:rPr>
      </w:pPr>
      <w:r>
        <w:rPr>
          <w:rStyle w:val="11"/>
          <w:b/>
          <w:bCs/>
          <w:sz w:val="22"/>
          <w:szCs w:val="22"/>
        </w:rPr>
        <w:t>11.</w:t>
      </w:r>
      <w:r>
        <w:rPr>
          <w:rStyle w:val="11"/>
          <w:sz w:val="22"/>
          <w:szCs w:val="22"/>
        </w:rPr>
        <w:t xml:space="preserve"> </w:t>
      </w:r>
      <w:r>
        <w:rPr>
          <w:rStyle w:val="11"/>
          <w:i/>
          <w:iCs/>
          <w:sz w:val="22"/>
          <w:szCs w:val="22"/>
        </w:rPr>
        <w:t xml:space="preserve">На виконання вимоги абзацу восьмого підпункту 1 пункту 44 Особливостей </w:t>
      </w:r>
      <w:r>
        <w:rPr>
          <w:rStyle w:val="11"/>
          <w:b/>
          <w:bCs/>
          <w:i/>
          <w:iCs/>
          <w:sz w:val="22"/>
          <w:szCs w:val="22"/>
        </w:rPr>
        <w:t>у разі якщо учасник, є громадянином Російської Федерації / Республіки Білорусь / Ісламської Республіки Іран або юридичною особою, в якій кінцевим бенефіціарним власником, членом або учасником (акціонером), що має частку у статутному капіталі 10 і більше відсотків, є громадянин Російської Федерації / Республіки Білорусь / Ісламської Республіки Іран</w:t>
      </w:r>
      <w:r>
        <w:rPr>
          <w:rStyle w:val="11"/>
          <w:i/>
          <w:iCs/>
          <w:sz w:val="22"/>
          <w:szCs w:val="22"/>
        </w:rPr>
        <w:t xml:space="preserve">, він надає у складі тендерної пропозиції один із документів, що підтверджує проживання на території України такою особою на законних підставах, відповідно до статті 1 Закону України «Про громадянство України», а саме: </w:t>
      </w:r>
    </w:p>
    <w:p w14:paraId="3EB0026A">
      <w:pPr>
        <w:pBdr>
          <w:left w:val="single" w:color="auto" w:sz="4" w:space="4"/>
          <w:bottom w:val="single" w:color="auto" w:sz="4" w:space="1"/>
          <w:right w:val="single" w:color="auto" w:sz="4" w:space="4"/>
        </w:pBdr>
        <w:ind w:firstLine="9"/>
        <w:jc w:val="both"/>
        <w:textAlignment w:val="baseline"/>
        <w:rPr>
          <w:rStyle w:val="11"/>
          <w:i/>
          <w:iCs/>
          <w:sz w:val="22"/>
          <w:szCs w:val="22"/>
        </w:rPr>
      </w:pPr>
      <w:r>
        <w:rPr>
          <w:rStyle w:val="11"/>
          <w:i/>
          <w:iCs/>
          <w:sz w:val="22"/>
          <w:szCs w:val="22"/>
        </w:rPr>
        <w:t>- паспорт громадянина колишнього СРСР зразка 1974 року, де міститься відмітка про постійну чи тимчасову прописку на території України; реєстрація на території України такою особою свого національного паспорту; посвідка на постійне чи тимчасове проживання на території України;</w:t>
      </w:r>
    </w:p>
    <w:p w14:paraId="6D3F848C">
      <w:pPr>
        <w:pBdr>
          <w:left w:val="single" w:color="auto" w:sz="4" w:space="4"/>
          <w:bottom w:val="single" w:color="auto" w:sz="4" w:space="1"/>
          <w:right w:val="single" w:color="auto" w:sz="4" w:space="4"/>
        </w:pBdr>
        <w:ind w:firstLine="9"/>
        <w:jc w:val="both"/>
        <w:textAlignment w:val="baseline"/>
        <w:rPr>
          <w:rStyle w:val="11"/>
          <w:i/>
          <w:iCs/>
          <w:sz w:val="22"/>
          <w:szCs w:val="22"/>
        </w:rPr>
      </w:pPr>
      <w:r>
        <w:rPr>
          <w:rStyle w:val="11"/>
          <w:i/>
          <w:iCs/>
          <w:sz w:val="22"/>
          <w:szCs w:val="22"/>
        </w:rPr>
        <w:t xml:space="preserve">- військовий квиток, виданий такій особі, яка в установленому порядку уклала контракт про проходження військової служби у Збройних Силах України, Державній спеціальній службі транспорту або Національній гвардії України; </w:t>
      </w:r>
    </w:p>
    <w:p w14:paraId="522E3778">
      <w:pPr>
        <w:pBdr>
          <w:left w:val="single" w:color="auto" w:sz="4" w:space="4"/>
          <w:bottom w:val="single" w:color="auto" w:sz="4" w:space="1"/>
          <w:right w:val="single" w:color="auto" w:sz="4" w:space="4"/>
        </w:pBdr>
        <w:ind w:firstLine="9"/>
        <w:jc w:val="both"/>
        <w:textAlignment w:val="baseline"/>
        <w:rPr>
          <w:rStyle w:val="11"/>
          <w:i/>
          <w:iCs/>
          <w:sz w:val="22"/>
          <w:szCs w:val="22"/>
        </w:rPr>
      </w:pPr>
      <w:r>
        <w:rPr>
          <w:rStyle w:val="11"/>
          <w:i/>
          <w:iCs/>
          <w:sz w:val="22"/>
          <w:szCs w:val="22"/>
        </w:rPr>
        <w:t xml:space="preserve">- посвідчення біженця чи документ, що підтверджує надання притулку в Україні. </w:t>
      </w:r>
    </w:p>
    <w:p w14:paraId="49F98C18">
      <w:pPr>
        <w:pBdr>
          <w:left w:val="single" w:color="auto" w:sz="4" w:space="4"/>
          <w:bottom w:val="single" w:color="auto" w:sz="4" w:space="1"/>
          <w:right w:val="single" w:color="auto" w:sz="4" w:space="4"/>
        </w:pBdr>
        <w:ind w:firstLine="9"/>
        <w:jc w:val="both"/>
        <w:textAlignment w:val="baseline"/>
        <w:rPr>
          <w:rStyle w:val="11"/>
          <w:i/>
          <w:iCs/>
          <w:sz w:val="22"/>
          <w:szCs w:val="22"/>
        </w:rPr>
      </w:pPr>
      <w:r>
        <w:rPr>
          <w:rStyle w:val="11"/>
          <w:i/>
          <w:iCs/>
          <w:sz w:val="22"/>
          <w:szCs w:val="22"/>
        </w:rPr>
        <w:t xml:space="preserve">     Учасник —  юридична особа, яка утворена та зареєстрована відповідно до законодавства України, в якій кінцевим бенефіціарним власником, членом або учасником (акціонером), є громадянин Російської Федерації / Республіки Білорусь / Ісламської Республіки Іран, активи якого в установленому законодавством порядку передані в управління АРМА, надає документ, який підтверджує передання цих активів.</w:t>
      </w:r>
    </w:p>
    <w:p w14:paraId="4ADDE221">
      <w:pPr>
        <w:pBdr>
          <w:top w:val="single" w:color="auto" w:sz="4" w:space="1"/>
          <w:left w:val="single" w:color="auto" w:sz="4" w:space="4"/>
          <w:bottom w:val="single" w:color="auto" w:sz="4" w:space="1"/>
          <w:right w:val="single" w:color="auto" w:sz="4" w:space="4"/>
        </w:pBdr>
        <w:ind w:firstLine="9"/>
        <w:jc w:val="both"/>
        <w:textAlignment w:val="baseline"/>
        <w:rPr>
          <w:b/>
          <w:bCs/>
          <w:color w:val="000000"/>
        </w:rPr>
      </w:pPr>
      <w:r>
        <w:rPr>
          <w:b/>
          <w:bCs/>
          <w:sz w:val="22"/>
          <w:szCs w:val="22"/>
        </w:rPr>
        <w:t>12.</w:t>
      </w:r>
      <w:r>
        <w:rPr>
          <w:i/>
          <w:iCs/>
          <w:sz w:val="22"/>
          <w:szCs w:val="22"/>
          <w:lang w:eastAsia="uk-UA"/>
        </w:rPr>
        <w:t xml:space="preserve"> </w:t>
      </w:r>
      <w:r>
        <w:rPr>
          <w:i/>
          <w:iCs/>
          <w:color w:val="000000"/>
          <w:sz w:val="22"/>
          <w:szCs w:val="22"/>
        </w:rPr>
        <w:t xml:space="preserve">  На виконання пункту 2 постанови КМУ від 12 жовтня 2022 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учасник у складі тендерної пропозиції повинен надати </w:t>
      </w:r>
      <w:r>
        <w:rPr>
          <w:b/>
          <w:bCs/>
          <w:color w:val="000000"/>
          <w:sz w:val="22"/>
          <w:szCs w:val="22"/>
        </w:rPr>
        <w:t>гарантійний лист про те, що товар який запропонований на торги не походить з Російської Федерації/Республіки Білорусь/Ісламської Республіки Іран.</w:t>
      </w:r>
    </w:p>
    <w:p w14:paraId="6728CB49"/>
    <w:p w14:paraId="60D88763"/>
    <w:sectPr>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999731A"/>
    <w:multiLevelType w:val="multilevel"/>
    <w:tmpl w:val="3999731A"/>
    <w:lvl w:ilvl="0" w:tentative="0">
      <w:start w:val="4"/>
      <w:numFmt w:val="bullet"/>
      <w:lvlText w:val="-"/>
      <w:lvlJc w:val="left"/>
      <w:pPr>
        <w:ind w:left="369" w:hanging="360"/>
      </w:pPr>
      <w:rPr>
        <w:rFonts w:hint="default" w:ascii="Times New Roman" w:hAnsi="Times New Roman" w:eastAsia="Arial"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2"/>
  </w:compat>
  <w:rsids>
    <w:rsidRoot w:val="002914EC"/>
    <w:rsid w:val="002914EC"/>
    <w:rsid w:val="00697FEE"/>
    <w:rsid w:val="006C32B4"/>
    <w:rsid w:val="00891A34"/>
    <w:rsid w:val="0094248F"/>
    <w:rsid w:val="00A223F2"/>
    <w:rsid w:val="00A241CD"/>
    <w:rsid w:val="0E5E3D0B"/>
    <w:rsid w:val="1D4F502C"/>
    <w:rsid w:val="2D08459D"/>
    <w:rsid w:val="33996754"/>
    <w:rsid w:val="36105E36"/>
    <w:rsid w:val="3C995F49"/>
    <w:rsid w:val="6C04256B"/>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qFormat="1"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uk-UA" w:eastAsia="ru-RU"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ody Text Indent 3"/>
    <w:basedOn w:val="1"/>
    <w:link w:val="8"/>
    <w:semiHidden/>
    <w:unhideWhenUsed/>
    <w:qFormat/>
    <w:uiPriority w:val="99"/>
    <w:pPr>
      <w:spacing w:after="120"/>
      <w:ind w:left="283"/>
    </w:pPr>
    <w:rPr>
      <w:sz w:val="16"/>
      <w:szCs w:val="16"/>
    </w:rPr>
  </w:style>
  <w:style w:type="character" w:styleId="5">
    <w:name w:val="Emphasis"/>
    <w:basedOn w:val="2"/>
    <w:qFormat/>
    <w:uiPriority w:val="20"/>
    <w:rPr>
      <w:i/>
      <w:iCs/>
    </w:rPr>
  </w:style>
  <w:style w:type="paragraph" w:styleId="6">
    <w:name w:val="Normal (Web)"/>
    <w:basedOn w:val="1"/>
    <w:qFormat/>
    <w:uiPriority w:val="99"/>
    <w:pPr>
      <w:spacing w:before="100" w:beforeAutospacing="1" w:after="100" w:afterAutospacing="1"/>
    </w:pPr>
    <w:rPr>
      <w:lang w:val="ru-RU"/>
    </w:rPr>
  </w:style>
  <w:style w:type="character" w:styleId="7">
    <w:name w:val="Strong"/>
    <w:basedOn w:val="2"/>
    <w:qFormat/>
    <w:uiPriority w:val="22"/>
    <w:rPr>
      <w:b/>
      <w:bCs/>
    </w:rPr>
  </w:style>
  <w:style w:type="character" w:customStyle="1" w:styleId="8">
    <w:name w:val="Основний текст з відступом 3 Знак"/>
    <w:basedOn w:val="2"/>
    <w:link w:val="4"/>
    <w:semiHidden/>
    <w:qFormat/>
    <w:uiPriority w:val="99"/>
    <w:rPr>
      <w:rFonts w:ascii="Times New Roman" w:hAnsi="Times New Roman" w:eastAsia="Times New Roman" w:cs="Times New Roman"/>
      <w:sz w:val="16"/>
      <w:szCs w:val="16"/>
      <w:lang w:val="uk-UA" w:eastAsia="ru-RU"/>
    </w:rPr>
  </w:style>
  <w:style w:type="paragraph" w:customStyle="1" w:styleId="9">
    <w:name w:val="LO-normal"/>
    <w:qFormat/>
    <w:uiPriority w:val="0"/>
    <w:pPr>
      <w:spacing w:after="0" w:line="276" w:lineRule="auto"/>
    </w:pPr>
    <w:rPr>
      <w:rFonts w:ascii="Arial" w:hAnsi="Arial" w:eastAsia="Arial" w:cs="Arial"/>
      <w:color w:val="000000"/>
      <w:sz w:val="22"/>
      <w:szCs w:val="22"/>
      <w:lang w:val="ru-RU" w:eastAsia="zh-CN" w:bidi="ar-SA"/>
    </w:rPr>
  </w:style>
  <w:style w:type="paragraph" w:customStyle="1" w:styleId="10">
    <w:name w:val="Table Paragraph"/>
    <w:basedOn w:val="1"/>
    <w:qFormat/>
    <w:uiPriority w:val="1"/>
    <w:pPr>
      <w:widowControl w:val="0"/>
      <w:autoSpaceDE w:val="0"/>
      <w:autoSpaceDN w:val="0"/>
      <w:ind w:left="107"/>
    </w:pPr>
    <w:rPr>
      <w:sz w:val="22"/>
      <w:szCs w:val="22"/>
    </w:rPr>
  </w:style>
  <w:style w:type="character" w:customStyle="1" w:styleId="11">
    <w:name w:val="rvts23"/>
    <w:basedOn w:val="2"/>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1</Company>
  <Pages>3</Pages>
  <Words>7015</Words>
  <Characters>3999</Characters>
  <Lines>33</Lines>
  <Paragraphs>21</Paragraphs>
  <TotalTime>5</TotalTime>
  <ScaleCrop>false</ScaleCrop>
  <LinksUpToDate>false</LinksUpToDate>
  <CharactersWithSpaces>10993</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2026-03-30T13:46:00Z</dcterms:created>
  <dc:creator>1</dc:creator>
  <cp:lastModifiedBy>2023</cp:lastModifiedBy>
  <dcterms:modified xsi:type="dcterms:W3CDTF">2026-05-20T09:46:20Z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3CEB9D768D2445C7B26EE4F23DADA5B0_12</vt:lpwstr>
  </property>
</Properties>
</file>