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A2A7B">
      <w:pPr>
        <w:pStyle w:val="16"/>
        <w:shd w:val="clear" w:color="auto" w:fill="FFFFFF"/>
        <w:rPr>
          <w:rFonts w:ascii="Times New Roman" w:hAnsi="Times New Roman"/>
          <w:bCs/>
          <w:snapToGrid/>
          <w:sz w:val="24"/>
          <w:szCs w:val="24"/>
          <w:highlight w:val="none"/>
        </w:rPr>
      </w:pPr>
      <w:r>
        <w:rPr>
          <w:rFonts w:ascii="Times New Roman" w:hAnsi="Times New Roman"/>
          <w:bCs/>
          <w:snapToGrid/>
          <w:sz w:val="24"/>
          <w:szCs w:val="24"/>
          <w:highlight w:val="none"/>
        </w:rPr>
        <w:t>КОМУНАЛЬНЕ НЕКОМЕРЦІЙНЕ ПІДПРИЄМСТВО “ДАШІВСЬКА МІСЬКА ЛІКАРНЯ” ДАШІВСЬКОЇ СЕЛИЩНОЇ РАДИ</w:t>
      </w:r>
    </w:p>
    <w:p w14:paraId="4FFC62A9">
      <w:pPr>
        <w:pStyle w:val="16"/>
        <w:shd w:val="clear" w:color="auto" w:fill="FFFFFF"/>
        <w:ind w:left="0"/>
        <w:rPr>
          <w:rFonts w:ascii="Times New Roman" w:hAnsi="Times New Roman" w:cs="Times New Roman"/>
          <w:sz w:val="20"/>
          <w:highlight w:val="yellow"/>
        </w:rPr>
      </w:pPr>
    </w:p>
    <w:tbl>
      <w:tblPr>
        <w:tblStyle w:val="5"/>
        <w:tblW w:w="99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8"/>
        <w:gridCol w:w="6500"/>
      </w:tblGrid>
      <w:tr w14:paraId="14D3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3498" w:type="dxa"/>
            <w:tcBorders>
              <w:top w:val="nil"/>
              <w:left w:val="nil"/>
              <w:bottom w:val="nil"/>
              <w:right w:val="nil"/>
            </w:tcBorders>
          </w:tcPr>
          <w:p w14:paraId="2061CD28">
            <w:pPr>
              <w:shd w:val="clear" w:color="auto" w:fill="FFFFFF"/>
              <w:spacing w:after="0" w:line="240" w:lineRule="auto"/>
              <w:jc w:val="center"/>
              <w:rPr>
                <w:rFonts w:ascii="Times New Roman" w:hAnsi="Times New Roman" w:cs="Times New Roman"/>
                <w:b/>
                <w:sz w:val="23"/>
                <w:szCs w:val="23"/>
                <w:highlight w:val="yellow"/>
                <w:lang w:val="uk-UA"/>
              </w:rPr>
            </w:pPr>
          </w:p>
        </w:tc>
        <w:tc>
          <w:tcPr>
            <w:tcW w:w="6500" w:type="dxa"/>
            <w:tcBorders>
              <w:top w:val="nil"/>
              <w:left w:val="nil"/>
              <w:bottom w:val="nil"/>
              <w:right w:val="nil"/>
            </w:tcBorders>
          </w:tcPr>
          <w:p w14:paraId="63083040">
            <w:pPr>
              <w:pStyle w:val="19"/>
              <w:shd w:val="clear" w:color="auto" w:fill="FFFFFF"/>
              <w:jc w:val="right"/>
              <w:rPr>
                <w:rFonts w:ascii="Times New Roman" w:hAnsi="Times New Roman"/>
                <w:b/>
                <w:sz w:val="26"/>
                <w:szCs w:val="26"/>
                <w:highlight w:val="yellow"/>
              </w:rPr>
            </w:pPr>
          </w:p>
          <w:p w14:paraId="66BDBFCA">
            <w:pPr>
              <w:pStyle w:val="19"/>
              <w:shd w:val="clear" w:color="auto" w:fill="FFFFFF"/>
              <w:jc w:val="right"/>
              <w:rPr>
                <w:rFonts w:ascii="Times New Roman" w:hAnsi="Times New Roman"/>
                <w:b/>
                <w:sz w:val="24"/>
                <w:szCs w:val="24"/>
                <w:highlight w:val="none"/>
              </w:rPr>
            </w:pPr>
            <w:r>
              <w:rPr>
                <w:rFonts w:ascii="Times New Roman" w:hAnsi="Times New Roman"/>
                <w:b/>
                <w:sz w:val="26"/>
                <w:szCs w:val="26"/>
                <w:highlight w:val="none"/>
              </w:rPr>
              <w:t>«</w:t>
            </w:r>
            <w:r>
              <w:rPr>
                <w:rFonts w:ascii="Times New Roman" w:hAnsi="Times New Roman"/>
                <w:b/>
                <w:sz w:val="24"/>
                <w:szCs w:val="24"/>
                <w:highlight w:val="none"/>
              </w:rPr>
              <w:t>ЗАТВЕРДЖЕНО»</w:t>
            </w:r>
          </w:p>
          <w:p w14:paraId="187390D6">
            <w:pPr>
              <w:pStyle w:val="19"/>
              <w:shd w:val="clear" w:color="auto" w:fill="FFFFFF"/>
              <w:jc w:val="right"/>
              <w:rPr>
                <w:rFonts w:ascii="Times New Roman" w:hAnsi="Times New Roman"/>
                <w:b/>
                <w:i/>
                <w:sz w:val="24"/>
                <w:szCs w:val="24"/>
                <w:highlight w:val="none"/>
              </w:rPr>
            </w:pPr>
            <w:r>
              <w:rPr>
                <w:rFonts w:ascii="Times New Roman" w:hAnsi="Times New Roman"/>
                <w:b/>
                <w:i/>
                <w:sz w:val="24"/>
                <w:szCs w:val="24"/>
                <w:highlight w:val="none"/>
              </w:rPr>
              <w:t xml:space="preserve"> «</w:t>
            </w:r>
            <w:r>
              <w:rPr>
                <w:rFonts w:hint="default" w:ascii="Times New Roman" w:hAnsi="Times New Roman"/>
                <w:b/>
                <w:i/>
                <w:sz w:val="24"/>
                <w:szCs w:val="24"/>
                <w:highlight w:val="none"/>
                <w:lang w:val="uk-UA"/>
              </w:rPr>
              <w:t>28</w:t>
            </w:r>
            <w:r>
              <w:rPr>
                <w:rFonts w:ascii="Times New Roman" w:hAnsi="Times New Roman"/>
                <w:b/>
                <w:i/>
                <w:sz w:val="24"/>
                <w:szCs w:val="24"/>
                <w:highlight w:val="none"/>
              </w:rPr>
              <w:t xml:space="preserve">» </w:t>
            </w:r>
            <w:r>
              <w:rPr>
                <w:rFonts w:ascii="Times New Roman" w:hAnsi="Times New Roman"/>
                <w:b/>
                <w:i/>
                <w:sz w:val="24"/>
                <w:szCs w:val="24"/>
                <w:highlight w:val="none"/>
                <w:lang w:val="uk-UA"/>
              </w:rPr>
              <w:t>травня</w:t>
            </w:r>
            <w:r>
              <w:rPr>
                <w:rFonts w:ascii="Times New Roman" w:hAnsi="Times New Roman"/>
                <w:b/>
                <w:i/>
                <w:sz w:val="24"/>
                <w:szCs w:val="24"/>
                <w:highlight w:val="none"/>
              </w:rPr>
              <w:t xml:space="preserve"> 2026 р.</w:t>
            </w:r>
          </w:p>
          <w:p w14:paraId="0469269B">
            <w:pPr>
              <w:pStyle w:val="12"/>
              <w:shd w:val="clear" w:color="auto" w:fill="FFFFFF"/>
              <w:spacing w:line="240" w:lineRule="auto"/>
              <w:jc w:val="right"/>
              <w:rPr>
                <w:i/>
                <w:color w:val="000000"/>
                <w:sz w:val="23"/>
                <w:szCs w:val="23"/>
                <w:highlight w:val="none"/>
                <w:lang w:val="uk-UA"/>
              </w:rPr>
            </w:pPr>
            <w:r>
              <w:rPr>
                <w:i/>
                <w:color w:val="000000"/>
                <w:sz w:val="23"/>
                <w:szCs w:val="23"/>
                <w:highlight w:val="none"/>
                <w:lang w:val="uk-UA"/>
              </w:rPr>
              <w:t>рішенням уповноваженої особи</w:t>
            </w:r>
          </w:p>
          <w:p w14:paraId="24881D2A">
            <w:pPr>
              <w:pStyle w:val="12"/>
              <w:shd w:val="clear" w:color="auto" w:fill="FFFFFF"/>
              <w:spacing w:line="240" w:lineRule="auto"/>
              <w:jc w:val="right"/>
              <w:rPr>
                <w:i/>
                <w:color w:val="000000"/>
                <w:sz w:val="23"/>
                <w:szCs w:val="23"/>
                <w:highlight w:val="yellow"/>
                <w:lang w:val="uk-UA"/>
              </w:rPr>
            </w:pPr>
          </w:p>
        </w:tc>
      </w:tr>
    </w:tbl>
    <w:p w14:paraId="12476642">
      <w:pPr>
        <w:shd w:val="clear" w:color="auto" w:fill="FFFFFF"/>
        <w:spacing w:after="0" w:line="240" w:lineRule="auto"/>
        <w:jc w:val="center"/>
        <w:rPr>
          <w:rFonts w:ascii="Times New Roman" w:hAnsi="Times New Roman" w:cs="Times New Roman"/>
          <w:sz w:val="23"/>
          <w:szCs w:val="23"/>
          <w:lang w:val="uk-UA"/>
        </w:rPr>
      </w:pPr>
    </w:p>
    <w:p w14:paraId="582A9B30">
      <w:pPr>
        <w:shd w:val="clear" w:color="auto" w:fill="FFFFFF"/>
        <w:spacing w:after="0" w:line="240" w:lineRule="auto"/>
        <w:jc w:val="center"/>
        <w:rPr>
          <w:rFonts w:ascii="Times New Roman" w:hAnsi="Times New Roman" w:cs="Times New Roman"/>
          <w:sz w:val="23"/>
          <w:szCs w:val="23"/>
          <w:lang w:val="uk-UA"/>
        </w:rPr>
      </w:pPr>
    </w:p>
    <w:p w14:paraId="75905687">
      <w:pPr>
        <w:shd w:val="clear" w:color="auto" w:fill="FFFFFF"/>
        <w:spacing w:after="0" w:line="240" w:lineRule="auto"/>
        <w:jc w:val="center"/>
        <w:rPr>
          <w:rFonts w:ascii="Times New Roman" w:hAnsi="Times New Roman" w:cs="Times New Roman"/>
          <w:sz w:val="23"/>
          <w:szCs w:val="23"/>
          <w:lang w:val="uk-UA"/>
        </w:rPr>
      </w:pPr>
    </w:p>
    <w:p w14:paraId="3D546DEE">
      <w:pPr>
        <w:shd w:val="clear" w:color="auto" w:fill="FFFFFF"/>
        <w:spacing w:after="0" w:line="240" w:lineRule="auto"/>
        <w:jc w:val="center"/>
        <w:rPr>
          <w:rFonts w:ascii="Times New Roman" w:hAnsi="Times New Roman" w:cs="Times New Roman"/>
          <w:sz w:val="23"/>
          <w:szCs w:val="23"/>
          <w:lang w:val="uk-UA"/>
        </w:rPr>
      </w:pPr>
    </w:p>
    <w:tbl>
      <w:tblPr>
        <w:tblStyle w:val="5"/>
        <w:tblW w:w="0" w:type="auto"/>
        <w:jc w:val="center"/>
        <w:tblLayout w:type="fixed"/>
        <w:tblCellMar>
          <w:top w:w="0" w:type="dxa"/>
          <w:left w:w="108" w:type="dxa"/>
          <w:bottom w:w="0" w:type="dxa"/>
          <w:right w:w="108" w:type="dxa"/>
        </w:tblCellMar>
      </w:tblPr>
      <w:tblGrid>
        <w:gridCol w:w="9732"/>
      </w:tblGrid>
      <w:tr w14:paraId="759A5B27">
        <w:tblPrEx>
          <w:tblCellMar>
            <w:top w:w="0" w:type="dxa"/>
            <w:left w:w="108" w:type="dxa"/>
            <w:bottom w:w="0" w:type="dxa"/>
            <w:right w:w="108" w:type="dxa"/>
          </w:tblCellMar>
        </w:tblPrEx>
        <w:trPr>
          <w:jc w:val="center"/>
        </w:trPr>
        <w:tc>
          <w:tcPr>
            <w:tcW w:w="9732" w:type="dxa"/>
            <w:shd w:val="clear" w:color="auto" w:fill="auto"/>
          </w:tcPr>
          <w:p w14:paraId="6B0A2B16">
            <w:pPr>
              <w:pStyle w:val="3"/>
              <w:shd w:val="clear" w:color="auto" w:fill="FFFFFF"/>
              <w:spacing w:before="0"/>
              <w:rPr>
                <w:sz w:val="48"/>
                <w:szCs w:val="48"/>
              </w:rPr>
            </w:pPr>
          </w:p>
          <w:p w14:paraId="0023CCDA">
            <w:pPr>
              <w:pStyle w:val="3"/>
              <w:shd w:val="clear" w:color="auto" w:fill="FFFFFF"/>
              <w:spacing w:before="0"/>
              <w:rPr>
                <w:sz w:val="48"/>
                <w:szCs w:val="48"/>
              </w:rPr>
            </w:pPr>
            <w:r>
              <w:rPr>
                <w:sz w:val="48"/>
                <w:szCs w:val="48"/>
              </w:rPr>
              <w:t>ТЕНДЕРНА ДОКУМЕНТАЦІЯ</w:t>
            </w:r>
          </w:p>
          <w:p w14:paraId="4223601C">
            <w:pPr>
              <w:jc w:val="center"/>
              <w:rPr>
                <w:lang w:val="uk-UA"/>
              </w:rPr>
            </w:pPr>
          </w:p>
          <w:p w14:paraId="7876835C">
            <w:pPr>
              <w:shd w:val="clear" w:color="auto" w:fill="FFFFFF"/>
              <w:spacing w:after="0" w:line="240" w:lineRule="auto"/>
              <w:rPr>
                <w:rFonts w:ascii="Times New Roman" w:hAnsi="Times New Roman" w:cs="Times New Roman"/>
                <w:sz w:val="16"/>
                <w:szCs w:val="16"/>
                <w:lang w:val="uk-UA"/>
              </w:rPr>
            </w:pPr>
          </w:p>
        </w:tc>
      </w:tr>
      <w:tr w14:paraId="6CD43FB9">
        <w:tblPrEx>
          <w:tblCellMar>
            <w:top w:w="0" w:type="dxa"/>
            <w:left w:w="108" w:type="dxa"/>
            <w:bottom w:w="0" w:type="dxa"/>
            <w:right w:w="108" w:type="dxa"/>
          </w:tblCellMar>
        </w:tblPrEx>
        <w:trPr>
          <w:jc w:val="center"/>
        </w:trPr>
        <w:tc>
          <w:tcPr>
            <w:tcW w:w="9732" w:type="dxa"/>
            <w:shd w:val="clear" w:color="auto" w:fill="auto"/>
          </w:tcPr>
          <w:p w14:paraId="3DA7E3A0">
            <w:pPr>
              <w:pStyle w:val="3"/>
              <w:shd w:val="clear" w:color="auto" w:fill="FFFFFF"/>
              <w:spacing w:before="0"/>
              <w:rPr>
                <w:sz w:val="24"/>
                <w:szCs w:val="24"/>
              </w:rPr>
            </w:pPr>
            <w:r>
              <w:rPr>
                <w:sz w:val="24"/>
                <w:szCs w:val="24"/>
              </w:rPr>
              <w:t>на закупівлю по предмету:</w:t>
            </w:r>
          </w:p>
        </w:tc>
      </w:tr>
    </w:tbl>
    <w:p w14:paraId="259D8ACE">
      <w:pPr>
        <w:shd w:val="clear" w:color="auto" w:fill="FFFFFF"/>
        <w:spacing w:after="0" w:line="240" w:lineRule="auto"/>
        <w:rPr>
          <w:rFonts w:ascii="Times New Roman" w:hAnsi="Times New Roman" w:cs="Times New Roman"/>
          <w:lang w:val="uk-UA"/>
        </w:rPr>
      </w:pPr>
    </w:p>
    <w:p w14:paraId="27E2B836">
      <w:pPr>
        <w:spacing w:after="0" w:line="240" w:lineRule="auto"/>
        <w:jc w:val="center"/>
        <w:rPr>
          <w:rFonts w:ascii="Times New Roman" w:hAnsi="Times New Roman" w:eastAsia="Times New Roman"/>
          <w:b/>
          <w:sz w:val="24"/>
          <w:szCs w:val="24"/>
          <w:lang w:val="uk-UA"/>
        </w:rPr>
      </w:pPr>
    </w:p>
    <w:p w14:paraId="7B4A54F5">
      <w:pPr>
        <w:shd w:val="clear" w:color="auto" w:fill="FFFFFF"/>
        <w:spacing w:after="0" w:line="240" w:lineRule="auto"/>
        <w:jc w:val="center"/>
        <w:outlineLvl w:val="0"/>
        <w:rPr>
          <w:rFonts w:ascii="Times New Roman" w:hAnsi="Times New Roman" w:cs="Times New Roman"/>
          <w:b/>
          <w:sz w:val="28"/>
          <w:highlight w:val="yellow"/>
          <w:lang w:val="uk-UA"/>
        </w:rPr>
      </w:pPr>
      <w:r>
        <w:rPr>
          <w:rFonts w:hint="default" w:ascii="Times New Roman" w:hAnsi="Times New Roman"/>
          <w:i w:val="0"/>
          <w:iCs w:val="0"/>
          <w:caps w:val="0"/>
          <w:color w:val="000000"/>
          <w:spacing w:val="0"/>
          <w:sz w:val="28"/>
          <w:szCs w:val="28"/>
        </w:rPr>
        <w:t>“Сонячна гібридна електростанція з урахуванням витрат на встановлення та пусконалагодження” код  ДК 021:2015: 09330000-1 “Сонячна енергія”</w:t>
      </w:r>
    </w:p>
    <w:p w14:paraId="01EDB77D">
      <w:pPr>
        <w:jc w:val="center"/>
        <w:rPr>
          <w:rFonts w:ascii="Times New Roman" w:hAnsi="Times New Roman"/>
          <w:b/>
          <w:bCs/>
          <w:sz w:val="24"/>
          <w:szCs w:val="24"/>
          <w:highlight w:val="yellow"/>
          <w:lang w:val="uk-UA"/>
        </w:rPr>
      </w:pPr>
    </w:p>
    <w:p w14:paraId="56434D24">
      <w:pPr>
        <w:jc w:val="center"/>
        <w:rPr>
          <w:rFonts w:ascii="Times New Roman" w:hAnsi="Times New Roman"/>
          <w:b/>
          <w:bCs/>
          <w:sz w:val="24"/>
          <w:szCs w:val="24"/>
          <w:highlight w:val="red"/>
          <w:lang w:val="uk-UA"/>
        </w:rPr>
      </w:pPr>
    </w:p>
    <w:p w14:paraId="38739574">
      <w:pPr>
        <w:spacing w:after="0" w:line="240" w:lineRule="auto"/>
        <w:jc w:val="center"/>
        <w:rPr>
          <w:rFonts w:ascii="Times New Roman" w:hAnsi="Times New Roman" w:eastAsia="Times New Roman"/>
          <w:b/>
          <w:sz w:val="24"/>
          <w:szCs w:val="24"/>
          <w:highlight w:val="red"/>
          <w:lang w:val="uk-UA"/>
        </w:rPr>
      </w:pPr>
    </w:p>
    <w:p w14:paraId="51FE2B38">
      <w:pPr>
        <w:shd w:val="clear" w:color="auto" w:fill="FFFFFF"/>
        <w:spacing w:after="0" w:line="240" w:lineRule="auto"/>
        <w:jc w:val="center"/>
        <w:outlineLvl w:val="0"/>
        <w:rPr>
          <w:rFonts w:ascii="Times New Roman" w:hAnsi="Times New Roman" w:cs="Times New Roman"/>
          <w:b/>
          <w:sz w:val="28"/>
          <w:lang w:val="uk-UA"/>
        </w:rPr>
      </w:pPr>
    </w:p>
    <w:p w14:paraId="71A17332">
      <w:pPr>
        <w:spacing w:after="0" w:line="240" w:lineRule="auto"/>
        <w:jc w:val="center"/>
        <w:rPr>
          <w:rFonts w:ascii="Times New Roman" w:hAnsi="Times New Roman" w:cs="Times New Roman"/>
          <w:i/>
          <w:sz w:val="20"/>
          <w:szCs w:val="20"/>
          <w:lang w:val="uk-UA"/>
        </w:rPr>
      </w:pPr>
      <w:r>
        <w:rPr>
          <w:rFonts w:ascii="Times New Roman" w:hAnsi="Times New Roman" w:cs="Times New Roman"/>
          <w:b/>
          <w:i/>
          <w:sz w:val="20"/>
          <w:szCs w:val="20"/>
          <w:lang w:val="uk-UA"/>
        </w:rPr>
        <w:t>Процедура закупівлі</w:t>
      </w:r>
      <w:r>
        <w:rPr>
          <w:rFonts w:ascii="Times New Roman" w:hAnsi="Times New Roman" w:cs="Times New Roman"/>
          <w:i/>
          <w:sz w:val="20"/>
          <w:szCs w:val="20"/>
          <w:lang w:val="uk-UA"/>
        </w:rPr>
        <w:t xml:space="preserve"> – відкриті торги,</w:t>
      </w:r>
      <w:r>
        <w:rPr>
          <w:rFonts w:ascii="Times New Roman" w:hAnsi="Times New Roman" w:cs="Times New Roman"/>
          <w:i/>
          <w:sz w:val="20"/>
          <w:szCs w:val="20"/>
          <w:lang w:val="uk-UA" w:eastAsia="en-US"/>
        </w:rPr>
        <w:t xml:space="preserve"> </w:t>
      </w:r>
      <w:r>
        <w:rPr>
          <w:rFonts w:ascii="Times New Roman" w:hAnsi="Times New Roman" w:cs="Times New Roman"/>
          <w:i/>
          <w:sz w:val="20"/>
          <w:szCs w:val="20"/>
          <w:lang w:val="uk-UA"/>
        </w:rPr>
        <w:t>з урахуванням особливостей</w:t>
      </w:r>
    </w:p>
    <w:p w14:paraId="3203980B">
      <w:pPr>
        <w:spacing w:after="0" w:line="240" w:lineRule="auto"/>
        <w:jc w:val="center"/>
        <w:rPr>
          <w:rFonts w:ascii="Times New Roman" w:hAnsi="Times New Roman"/>
          <w:i/>
          <w:sz w:val="20"/>
          <w:szCs w:val="20"/>
          <w:lang w:val="uk-UA" w:eastAsia="en-US"/>
        </w:rPr>
      </w:pPr>
      <w:r>
        <w:rPr>
          <w:rFonts w:ascii="Times New Roman" w:hAnsi="Times New Roman" w:cs="Times New Roman"/>
          <w:i/>
          <w:sz w:val="20"/>
          <w:szCs w:val="20"/>
          <w:lang w:val="uk-UA" w:eastAsia="en-US"/>
        </w:rPr>
        <w:t xml:space="preserve">здійснення публічних закупівель товарів, робіт і послуг для замовників, передбачених Законом України </w:t>
      </w:r>
      <w:r>
        <w:rPr>
          <w:rFonts w:ascii="Times New Roman" w:hAnsi="Times New Roman" w:cs="Times New Roman"/>
          <w:i/>
          <w:sz w:val="20"/>
          <w:szCs w:val="20"/>
          <w:lang w:val="uk-UA" w:eastAsia="en-US"/>
        </w:rPr>
        <w:br w:type="textWrapping"/>
      </w:r>
      <w:r>
        <w:rPr>
          <w:rFonts w:ascii="Times New Roman" w:hAnsi="Times New Roman" w:cs="Times New Roman"/>
          <w:i/>
          <w:sz w:val="20"/>
          <w:szCs w:val="20"/>
          <w:lang w:val="uk-UA" w:eastAsia="en-US"/>
        </w:rPr>
        <w:t xml:space="preserve">“Про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 </w:t>
      </w:r>
      <w:r>
        <w:rPr>
          <w:rFonts w:ascii="Times New Roman" w:hAnsi="Times New Roman"/>
          <w:i/>
          <w:sz w:val="20"/>
          <w:szCs w:val="20"/>
          <w:lang w:val="uk-UA" w:eastAsia="en-US"/>
        </w:rPr>
        <w:t xml:space="preserve">затверджених постановою Кабінету Міністрів України від 12 жовтня 2022 р. № 1178 з урахуванням змін </w:t>
      </w:r>
    </w:p>
    <w:p w14:paraId="6D716383">
      <w:pPr>
        <w:shd w:val="clear" w:color="auto" w:fill="FFFFFF"/>
        <w:spacing w:after="0" w:line="240" w:lineRule="auto"/>
        <w:jc w:val="center"/>
        <w:rPr>
          <w:rFonts w:ascii="Times New Roman" w:hAnsi="Times New Roman" w:cs="Times New Roman"/>
          <w:i/>
          <w:sz w:val="20"/>
          <w:szCs w:val="20"/>
          <w:lang w:val="uk-UA"/>
        </w:rPr>
      </w:pPr>
    </w:p>
    <w:p w14:paraId="6951B89A">
      <w:pPr>
        <w:shd w:val="clear" w:color="auto" w:fill="FFFFFF"/>
        <w:spacing w:after="0" w:line="240" w:lineRule="auto"/>
        <w:jc w:val="center"/>
        <w:rPr>
          <w:rFonts w:ascii="Times New Roman" w:hAnsi="Times New Roman" w:cs="Times New Roman"/>
          <w:i/>
          <w:sz w:val="20"/>
          <w:szCs w:val="20"/>
          <w:lang w:val="uk-UA"/>
        </w:rPr>
      </w:pPr>
    </w:p>
    <w:p w14:paraId="7F23E8EC">
      <w:pPr>
        <w:shd w:val="clear" w:color="auto" w:fill="FFFFFF"/>
        <w:spacing w:after="0" w:line="240" w:lineRule="auto"/>
        <w:jc w:val="center"/>
        <w:rPr>
          <w:rFonts w:ascii="Times New Roman" w:hAnsi="Times New Roman" w:cs="Times New Roman"/>
          <w:i/>
          <w:sz w:val="20"/>
          <w:szCs w:val="20"/>
          <w:lang w:val="uk-UA"/>
        </w:rPr>
      </w:pPr>
    </w:p>
    <w:p w14:paraId="428F0874">
      <w:pPr>
        <w:shd w:val="clear" w:color="auto" w:fill="FFFFFF"/>
        <w:spacing w:after="0" w:line="240" w:lineRule="auto"/>
        <w:jc w:val="center"/>
        <w:outlineLvl w:val="0"/>
        <w:rPr>
          <w:rFonts w:ascii="Times New Roman" w:hAnsi="Times New Roman" w:cs="Times New Roman"/>
          <w:b/>
          <w:sz w:val="28"/>
          <w:lang w:val="uk-UA"/>
        </w:rPr>
      </w:pPr>
    </w:p>
    <w:p w14:paraId="5C733BA4">
      <w:pPr>
        <w:shd w:val="clear" w:color="auto" w:fill="FFFFFF"/>
        <w:spacing w:after="0" w:line="240" w:lineRule="auto"/>
        <w:jc w:val="center"/>
        <w:outlineLvl w:val="0"/>
        <w:rPr>
          <w:rFonts w:ascii="Times New Roman" w:hAnsi="Times New Roman" w:cs="Times New Roman"/>
          <w:b/>
          <w:sz w:val="28"/>
          <w:lang w:val="uk-UA"/>
        </w:rPr>
      </w:pPr>
    </w:p>
    <w:p w14:paraId="53EF8D97">
      <w:pPr>
        <w:shd w:val="clear" w:color="auto" w:fill="FFFFFF"/>
        <w:spacing w:after="0" w:line="240" w:lineRule="auto"/>
        <w:outlineLvl w:val="0"/>
        <w:rPr>
          <w:rFonts w:ascii="Times New Roman" w:hAnsi="Times New Roman" w:cs="Times New Roman"/>
          <w:b/>
          <w:sz w:val="28"/>
          <w:lang w:val="uk-UA"/>
        </w:rPr>
      </w:pPr>
    </w:p>
    <w:p w14:paraId="5D7C32B7">
      <w:pPr>
        <w:shd w:val="clear" w:color="auto" w:fill="FFFFFF"/>
        <w:spacing w:after="0" w:line="240" w:lineRule="auto"/>
        <w:outlineLvl w:val="0"/>
        <w:rPr>
          <w:rFonts w:ascii="Times New Roman" w:hAnsi="Times New Roman" w:cs="Times New Roman"/>
          <w:b/>
          <w:sz w:val="28"/>
          <w:lang w:val="uk-UA"/>
        </w:rPr>
      </w:pPr>
    </w:p>
    <w:p w14:paraId="5B7729D6">
      <w:pPr>
        <w:shd w:val="clear" w:color="auto" w:fill="FFFFFF"/>
        <w:spacing w:after="0" w:line="240" w:lineRule="auto"/>
        <w:outlineLvl w:val="0"/>
        <w:rPr>
          <w:rFonts w:ascii="Times New Roman" w:hAnsi="Times New Roman" w:cs="Times New Roman"/>
          <w:b/>
          <w:sz w:val="28"/>
          <w:lang w:val="uk-UA"/>
        </w:rPr>
      </w:pPr>
    </w:p>
    <w:p w14:paraId="189E7FD9">
      <w:pPr>
        <w:shd w:val="clear" w:color="auto" w:fill="FFFFFF"/>
        <w:spacing w:after="0" w:line="240" w:lineRule="auto"/>
        <w:outlineLvl w:val="0"/>
        <w:rPr>
          <w:rFonts w:ascii="Times New Roman" w:hAnsi="Times New Roman" w:cs="Times New Roman"/>
          <w:b/>
          <w:sz w:val="28"/>
          <w:lang w:val="uk-UA"/>
        </w:rPr>
      </w:pPr>
    </w:p>
    <w:p w14:paraId="0680FD64">
      <w:pPr>
        <w:shd w:val="clear" w:color="auto" w:fill="FFFFFF"/>
        <w:spacing w:after="0" w:line="240" w:lineRule="auto"/>
        <w:outlineLvl w:val="0"/>
        <w:rPr>
          <w:rFonts w:ascii="Times New Roman" w:hAnsi="Times New Roman" w:cs="Times New Roman"/>
          <w:b/>
          <w:sz w:val="28"/>
          <w:lang w:val="uk-UA"/>
        </w:rPr>
      </w:pPr>
    </w:p>
    <w:p w14:paraId="26B765DE">
      <w:pPr>
        <w:shd w:val="clear" w:color="auto" w:fill="FFFFFF"/>
        <w:spacing w:after="0" w:line="240" w:lineRule="auto"/>
        <w:outlineLvl w:val="0"/>
        <w:rPr>
          <w:rFonts w:ascii="Times New Roman" w:hAnsi="Times New Roman" w:cs="Times New Roman"/>
          <w:b/>
          <w:sz w:val="28"/>
          <w:lang w:val="uk-UA"/>
        </w:rPr>
      </w:pPr>
    </w:p>
    <w:p w14:paraId="0F6EA0DE">
      <w:pPr>
        <w:shd w:val="clear" w:color="auto" w:fill="FFFFFF"/>
        <w:spacing w:after="0" w:line="240" w:lineRule="auto"/>
        <w:outlineLvl w:val="0"/>
        <w:rPr>
          <w:rFonts w:ascii="Times New Roman" w:hAnsi="Times New Roman" w:cs="Times New Roman"/>
          <w:b/>
          <w:sz w:val="28"/>
          <w:lang w:val="uk-UA"/>
        </w:rPr>
      </w:pPr>
    </w:p>
    <w:p w14:paraId="79C80E1D">
      <w:pPr>
        <w:shd w:val="clear" w:color="auto" w:fill="FFFFFF"/>
        <w:spacing w:after="0" w:line="240" w:lineRule="auto"/>
        <w:outlineLvl w:val="0"/>
        <w:rPr>
          <w:rFonts w:ascii="Times New Roman" w:hAnsi="Times New Roman" w:cs="Times New Roman"/>
          <w:b/>
          <w:sz w:val="28"/>
          <w:lang w:val="uk-UA"/>
        </w:rPr>
      </w:pPr>
    </w:p>
    <w:p w14:paraId="52E68A78">
      <w:pPr>
        <w:spacing w:after="0" w:line="240" w:lineRule="auto"/>
        <w:jc w:val="center"/>
        <w:rPr>
          <w:rFonts w:ascii="Times New Roman" w:hAnsi="Times New Roman" w:eastAsia="Times New Roman"/>
          <w:b w:val="0"/>
          <w:bCs/>
          <w:sz w:val="24"/>
          <w:szCs w:val="24"/>
          <w:highlight w:val="none"/>
          <w:lang w:val="en-US"/>
        </w:rPr>
      </w:pPr>
      <w:r>
        <w:rPr>
          <w:rFonts w:ascii="Times New Roman" w:hAnsi="Times New Roman" w:eastAsia="Times New Roman"/>
          <w:b w:val="0"/>
          <w:bCs/>
          <w:sz w:val="24"/>
          <w:szCs w:val="24"/>
          <w:highlight w:val="none"/>
          <w:lang w:val="uk-UA"/>
        </w:rPr>
        <w:t>Селище</w:t>
      </w:r>
      <w:r>
        <w:rPr>
          <w:rFonts w:hint="default" w:ascii="Times New Roman" w:hAnsi="Times New Roman" w:eastAsia="Times New Roman"/>
          <w:b w:val="0"/>
          <w:bCs/>
          <w:sz w:val="24"/>
          <w:szCs w:val="24"/>
          <w:highlight w:val="none"/>
          <w:lang w:val="uk-UA"/>
        </w:rPr>
        <w:t xml:space="preserve"> Дашів - </w:t>
      </w:r>
      <w:r>
        <w:rPr>
          <w:rFonts w:ascii="Times New Roman" w:hAnsi="Times New Roman" w:eastAsia="Times New Roman"/>
          <w:b w:val="0"/>
          <w:bCs/>
          <w:sz w:val="24"/>
          <w:szCs w:val="24"/>
          <w:highlight w:val="none"/>
          <w:lang w:val="uk-UA"/>
        </w:rPr>
        <w:t>202</w:t>
      </w:r>
      <w:r>
        <w:rPr>
          <w:rFonts w:ascii="Times New Roman" w:hAnsi="Times New Roman" w:eastAsia="Times New Roman"/>
          <w:b w:val="0"/>
          <w:bCs/>
          <w:sz w:val="24"/>
          <w:szCs w:val="24"/>
          <w:highlight w:val="none"/>
          <w:lang w:val="en-US"/>
        </w:rPr>
        <w:t>6</w:t>
      </w:r>
    </w:p>
    <w:p w14:paraId="11CEDF61">
      <w:pPr>
        <w:spacing w:after="0" w:line="240" w:lineRule="auto"/>
        <w:jc w:val="center"/>
        <w:rPr>
          <w:rFonts w:ascii="Times New Roman" w:hAnsi="Times New Roman" w:eastAsia="Times New Roman"/>
          <w:b w:val="0"/>
          <w:bCs/>
          <w:sz w:val="24"/>
          <w:szCs w:val="24"/>
          <w:highlight w:val="none"/>
          <w:lang w:val="en-US"/>
        </w:rPr>
      </w:pPr>
    </w:p>
    <w:p w14:paraId="47AC50F0">
      <w:pPr>
        <w:spacing w:after="0" w:line="240" w:lineRule="auto"/>
        <w:jc w:val="center"/>
        <w:rPr>
          <w:rFonts w:ascii="Times New Roman" w:hAnsi="Times New Roman" w:eastAsia="Times New Roman"/>
          <w:b w:val="0"/>
          <w:bCs/>
          <w:sz w:val="24"/>
          <w:szCs w:val="24"/>
          <w:highlight w:val="none"/>
          <w:lang w:val="en-US"/>
        </w:rPr>
      </w:pPr>
    </w:p>
    <w:tbl>
      <w:tblPr>
        <w:tblStyle w:val="5"/>
        <w:tblW w:w="0" w:type="auto"/>
        <w:jc w:val="center"/>
        <w:tblLayout w:type="fixed"/>
        <w:tblCellMar>
          <w:top w:w="15" w:type="dxa"/>
          <w:left w:w="15" w:type="dxa"/>
          <w:bottom w:w="15" w:type="dxa"/>
          <w:right w:w="15" w:type="dxa"/>
        </w:tblCellMar>
      </w:tblPr>
      <w:tblGrid>
        <w:gridCol w:w="498"/>
        <w:gridCol w:w="177"/>
        <w:gridCol w:w="3123"/>
        <w:gridCol w:w="6884"/>
      </w:tblGrid>
      <w:tr w14:paraId="25AC4244">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shd w:val="clear" w:color="auto" w:fill="A5A5A5"/>
            <w:tcMar>
              <w:top w:w="0" w:type="dxa"/>
              <w:left w:w="108" w:type="dxa"/>
              <w:bottom w:w="0" w:type="dxa"/>
              <w:right w:w="108" w:type="dxa"/>
            </w:tcMar>
            <w:vAlign w:val="center"/>
          </w:tcPr>
          <w:p w14:paraId="7F639BF9">
            <w:pPr>
              <w:spacing w:after="0" w:line="240" w:lineRule="auto"/>
              <w:jc w:val="center"/>
              <w:rPr>
                <w:rFonts w:ascii="Times New Roman" w:hAnsi="Times New Roman" w:eastAsia="Times New Roman" w:cs="Times New Roman"/>
                <w:sz w:val="24"/>
                <w:szCs w:val="24"/>
                <w:lang w:val="uk-UA"/>
              </w:rPr>
            </w:pPr>
            <w:r>
              <w:rPr>
                <w:rFonts w:ascii="Times New Roman" w:hAnsi="Times New Roman" w:cs="Times New Roman"/>
                <w:b/>
                <w:sz w:val="28"/>
                <w:lang w:val="uk-UA"/>
              </w:rPr>
              <w:br w:type="page"/>
            </w:r>
            <w:r>
              <w:rPr>
                <w:rFonts w:ascii="Times New Roman" w:hAnsi="Times New Roman" w:eastAsia="Times New Roman" w:cs="Times New Roman"/>
                <w:b/>
                <w:bCs/>
                <w:color w:val="000000"/>
                <w:sz w:val="24"/>
                <w:szCs w:val="24"/>
                <w:lang w:val="uk-UA"/>
              </w:rPr>
              <w:t>№</w:t>
            </w:r>
          </w:p>
        </w:tc>
        <w:tc>
          <w:tcPr>
            <w:tcW w:w="10007" w:type="dxa"/>
            <w:gridSpan w:val="2"/>
            <w:tcBorders>
              <w:top w:val="single" w:color="000000" w:sz="4" w:space="0"/>
              <w:left w:val="single" w:color="000000" w:sz="4" w:space="0"/>
              <w:bottom w:val="single" w:color="000000" w:sz="4" w:space="0"/>
              <w:right w:val="single" w:color="000000" w:sz="4" w:space="0"/>
            </w:tcBorders>
            <w:shd w:val="clear" w:color="auto" w:fill="A5A5A5"/>
            <w:tcMar>
              <w:top w:w="0" w:type="dxa"/>
              <w:left w:w="108" w:type="dxa"/>
              <w:bottom w:w="0" w:type="dxa"/>
              <w:right w:w="108" w:type="dxa"/>
            </w:tcMar>
            <w:vAlign w:val="center"/>
          </w:tcPr>
          <w:p w14:paraId="2B639087">
            <w:pPr>
              <w:spacing w:after="0" w:line="240" w:lineRule="auto"/>
              <w:jc w:val="center"/>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Розділ І. Загальні положення</w:t>
            </w:r>
          </w:p>
        </w:tc>
      </w:tr>
      <w:tr w14:paraId="05A4ECBC">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C76FF85">
            <w:pPr>
              <w:spacing w:after="0" w:line="240" w:lineRule="auto"/>
              <w:jc w:val="center"/>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1</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C3582D5">
            <w:pPr>
              <w:spacing w:after="0" w:line="240" w:lineRule="auto"/>
              <w:jc w:val="center"/>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2</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E90657">
            <w:pPr>
              <w:spacing w:after="0" w:line="240" w:lineRule="auto"/>
              <w:jc w:val="center"/>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3</w:t>
            </w:r>
          </w:p>
        </w:tc>
      </w:tr>
      <w:tr w14:paraId="0D802FF7">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31A9375">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1</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97BAF5">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Терміни, які вживаються в тендерній документації</w:t>
            </w:r>
          </w:p>
        </w:tc>
        <w:tc>
          <w:tcPr>
            <w:tcW w:w="688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E48630">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Тендерну документацію розроблено відповідно до вимог Закону України «Про публічні закупівлі» (далі — Закон)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w:t>
            </w:r>
          </w:p>
          <w:p w14:paraId="6BF47E0D">
            <w:pPr>
              <w:widowControl w:val="0"/>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sz w:val="24"/>
                <w:szCs w:val="24"/>
                <w:rtl w:val="0"/>
              </w:rPr>
              <w:t xml:space="preserve"> Терміни, які використовуються в цій документації, вживаються у значенні, наведеному в Законі та Особливостях.</w:t>
            </w:r>
          </w:p>
        </w:tc>
      </w:tr>
      <w:tr w14:paraId="7E65142E">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BCC364">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2</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A090B2">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Інформація про замовника торгів</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DBCD71">
            <w:pPr>
              <w:spacing w:after="0" w:line="240" w:lineRule="auto"/>
              <w:jc w:val="both"/>
              <w:rPr>
                <w:rFonts w:ascii="Times New Roman" w:hAnsi="Times New Roman" w:eastAsia="Times New Roman" w:cs="Times New Roman"/>
                <w:sz w:val="24"/>
                <w:szCs w:val="24"/>
                <w:highlight w:val="yellow"/>
                <w:lang w:val="uk-UA"/>
              </w:rPr>
            </w:pPr>
          </w:p>
        </w:tc>
      </w:tr>
      <w:tr w14:paraId="51C0A6C0">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C42864">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2.1</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4E4B96">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повне найменування</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B6895F">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b/>
                <w:bCs/>
                <w:highlight w:val="none"/>
                <w:lang w:val="uk-UA"/>
              </w:rPr>
            </w:pPr>
            <w:r>
              <w:rPr>
                <w:rFonts w:ascii="Times New Roman" w:hAnsi="Times New Roman"/>
                <w:b/>
                <w:bCs/>
                <w:highlight w:val="none"/>
                <w:lang w:val="uk-UA"/>
              </w:rPr>
              <w:t>КОМУНАЛЬНЕ НЕКОМЕРЦІЙНЕ ПІДПРИЄМСТВО “ДАШІВСЬКА МІСЬКА ЛІКАРНЯ” ДАШІВСЬКОЇ СЕЛИЩНОЇ РАДИ (далі – Замовник).</w:t>
            </w:r>
          </w:p>
        </w:tc>
      </w:tr>
      <w:tr w14:paraId="523A044A">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6C9F827">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2.2</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41D94A">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місцезнаходження</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39E605">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olor w:val="000000"/>
                <w:sz w:val="24"/>
                <w:szCs w:val="24"/>
                <w:highlight w:val="none"/>
                <w:lang w:val="uk-UA" w:eastAsia="uk-UA"/>
              </w:rPr>
            </w:pPr>
            <w:r>
              <w:rPr>
                <w:rFonts w:ascii="Times New Roman" w:hAnsi="Times New Roman"/>
                <w:color w:val="000000"/>
                <w:sz w:val="24"/>
                <w:szCs w:val="24"/>
                <w:highlight w:val="none"/>
                <w:lang w:val="uk-UA" w:eastAsia="uk-UA"/>
              </w:rPr>
              <w:t xml:space="preserve">22740, Вінницька область, Гайсинський район, селище Дашів, вулиця Пирогова, 2. </w:t>
            </w:r>
          </w:p>
        </w:tc>
      </w:tr>
      <w:tr w14:paraId="48C09870">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C366BF">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2.3</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497B63">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посадова особа замовника, уповноважена здійснювати зв'язок з учасниками</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6A5E1B">
            <w:pPr>
              <w:widowControl w:val="0"/>
              <w:shd w:val="clear" w:color="auto" w:fill="FFFFFF"/>
              <w:spacing w:after="0" w:line="240" w:lineRule="auto"/>
              <w:contextualSpacing/>
              <w:jc w:val="both"/>
              <w:rPr>
                <w:rFonts w:ascii="Times New Roman" w:hAnsi="Times New Roman"/>
                <w:color w:val="000000"/>
                <w:sz w:val="24"/>
                <w:szCs w:val="24"/>
                <w:highlight w:val="none"/>
                <w:lang w:val="uk-UA"/>
              </w:rPr>
            </w:pPr>
            <w:r>
              <w:rPr>
                <w:rFonts w:ascii="Times New Roman" w:hAnsi="Times New Roman"/>
                <w:color w:val="000000"/>
                <w:sz w:val="24"/>
                <w:szCs w:val="24"/>
                <w:highlight w:val="none"/>
                <w:lang w:val="uk-UA"/>
              </w:rPr>
              <w:t xml:space="preserve">Прізвище, ім’я, по батькові: </w:t>
            </w:r>
            <w:r>
              <w:rPr>
                <w:rFonts w:ascii="Times New Roman" w:hAnsi="Times New Roman"/>
                <w:bCs/>
                <w:sz w:val="24"/>
                <w:szCs w:val="24"/>
                <w:highlight w:val="none"/>
                <w:lang w:val="uk-UA"/>
              </w:rPr>
              <w:t>Головань Людмила Михайлівна</w:t>
            </w:r>
          </w:p>
          <w:p w14:paraId="57A91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rPr>
                <w:rFonts w:ascii="Times New Roman" w:hAnsi="Times New Roman"/>
                <w:color w:val="000000"/>
                <w:sz w:val="24"/>
                <w:szCs w:val="24"/>
                <w:highlight w:val="none"/>
                <w:lang w:val="uk-UA"/>
              </w:rPr>
            </w:pPr>
            <w:r>
              <w:rPr>
                <w:rFonts w:ascii="Times New Roman" w:hAnsi="Times New Roman"/>
                <w:color w:val="000000"/>
                <w:sz w:val="24"/>
                <w:szCs w:val="24"/>
                <w:highlight w:val="none"/>
                <w:lang w:val="uk-UA"/>
              </w:rPr>
              <w:t>Посада: головний бухгалтер / уповноважена особа.</w:t>
            </w:r>
          </w:p>
          <w:p w14:paraId="0CEE3CEF">
            <w:pPr>
              <w:widowControl w:val="0"/>
              <w:spacing w:after="0" w:line="240" w:lineRule="auto"/>
              <w:contextualSpacing/>
              <w:jc w:val="both"/>
              <w:rPr>
                <w:rFonts w:ascii="Times New Roman" w:hAnsi="Times New Roman"/>
                <w:color w:val="000000"/>
                <w:sz w:val="24"/>
                <w:szCs w:val="24"/>
                <w:highlight w:val="none"/>
                <w:lang w:val="uk-UA"/>
              </w:rPr>
            </w:pPr>
            <w:r>
              <w:rPr>
                <w:rFonts w:ascii="Times New Roman" w:hAnsi="Times New Roman"/>
                <w:color w:val="000000"/>
                <w:sz w:val="24"/>
                <w:szCs w:val="24"/>
                <w:highlight w:val="none"/>
                <w:lang w:val="uk-UA"/>
              </w:rPr>
              <w:t xml:space="preserve">Адреса: </w:t>
            </w:r>
            <w:r>
              <w:rPr>
                <w:rFonts w:ascii="Times New Roman" w:hAnsi="Times New Roman"/>
                <w:bCs/>
                <w:color w:val="000000"/>
                <w:sz w:val="24"/>
                <w:szCs w:val="24"/>
                <w:highlight w:val="none"/>
                <w:lang w:val="uk-UA"/>
              </w:rPr>
              <w:t>22740, Вінницька область, Гайсинський район, селище Дашів, вулиця Пирогова, 2.</w:t>
            </w:r>
          </w:p>
          <w:p w14:paraId="67761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rPr>
                <w:rFonts w:hint="default" w:ascii="Times New Roman" w:hAnsi="Times New Roman"/>
                <w:color w:val="000000"/>
                <w:sz w:val="24"/>
                <w:szCs w:val="24"/>
                <w:highlight w:val="none"/>
                <w:lang w:val="uk-UA"/>
              </w:rPr>
            </w:pPr>
            <w:r>
              <w:rPr>
                <w:rFonts w:ascii="Times New Roman" w:hAnsi="Times New Roman"/>
                <w:color w:val="000000"/>
                <w:sz w:val="24"/>
                <w:szCs w:val="24"/>
                <w:highlight w:val="none"/>
                <w:lang w:val="uk-UA"/>
              </w:rPr>
              <w:t>Телефон: +38(04345) 3-21-47</w:t>
            </w:r>
            <w:r>
              <w:rPr>
                <w:rFonts w:hint="default" w:ascii="Times New Roman" w:hAnsi="Times New Roman"/>
                <w:color w:val="000000"/>
                <w:sz w:val="24"/>
                <w:szCs w:val="24"/>
                <w:highlight w:val="none"/>
                <w:lang w:val="uk-UA"/>
              </w:rPr>
              <w:t>, +380678770151</w:t>
            </w:r>
          </w:p>
          <w:p w14:paraId="45148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rPr>
                <w:rFonts w:ascii="Times New Roman" w:hAnsi="Times New Roman" w:eastAsia="Times New Roman" w:cs="Times New Roman"/>
                <w:color w:val="000000"/>
                <w:sz w:val="24"/>
                <w:szCs w:val="24"/>
                <w:highlight w:val="none"/>
                <w:lang w:val="uk-UA"/>
              </w:rPr>
            </w:pPr>
            <w:r>
              <w:rPr>
                <w:rFonts w:ascii="Times New Roman" w:hAnsi="Times New Roman"/>
                <w:color w:val="000000"/>
                <w:sz w:val="24"/>
                <w:szCs w:val="24"/>
                <w:highlight w:val="none"/>
                <w:lang w:val="uk-UA"/>
              </w:rPr>
              <w:t xml:space="preserve">e-mail: </w:t>
            </w:r>
            <w:r>
              <w:fldChar w:fldCharType="begin"/>
            </w:r>
            <w:r>
              <w:instrText xml:space="preserve"> HYPERLINK "mailto:golovanlm@ukr.net" </w:instrText>
            </w:r>
            <w:r>
              <w:fldChar w:fldCharType="separate"/>
            </w:r>
            <w:r>
              <w:rPr>
                <w:rStyle w:val="10"/>
                <w:rFonts w:ascii="Times New Roman" w:hAnsi="Times New Roman" w:eastAsia="Times New Roman"/>
                <w:sz w:val="24"/>
                <w:szCs w:val="24"/>
                <w:lang w:val="uk-UA" w:eastAsia="ru-RU"/>
              </w:rPr>
              <w:t>golovanlm@ukr.net</w:t>
            </w:r>
            <w:r>
              <w:rPr>
                <w:rStyle w:val="10"/>
                <w:rFonts w:ascii="Times New Roman" w:hAnsi="Times New Roman" w:eastAsia="Times New Roman"/>
                <w:sz w:val="24"/>
                <w:szCs w:val="24"/>
                <w:lang w:val="uk-UA" w:eastAsia="ru-RU"/>
              </w:rPr>
              <w:fldChar w:fldCharType="end"/>
            </w:r>
          </w:p>
        </w:tc>
      </w:tr>
      <w:tr w14:paraId="21520FB4">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A4D176">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3</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046E5E">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Процедура закупівлі</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20ABF19">
            <w:pPr>
              <w:widowControl w:val="0"/>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rtl w:val="0"/>
              </w:rPr>
              <w:t xml:space="preserve">відкриті торги </w:t>
            </w:r>
            <w:r>
              <w:rPr>
                <w:rFonts w:ascii="Times New Roman" w:hAnsi="Times New Roman" w:eastAsia="Times New Roman" w:cs="Times New Roman"/>
                <w:i/>
                <w:iCs/>
                <w:color w:val="000000"/>
                <w:sz w:val="24"/>
                <w:szCs w:val="24"/>
                <w:rtl w:val="0"/>
              </w:rPr>
              <w:t>з особливостями</w:t>
            </w:r>
          </w:p>
        </w:tc>
      </w:tr>
      <w:tr w14:paraId="3D4957FD">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4313C56">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4</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E4A82D">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Інформація про предмет закупівлі</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14A6A2">
            <w:pPr>
              <w:spacing w:after="0" w:line="240" w:lineRule="auto"/>
              <w:rPr>
                <w:rFonts w:ascii="Times New Roman" w:hAnsi="Times New Roman" w:eastAsia="Times New Roman" w:cs="Times New Roman"/>
                <w:sz w:val="24"/>
                <w:szCs w:val="24"/>
                <w:lang w:val="uk-UA"/>
              </w:rPr>
            </w:pPr>
          </w:p>
        </w:tc>
      </w:tr>
      <w:tr w14:paraId="64113539">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C15529">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4.1</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ECCDFA">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назва предмета закупівлі</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75995B">
            <w:pPr>
              <w:pStyle w:val="11"/>
              <w:keepNext w:val="0"/>
              <w:keepLines w:val="0"/>
              <w:widowControl/>
              <w:suppressLineNumbers w:val="0"/>
              <w:ind w:left="0" w:firstLine="0"/>
              <w:jc w:val="left"/>
              <w:rPr>
                <w:rFonts w:hint="default" w:ascii="Times New Roman" w:hAnsi="Times New Roman" w:eastAsia="Times New Roman" w:cs="Times New Roman"/>
                <w:sz w:val="24"/>
                <w:szCs w:val="24"/>
                <w:lang w:val="uk-UA"/>
              </w:rPr>
            </w:pPr>
            <w:r>
              <w:rPr>
                <w:rFonts w:hint="default" w:ascii="Times New Roman" w:hAnsi="Times New Roman" w:cs="Times New Roman"/>
                <w:i w:val="0"/>
                <w:iCs w:val="0"/>
                <w:caps w:val="0"/>
                <w:color w:val="000000"/>
                <w:spacing w:val="0"/>
                <w:sz w:val="24"/>
                <w:szCs w:val="24"/>
              </w:rPr>
              <w:t xml:space="preserve">ДК 021:2015:  </w:t>
            </w:r>
            <w:r>
              <w:rPr>
                <w:rFonts w:hint="default" w:ascii="Times New Roman" w:hAnsi="Times New Roman"/>
                <w:i w:val="0"/>
                <w:iCs w:val="0"/>
                <w:caps w:val="0"/>
                <w:color w:val="000000"/>
                <w:spacing w:val="0"/>
                <w:sz w:val="24"/>
                <w:szCs w:val="24"/>
              </w:rPr>
              <w:t xml:space="preserve">09330000-1  </w:t>
            </w:r>
            <w:r>
              <w:rPr>
                <w:rFonts w:hint="default"/>
                <w:i w:val="0"/>
                <w:iCs w:val="0"/>
                <w:caps w:val="0"/>
                <w:color w:val="000000"/>
                <w:spacing w:val="0"/>
                <w:sz w:val="24"/>
                <w:szCs w:val="24"/>
                <w:lang w:val="uk-UA"/>
              </w:rPr>
              <w:t>“</w:t>
            </w:r>
            <w:r>
              <w:rPr>
                <w:rFonts w:hint="default" w:ascii="Times New Roman" w:hAnsi="Times New Roman"/>
                <w:i w:val="0"/>
                <w:iCs w:val="0"/>
                <w:caps w:val="0"/>
                <w:color w:val="000000"/>
                <w:spacing w:val="0"/>
                <w:sz w:val="24"/>
                <w:szCs w:val="24"/>
              </w:rPr>
              <w:t>Сонячна енергія</w:t>
            </w:r>
            <w:r>
              <w:rPr>
                <w:rFonts w:hint="default"/>
                <w:i w:val="0"/>
                <w:iCs w:val="0"/>
                <w:caps w:val="0"/>
                <w:color w:val="000000"/>
                <w:spacing w:val="0"/>
                <w:sz w:val="24"/>
                <w:szCs w:val="24"/>
                <w:lang w:val="uk-UA"/>
              </w:rPr>
              <w:t>”  “Сонячна гібридна електростанція з урахуванням витрат на встановлення та пусконалагодження”</w:t>
            </w:r>
          </w:p>
        </w:tc>
      </w:tr>
      <w:tr w14:paraId="4A36FDE1">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33BD01">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4.2</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E6750D">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опис окремої частини (частин) предмета закупівлі (лота), щодо якої можуть бути подані тендерні пропозиції </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255B94">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Закупівля здійснюється щодо предмета закупівлі в цілому.</w:t>
            </w:r>
          </w:p>
        </w:tc>
      </w:tr>
      <w:tr w14:paraId="6CF9707B">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B674A9">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4.3</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A63BA8">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місце, кількість, обсяг поставки товарів (надання послуг, виконання робіт)</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A3FAB3">
            <w:pPr>
              <w:spacing w:after="0" w:line="240" w:lineRule="auto"/>
              <w:ind w:left="-2" w:hanging="2"/>
              <w:jc w:val="both"/>
              <w:rPr>
                <w:rFonts w:ascii="Times New Roman" w:hAnsi="Times New Roman"/>
                <w:bCs/>
                <w:sz w:val="24"/>
                <w:szCs w:val="24"/>
                <w:highlight w:val="none"/>
                <w:lang w:val="uk-UA" w:eastAsia="uk-UA"/>
              </w:rPr>
            </w:pPr>
            <w:r>
              <w:rPr>
                <w:rFonts w:ascii="Times New Roman" w:hAnsi="Times New Roman" w:eastAsia="Times New Roman" w:cs="Times New Roman"/>
                <w:color w:val="000000"/>
                <w:sz w:val="24"/>
                <w:szCs w:val="24"/>
                <w:highlight w:val="none"/>
                <w:lang w:val="uk-UA"/>
              </w:rPr>
              <w:t xml:space="preserve">Місце виконання робіт: </w:t>
            </w:r>
            <w:r>
              <w:rPr>
                <w:rFonts w:ascii="Times New Roman" w:hAnsi="Times New Roman" w:cs="Times New Roman"/>
                <w:color w:val="000000"/>
                <w:sz w:val="24"/>
                <w:szCs w:val="24"/>
                <w:highlight w:val="none"/>
                <w:lang w:val="uk-UA"/>
              </w:rPr>
              <w:t>22740, Вінницька область, Гайсинський район, селище Дашів, вулиця Пирогова, 2.</w:t>
            </w:r>
          </w:p>
          <w:p w14:paraId="669BB669">
            <w:pPr>
              <w:spacing w:after="0" w:line="240" w:lineRule="auto"/>
              <w:ind w:left="-2" w:hanging="2"/>
              <w:jc w:val="both"/>
              <w:rPr>
                <w:rFonts w:ascii="Times New Roman" w:hAnsi="Times New Roman" w:eastAsia="Times New Roman" w:cs="Times New Roman"/>
                <w:color w:val="000000"/>
                <w:sz w:val="24"/>
                <w:szCs w:val="24"/>
                <w:highlight w:val="none"/>
                <w:lang w:val="uk-UA"/>
              </w:rPr>
            </w:pPr>
          </w:p>
          <w:p w14:paraId="458167B0">
            <w:pPr>
              <w:spacing w:after="0" w:line="240" w:lineRule="auto"/>
              <w:ind w:left="-2" w:hanging="2"/>
              <w:jc w:val="both"/>
              <w:rPr>
                <w:rFonts w:ascii="Times New Roman" w:hAnsi="Times New Roman"/>
                <w:color w:val="000000"/>
                <w:sz w:val="24"/>
                <w:szCs w:val="24"/>
                <w:highlight w:val="none"/>
                <w:shd w:val="clear" w:color="auto" w:fill="FF1493"/>
                <w:lang w:val="uk-UA" w:eastAsia="uk-UA"/>
              </w:rPr>
            </w:pPr>
            <w:r>
              <w:rPr>
                <w:rFonts w:ascii="Times New Roman" w:hAnsi="Times New Roman" w:eastAsia="Times New Roman" w:cs="Times New Roman"/>
                <w:color w:val="000000"/>
                <w:sz w:val="24"/>
                <w:szCs w:val="24"/>
                <w:highlight w:val="none"/>
                <w:lang w:val="uk-UA"/>
              </w:rPr>
              <w:t xml:space="preserve">Кількість, обсяг згідно Додатку № </w:t>
            </w:r>
            <w:r>
              <w:rPr>
                <w:rFonts w:hint="default" w:ascii="Times New Roman" w:hAnsi="Times New Roman" w:eastAsia="Times New Roman" w:cs="Times New Roman"/>
                <w:color w:val="000000"/>
                <w:sz w:val="24"/>
                <w:szCs w:val="24"/>
                <w:highlight w:val="none"/>
                <w:lang w:val="uk-UA"/>
              </w:rPr>
              <w:t>2</w:t>
            </w:r>
            <w:r>
              <w:rPr>
                <w:rFonts w:ascii="Times New Roman" w:hAnsi="Times New Roman" w:eastAsia="Times New Roman" w:cs="Times New Roman"/>
                <w:color w:val="000000"/>
                <w:sz w:val="24"/>
                <w:szCs w:val="24"/>
                <w:highlight w:val="none"/>
                <w:lang w:val="uk-UA"/>
              </w:rPr>
              <w:t xml:space="preserve"> до тендерної документації.</w:t>
            </w:r>
          </w:p>
          <w:p w14:paraId="218A34BF">
            <w:pPr>
              <w:spacing w:after="0" w:line="240" w:lineRule="auto"/>
              <w:ind w:left="-2" w:hanging="2"/>
              <w:jc w:val="both"/>
              <w:rPr>
                <w:rFonts w:ascii="Times New Roman" w:hAnsi="Times New Roman"/>
                <w:color w:val="000000"/>
                <w:sz w:val="24"/>
                <w:szCs w:val="24"/>
                <w:highlight w:val="none"/>
                <w:shd w:val="clear" w:color="auto" w:fill="FF1493"/>
                <w:lang w:val="uk-UA" w:eastAsia="uk-UA"/>
              </w:rPr>
            </w:pPr>
          </w:p>
          <w:p w14:paraId="1ADB5FDD">
            <w:pPr>
              <w:widowControl w:val="0"/>
              <w:spacing w:after="0" w:line="240" w:lineRule="auto"/>
              <w:contextualSpacing/>
              <w:jc w:val="both"/>
              <w:rPr>
                <w:rFonts w:ascii="Times New Roman" w:hAnsi="Times New Roman"/>
                <w:snapToGrid w:val="0"/>
                <w:sz w:val="24"/>
                <w:szCs w:val="24"/>
                <w:highlight w:val="none"/>
                <w:lang w:val="uk-UA"/>
              </w:rPr>
            </w:pPr>
          </w:p>
        </w:tc>
      </w:tr>
      <w:tr w14:paraId="1DC554EB">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5D1EA9">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4.4</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6E1C86">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строк поставки товарів (надання послуг, виконання робіт)</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543D6D">
            <w:pPr>
              <w:spacing w:after="0" w:line="240" w:lineRule="auto"/>
              <w:ind w:left="-2" w:hanging="2"/>
              <w:jc w:val="both"/>
              <w:rPr>
                <w:rFonts w:ascii="Times New Roman" w:hAnsi="Times New Roman" w:eastAsia="Times New Roman" w:cs="Times New Roman"/>
                <w:b/>
                <w:bCs/>
                <w:sz w:val="24"/>
                <w:szCs w:val="24"/>
                <w:highlight w:val="none"/>
                <w:lang w:val="uk-UA"/>
              </w:rPr>
            </w:pPr>
            <w:r>
              <w:rPr>
                <w:rFonts w:ascii="Times New Roman" w:hAnsi="Times New Roman"/>
                <w:b/>
                <w:bCs/>
                <w:sz w:val="24"/>
                <w:szCs w:val="24"/>
                <w:highlight w:val="none"/>
                <w:lang w:val="uk-UA" w:eastAsia="uk-UA"/>
              </w:rPr>
              <w:t xml:space="preserve">До </w:t>
            </w:r>
            <w:r>
              <w:rPr>
                <w:rFonts w:hint="default" w:ascii="Times New Roman" w:hAnsi="Times New Roman"/>
                <w:b/>
                <w:bCs/>
                <w:sz w:val="24"/>
                <w:szCs w:val="24"/>
                <w:highlight w:val="none"/>
                <w:lang w:val="en-US" w:eastAsia="uk-UA"/>
              </w:rPr>
              <w:t>31.12.</w:t>
            </w:r>
            <w:r>
              <w:rPr>
                <w:rFonts w:ascii="Times New Roman" w:hAnsi="Times New Roman"/>
                <w:b/>
                <w:bCs/>
                <w:sz w:val="24"/>
                <w:szCs w:val="24"/>
                <w:highlight w:val="none"/>
                <w:lang w:val="uk-UA" w:eastAsia="uk-UA"/>
              </w:rPr>
              <w:t>2026 року.</w:t>
            </w:r>
          </w:p>
        </w:tc>
      </w:tr>
      <w:tr w14:paraId="1B5ACC18">
        <w:tblPrEx>
          <w:tblCellMar>
            <w:top w:w="15" w:type="dxa"/>
            <w:left w:w="15" w:type="dxa"/>
            <w:bottom w:w="15" w:type="dxa"/>
            <w:right w:w="15" w:type="dxa"/>
          </w:tblCellMar>
        </w:tblPrEx>
        <w:trPr>
          <w:trHeight w:val="273"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577870">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5</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B43BF3">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Недискримінація учасників</w:t>
            </w:r>
          </w:p>
        </w:tc>
        <w:tc>
          <w:tcPr>
            <w:tcW w:w="688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D04BE5D">
            <w:pPr>
              <w:widowControl w:val="0"/>
              <w:spacing w:after="0" w:line="240" w:lineRule="auto"/>
              <w:contextualSpacing/>
              <w:jc w:val="both"/>
              <w:rPr>
                <w:rFonts w:ascii="Times New Roman" w:hAnsi="Times New Roman"/>
                <w:sz w:val="24"/>
                <w:szCs w:val="24"/>
                <w:lang w:val="uk-UA" w:eastAsia="uk-UA"/>
              </w:rPr>
            </w:pPr>
            <w:r>
              <w:rPr>
                <w:rFonts w:ascii="Times New Roman" w:hAnsi="Times New Roman" w:eastAsia="Times New Roman" w:cs="Times New Roman"/>
                <w:color w:val="000000"/>
                <w:sz w:val="24"/>
                <w:szCs w:val="24"/>
                <w:lang w:val="uk-UA"/>
              </w:rPr>
              <w:t xml:space="preserve">5.1. </w:t>
            </w:r>
            <w:r>
              <w:rPr>
                <w:rFonts w:ascii="Times New Roman" w:hAnsi="Times New Roman"/>
                <w:sz w:val="24"/>
                <w:szCs w:val="24"/>
                <w:lang w:val="uk-UA" w:eastAsia="uk-UA"/>
              </w:rPr>
              <w:t xml:space="preserve">Вітчизняні та іноземні учасники всіх форм власності та організаційно-правових форм беруть участь у процедурах закупівель на рівних умовах. </w:t>
            </w:r>
          </w:p>
          <w:p w14:paraId="0D3CAC16">
            <w:pPr>
              <w:widowControl w:val="0"/>
              <w:spacing w:after="0" w:line="240" w:lineRule="auto"/>
              <w:contextualSpacing/>
              <w:jc w:val="both"/>
              <w:rPr>
                <w:rFonts w:ascii="Times New Roman" w:hAnsi="Times New Roman"/>
                <w:sz w:val="24"/>
                <w:szCs w:val="24"/>
                <w:highlight w:val="none"/>
                <w:lang w:val="uk-UA" w:eastAsia="uk-UA"/>
              </w:rPr>
            </w:pPr>
            <w:r>
              <w:rPr>
                <w:rFonts w:ascii="Times New Roman" w:hAnsi="Times New Roman"/>
                <w:sz w:val="24"/>
                <w:szCs w:val="24"/>
                <w:lang w:val="uk-UA" w:eastAsia="uk-UA"/>
              </w:rPr>
              <w:t xml:space="preserve">5.2. Поряд з тим, враховуючи положення Особливостей, встановлено, що </w:t>
            </w:r>
            <w:r>
              <w:rPr>
                <w:rFonts w:ascii="Times New Roman" w:hAnsi="Times New Roman"/>
                <w:sz w:val="24"/>
                <w:szCs w:val="24"/>
                <w:highlight w:val="none"/>
                <w:lang w:val="uk-UA" w:eastAsia="uk-UA"/>
              </w:rPr>
              <w:t>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637F07CA">
            <w:pPr>
              <w:spacing w:after="0" w:line="240" w:lineRule="auto"/>
              <w:ind w:left="-23" w:hanging="23"/>
              <w:jc w:val="both"/>
              <w:rPr>
                <w:rFonts w:ascii="Times New Roman" w:hAnsi="Times New Roman" w:eastAsia="Times New Roman" w:cs="Times New Roman"/>
                <w:sz w:val="24"/>
                <w:szCs w:val="24"/>
                <w:lang w:val="uk-UA"/>
              </w:rPr>
            </w:pPr>
            <w:r>
              <w:rPr>
                <w:rFonts w:ascii="Times New Roman" w:hAnsi="Times New Roman"/>
                <w:sz w:val="24"/>
                <w:szCs w:val="24"/>
                <w:highlight w:val="none"/>
                <w:lang w:val="uk-UA" w:eastAsia="uk-UA"/>
              </w:rPr>
              <w:t>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цією постановою;</w:t>
            </w:r>
          </w:p>
        </w:tc>
      </w:tr>
      <w:tr w14:paraId="2E3F1D80">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5463ED">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6</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8A3F36">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Інформація про валюту, у якій повинно бути розраховано та зазначено ціну тендерної пропозиції</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A7B25C">
            <w:pPr>
              <w:spacing w:after="0" w:line="240" w:lineRule="auto"/>
              <w:ind w:left="-21" w:hanging="21"/>
              <w:jc w:val="both"/>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6.1. Валютою тендерної пропозиції є національна валюта України - гривня.</w:t>
            </w:r>
          </w:p>
          <w:p w14:paraId="4599898F">
            <w:pPr>
              <w:spacing w:after="0" w:line="240" w:lineRule="auto"/>
              <w:ind w:left="-23" w:hanging="23"/>
              <w:jc w:val="both"/>
              <w:rPr>
                <w:rFonts w:ascii="Times New Roman" w:hAnsi="Times New Roman" w:eastAsia="Times New Roman" w:cs="Times New Roman"/>
                <w:sz w:val="24"/>
                <w:szCs w:val="24"/>
                <w:lang w:val="uk-UA"/>
              </w:rPr>
            </w:pPr>
          </w:p>
        </w:tc>
      </w:tr>
      <w:tr w14:paraId="3E64CA7E">
        <w:tblPrEx>
          <w:tblCellMar>
            <w:top w:w="15" w:type="dxa"/>
            <w:left w:w="15" w:type="dxa"/>
            <w:bottom w:w="15" w:type="dxa"/>
            <w:right w:w="15" w:type="dxa"/>
          </w:tblCellMar>
        </w:tblPrEx>
        <w:trPr>
          <w:trHeight w:val="522" w:hRule="atLeast"/>
          <w:jc w:val="center"/>
        </w:trPr>
        <w:tc>
          <w:tcPr>
            <w:tcW w:w="67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5B7637">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7</w:t>
            </w:r>
          </w:p>
        </w:tc>
        <w:tc>
          <w:tcPr>
            <w:tcW w:w="31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DD2F718">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Інформація про мову (мови), якою (якими) повинно бути складено тендерні пропозиції</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5E28C3">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7.1. Під час проведення процедур закупівель усі документи, що готуються учасником, викладаються українською мовою.</w:t>
            </w:r>
          </w:p>
          <w:p w14:paraId="077F6C27">
            <w:pPr>
              <w:spacing w:after="0" w:line="240" w:lineRule="auto"/>
              <w:jc w:val="both"/>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lang w:val="uk-UA"/>
              </w:rPr>
              <w:t>У разі надання учасником інших документів складених  мовою іншою ніж українська мова, такі документи повинні супроводжуватися перекладом українською мовою. Виключення можуть стосуватись документів, що видані третіми організаціями (не учасниками торгів) і безпосередньо пов’язані із інформацією про технічні, якісні та кількісні характеристики предмета закупівлі.</w:t>
            </w:r>
          </w:p>
        </w:tc>
      </w:tr>
      <w:tr w14:paraId="45E8D645">
        <w:tblPrEx>
          <w:tblCellMar>
            <w:top w:w="15" w:type="dxa"/>
            <w:left w:w="15" w:type="dxa"/>
            <w:bottom w:w="15" w:type="dxa"/>
            <w:right w:w="15" w:type="dxa"/>
          </w:tblCellMar>
        </w:tblPrEx>
        <w:trPr>
          <w:trHeight w:val="522" w:hRule="atLeast"/>
          <w:jc w:val="center"/>
        </w:trPr>
        <w:tc>
          <w:tcPr>
            <w:tcW w:w="10682" w:type="dxa"/>
            <w:gridSpan w:val="4"/>
            <w:tcBorders>
              <w:top w:val="single" w:color="000000" w:sz="4" w:space="0"/>
              <w:left w:val="single" w:color="000000" w:sz="4" w:space="0"/>
              <w:bottom w:val="single" w:color="000000" w:sz="4" w:space="0"/>
              <w:right w:val="single" w:color="000000" w:sz="4" w:space="0"/>
            </w:tcBorders>
            <w:shd w:val="clear" w:color="auto" w:fill="A5A5A5"/>
            <w:tcMar>
              <w:top w:w="0" w:type="dxa"/>
              <w:left w:w="108" w:type="dxa"/>
              <w:bottom w:w="0" w:type="dxa"/>
              <w:right w:w="108" w:type="dxa"/>
            </w:tcMar>
            <w:vAlign w:val="center"/>
          </w:tcPr>
          <w:p w14:paraId="3BB911B3">
            <w:pPr>
              <w:spacing w:after="0" w:line="240" w:lineRule="auto"/>
              <w:jc w:val="center"/>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Розділ ІІ. Порядок унесення змін та надання роз’яснень до тендерної документації</w:t>
            </w:r>
          </w:p>
        </w:tc>
      </w:tr>
      <w:tr w14:paraId="499B8C59">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70F188">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1</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EEA76D">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Процедура надання роз’яснень щодо тендерної документації </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098762">
            <w:pPr>
              <w:spacing w:after="0" w:line="240" w:lineRule="auto"/>
              <w:jc w:val="both"/>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lang w:val="uk-UA"/>
              </w:rPr>
              <w:t xml:space="preserve">1.1. </w:t>
            </w:r>
            <w:r>
              <w:rPr>
                <w:rFonts w:ascii="Times New Roman" w:hAnsi="Times New Roman" w:eastAsia="Times New Roman" w:cs="Times New Roman"/>
                <w:color w:val="000000"/>
                <w:sz w:val="24"/>
                <w:szCs w:val="24"/>
                <w:highlight w:val="none"/>
                <w:lang w:val="uk-UA"/>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p>
        </w:tc>
      </w:tr>
      <w:tr w14:paraId="742700B1">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6412B0">
            <w:pPr>
              <w:spacing w:after="0" w:line="240" w:lineRule="auto"/>
              <w:jc w:val="center"/>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2</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2DDA67">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Унесення змін до тендерної документації</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0">
            <w:pPr>
              <w:widowControl w:val="0"/>
              <w:spacing w:after="0" w:line="240" w:lineRule="auto"/>
              <w:ind w:firstLine="397"/>
              <w:jc w:val="both"/>
              <w:rPr>
                <w:rFonts w:ascii="Times New Roman" w:hAnsi="Times New Roman" w:eastAsia="Times New Roman" w:cs="Times New Roman"/>
                <w:sz w:val="24"/>
                <w:szCs w:val="24"/>
                <w:highlight w:val="white"/>
              </w:rPr>
            </w:pPr>
            <w:r>
              <w:rPr>
                <w:rFonts w:ascii="Times New Roman" w:hAnsi="Times New Roman" w:eastAsia="Times New Roman" w:cs="Times New Roman"/>
                <w:color w:val="000000"/>
                <w:sz w:val="24"/>
                <w:szCs w:val="24"/>
                <w:highlight w:val="none"/>
                <w:lang w:val="uk-UA"/>
              </w:rPr>
              <w:t xml:space="preserve">2.1. </w:t>
            </w:r>
            <w:r>
              <w:rPr>
                <w:rFonts w:ascii="Times New Roman" w:hAnsi="Times New Roman" w:eastAsia="Times New Roman" w:cs="Times New Roman"/>
                <w:sz w:val="24"/>
                <w:szCs w:val="24"/>
                <w:highlight w:val="white"/>
                <w:rtl w:val="0"/>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w:t>
            </w:r>
          </w:p>
          <w:p w14:paraId="00000081">
            <w:pPr>
              <w:widowControl w:val="0"/>
              <w:spacing w:after="0" w:line="240" w:lineRule="auto"/>
              <w:ind w:firstLine="397"/>
              <w:jc w:val="both"/>
              <w:rPr>
                <w:rFonts w:ascii="Times New Roman" w:hAnsi="Times New Roman" w:eastAsia="Times New Roman" w:cs="Times New Roman"/>
                <w:b/>
                <w:bCs/>
                <w:i/>
                <w:iCs/>
                <w:sz w:val="24"/>
                <w:szCs w:val="24"/>
                <w:highlight w:val="white"/>
              </w:rPr>
            </w:pPr>
            <w:r>
              <w:rPr>
                <w:rFonts w:ascii="Times New Roman" w:hAnsi="Times New Roman" w:eastAsia="Times New Roman" w:cs="Times New Roman"/>
                <w:sz w:val="24"/>
                <w:szCs w:val="24"/>
                <w:highlight w:val="white"/>
                <w:rtl w:val="0"/>
              </w:rPr>
              <w:t xml:space="preserve">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Pr>
                <w:rFonts w:ascii="Times New Roman" w:hAnsi="Times New Roman" w:eastAsia="Times New Roman" w:cs="Times New Roman"/>
                <w:b/>
                <w:bCs/>
                <w:i/>
                <w:iCs/>
                <w:sz w:val="24"/>
                <w:szCs w:val="24"/>
                <w:highlight w:val="white"/>
                <w:rtl w:val="0"/>
              </w:rPr>
              <w:t>не менше чотирьох днів.</w:t>
            </w:r>
          </w:p>
          <w:p w14:paraId="00000082">
            <w:pPr>
              <w:widowControl w:val="0"/>
              <w:spacing w:after="0" w:line="240" w:lineRule="auto"/>
              <w:ind w:firstLine="397"/>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w:t>
            </w:r>
          </w:p>
          <w:p w14:paraId="428CBF38">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sz w:val="24"/>
                <w:szCs w:val="24"/>
                <w:highlight w:val="white"/>
                <w:rtl w:val="0"/>
              </w:rPr>
              <w:t>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14:paraId="50419FC0">
        <w:tblPrEx>
          <w:tblCellMar>
            <w:top w:w="15" w:type="dxa"/>
            <w:left w:w="15" w:type="dxa"/>
            <w:bottom w:w="15" w:type="dxa"/>
            <w:right w:w="15" w:type="dxa"/>
          </w:tblCellMar>
        </w:tblPrEx>
        <w:trPr>
          <w:trHeight w:val="522" w:hRule="atLeast"/>
          <w:jc w:val="center"/>
        </w:trPr>
        <w:tc>
          <w:tcPr>
            <w:tcW w:w="10682" w:type="dxa"/>
            <w:gridSpan w:val="4"/>
            <w:tcBorders>
              <w:top w:val="single" w:color="000000" w:sz="4" w:space="0"/>
              <w:left w:val="single" w:color="000000" w:sz="4" w:space="0"/>
              <w:bottom w:val="single" w:color="000000" w:sz="4" w:space="0"/>
              <w:right w:val="single" w:color="000000" w:sz="4" w:space="0"/>
            </w:tcBorders>
            <w:shd w:val="clear" w:color="auto" w:fill="A5A5A5"/>
            <w:tcMar>
              <w:top w:w="0" w:type="dxa"/>
              <w:left w:w="108" w:type="dxa"/>
              <w:bottom w:w="0" w:type="dxa"/>
              <w:right w:w="108" w:type="dxa"/>
            </w:tcMar>
            <w:vAlign w:val="center"/>
          </w:tcPr>
          <w:p w14:paraId="17526D8E">
            <w:pPr>
              <w:spacing w:after="0" w:line="240" w:lineRule="auto"/>
              <w:jc w:val="center"/>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Розділ ІІІ. Інструкція з підготовки тендерної пропозиції</w:t>
            </w:r>
          </w:p>
        </w:tc>
      </w:tr>
      <w:tr w14:paraId="31517367">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9A6750">
            <w:pPr>
              <w:spacing w:after="0" w:line="240" w:lineRule="auto"/>
              <w:jc w:val="center"/>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1</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7A2461">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Зміст і спосіб подання тендерної пропозиції</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4A30E3">
            <w:pPr>
              <w:spacing w:after="0" w:line="240" w:lineRule="auto"/>
              <w:ind w:left="-21" w:hanging="21"/>
              <w:jc w:val="both"/>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 xml:space="preserve"> </w:t>
            </w:r>
            <w:r>
              <w:rPr>
                <w:rFonts w:hint="default" w:ascii="Times New Roman" w:hAnsi="Times New Roman" w:eastAsia="Times New Roman" w:cs="Times New Roman"/>
                <w:color w:val="000000"/>
                <w:sz w:val="24"/>
                <w:szCs w:val="24"/>
                <w:highlight w:val="none"/>
                <w:lang w:val="uk-UA"/>
              </w:rPr>
              <w:t xml:space="preserve">      </w:t>
            </w:r>
            <w:r>
              <w:rPr>
                <w:rFonts w:ascii="Times New Roman" w:hAnsi="Times New Roman" w:eastAsia="Times New Roman" w:cs="Times New Roman"/>
                <w:color w:val="000000"/>
                <w:sz w:val="24"/>
                <w:szCs w:val="24"/>
                <w:highlight w:val="none"/>
                <w:lang w:val="uk-UA"/>
              </w:rPr>
              <w:t xml:space="preserve">Тендерні пропозиції подаються відповідно до порядку, визначеного статтею 26 Закону, крім положень частин першої, четвертої, шостої та сьомої статті 26 Закону. 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пункті 47 цих особливостей і в тендерній документації, та шляхом завантаження необхідних документів, що вимагаються замовником у тендерній документації, а саме </w:t>
            </w:r>
            <w:r>
              <w:rPr>
                <w:rFonts w:ascii="Times New Roman" w:hAnsi="Times New Roman"/>
                <w:color w:val="000000"/>
                <w:sz w:val="24"/>
                <w:szCs w:val="24"/>
                <w:highlight w:val="none"/>
                <w:lang w:val="uk-UA"/>
              </w:rPr>
              <w:t xml:space="preserve">документи зазначені </w:t>
            </w:r>
            <w:r>
              <w:rPr>
                <w:rFonts w:ascii="Times New Roman" w:hAnsi="Times New Roman"/>
                <w:b/>
                <w:color w:val="000000"/>
                <w:sz w:val="24"/>
                <w:szCs w:val="24"/>
                <w:highlight w:val="none"/>
                <w:lang w:val="uk-UA"/>
              </w:rPr>
              <w:t>в Додатку №</w:t>
            </w:r>
            <w:r>
              <w:rPr>
                <w:rFonts w:hint="default" w:ascii="Times New Roman" w:hAnsi="Times New Roman"/>
                <w:b/>
                <w:color w:val="000000"/>
                <w:sz w:val="24"/>
                <w:szCs w:val="24"/>
                <w:highlight w:val="none"/>
                <w:lang w:val="uk-UA"/>
              </w:rPr>
              <w:t>1</w:t>
            </w:r>
            <w:r>
              <w:rPr>
                <w:rFonts w:ascii="Times New Roman" w:hAnsi="Times New Roman"/>
                <w:b/>
                <w:color w:val="000000"/>
                <w:sz w:val="24"/>
                <w:szCs w:val="24"/>
                <w:highlight w:val="none"/>
                <w:lang w:val="uk-UA"/>
              </w:rPr>
              <w:t xml:space="preserve"> до тендерної документації.</w:t>
            </w:r>
          </w:p>
          <w:p w14:paraId="6F8EB6D3">
            <w:pPr>
              <w:spacing w:after="0" w:line="240" w:lineRule="auto"/>
              <w:ind w:firstLine="480" w:firstLineChars="200"/>
              <w:jc w:val="both"/>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Кожен учасник має право подати тільки одну тендерну пропозицію.</w:t>
            </w:r>
          </w:p>
          <w:p w14:paraId="5108AD6B">
            <w:pPr>
              <w:spacing w:after="0" w:line="240" w:lineRule="auto"/>
              <w:ind w:left="-21" w:hanging="21"/>
              <w:jc w:val="both"/>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 xml:space="preserve"> </w:t>
            </w:r>
            <w:r>
              <w:rPr>
                <w:rFonts w:hint="default" w:ascii="Times New Roman" w:hAnsi="Times New Roman" w:eastAsia="Times New Roman" w:cs="Times New Roman"/>
                <w:color w:val="000000"/>
                <w:sz w:val="24"/>
                <w:szCs w:val="24"/>
                <w:highlight w:val="none"/>
                <w:lang w:val="uk-UA"/>
              </w:rPr>
              <w:t xml:space="preserve">       </w:t>
            </w:r>
            <w:r>
              <w:rPr>
                <w:rFonts w:ascii="Times New Roman" w:hAnsi="Times New Roman" w:eastAsia="Times New Roman" w:cs="Times New Roman"/>
                <w:color w:val="000000"/>
                <w:sz w:val="24"/>
                <w:szCs w:val="24"/>
                <w:highlight w:val="none"/>
                <w:lang w:val="uk-UA"/>
              </w:rPr>
              <w:t xml:space="preserve">Всі визначені цією тендерною документацією документи тендерної пропозиції завантажуються в електронну систему закупівель у вигляді скан-копій придатних для зчитування (файли з розширенням «..pdf.», «..jpeg.», тощо), зміст та вигляд яких повинен відповідати оригіналам відповідних документів, згідно яких виготовляються такі скан-копії.  </w:t>
            </w:r>
          </w:p>
          <w:p w14:paraId="1354DA34">
            <w:pPr>
              <w:spacing w:after="0" w:line="240" w:lineRule="auto"/>
              <w:ind w:left="-21" w:hanging="21"/>
              <w:jc w:val="both"/>
              <w:rPr>
                <w:rFonts w:ascii="Times New Roman" w:hAnsi="Times New Roman" w:eastAsia="Times New Roman" w:cs="Times New Roman"/>
                <w:sz w:val="24"/>
                <w:szCs w:val="24"/>
                <w:highlight w:val="none"/>
                <w:lang w:val="uk-UA"/>
              </w:rPr>
            </w:pPr>
            <w:r>
              <w:rPr>
                <w:rFonts w:ascii="Times New Roman" w:hAnsi="Times New Roman" w:eastAsia="Times New Roman" w:cs="Times New Roman"/>
                <w:sz w:val="24"/>
                <w:szCs w:val="24"/>
                <w:highlight w:val="none"/>
                <w:lang w:val="uk-UA"/>
              </w:rPr>
              <w:t xml:space="preserve"> </w:t>
            </w:r>
            <w:r>
              <w:rPr>
                <w:rFonts w:hint="default" w:ascii="Times New Roman" w:hAnsi="Times New Roman" w:eastAsia="Times New Roman" w:cs="Times New Roman"/>
                <w:sz w:val="24"/>
                <w:szCs w:val="24"/>
                <w:highlight w:val="none"/>
                <w:lang w:val="uk-UA"/>
              </w:rPr>
              <w:t xml:space="preserve">       </w:t>
            </w:r>
            <w:r>
              <w:rPr>
                <w:rFonts w:ascii="Times New Roman" w:hAnsi="Times New Roman" w:eastAsia="Times New Roman" w:cs="Times New Roman"/>
                <w:sz w:val="24"/>
                <w:szCs w:val="24"/>
                <w:highlight w:val="none"/>
                <w:lang w:val="uk-UA"/>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цих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w:t>
            </w:r>
          </w:p>
          <w:p w14:paraId="73A12587">
            <w:pPr>
              <w:spacing w:after="0" w:line="240" w:lineRule="auto"/>
              <w:ind w:left="-21" w:hanging="21"/>
              <w:jc w:val="both"/>
              <w:rPr>
                <w:rFonts w:ascii="Times New Roman" w:hAnsi="Times New Roman" w:eastAsia="Times New Roman" w:cs="Times New Roman"/>
                <w:sz w:val="24"/>
                <w:szCs w:val="24"/>
                <w:highlight w:val="none"/>
                <w:lang w:val="uk-UA"/>
              </w:rPr>
            </w:pPr>
            <w:r>
              <w:rPr>
                <w:rFonts w:ascii="Times New Roman" w:hAnsi="Times New Roman" w:eastAsia="Times New Roman" w:cs="Times New Roman"/>
                <w:sz w:val="24"/>
                <w:szCs w:val="24"/>
                <w:highlight w:val="none"/>
                <w:lang w:val="uk-UA"/>
              </w:rPr>
              <w:t>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цих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3E29E805">
            <w:pPr>
              <w:spacing w:after="0" w:line="240" w:lineRule="auto"/>
              <w:ind w:left="-21" w:hanging="21"/>
              <w:jc w:val="both"/>
              <w:rPr>
                <w:rFonts w:ascii="Times New Roman" w:hAnsi="Times New Roman" w:eastAsia="Times New Roman" w:cs="Times New Roman"/>
                <w:sz w:val="24"/>
                <w:szCs w:val="24"/>
                <w:highlight w:val="none"/>
                <w:lang w:val="uk-UA"/>
              </w:rPr>
            </w:pPr>
            <w:r>
              <w:rPr>
                <w:rFonts w:ascii="Times New Roman" w:hAnsi="Times New Roman" w:eastAsia="Times New Roman" w:cs="Times New Roman"/>
                <w:sz w:val="24"/>
                <w:szCs w:val="24"/>
                <w:highlight w:val="none"/>
                <w:lang w:val="uk-UA"/>
              </w:rPr>
              <w:t>Якщо замовником встановлені інші, крім ціни, критерії оцінки відповідно до методики оцінки, після закінчення строку для подання тендерних пропозицій, визначеного замовником в оголошенні про проведення відкритих торгів, в електронній системі закупівель автоматично визначаються показники інших критеріїв оцінки та приведена ціна, після чого розкривається інформація про приведену ціну.</w:t>
            </w:r>
          </w:p>
          <w:p w14:paraId="30EF16B3">
            <w:pPr>
              <w:spacing w:after="0" w:line="240" w:lineRule="auto"/>
              <w:ind w:left="-21" w:hanging="21"/>
              <w:jc w:val="both"/>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sz w:val="24"/>
                <w:szCs w:val="24"/>
                <w:highlight w:val="none"/>
                <w:lang w:val="uk-UA"/>
              </w:rPr>
              <w:t>Якщо замовником застосовуються інші, крім ціни, критерії оцінки, у тендерній документації визначається їх вартісний еквівалент або питома вага таких критеріїв у загальній оцінці тендерних пропозицій. Питома вага цінового критерію не може бути нижчою ніж 70 відсотків.</w:t>
            </w:r>
          </w:p>
          <w:p w14:paraId="54F1C9F2">
            <w:pPr>
              <w:spacing w:after="0" w:line="240" w:lineRule="auto"/>
              <w:ind w:firstLine="600" w:firstLineChars="250"/>
              <w:jc w:val="both"/>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 xml:space="preserve">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тобто </w:t>
            </w:r>
            <w:r>
              <w:rPr>
                <w:rFonts w:ascii="Times New Roman" w:hAnsi="Times New Roman" w:eastAsia="Times New Roman" w:cs="Times New Roman"/>
                <w:b/>
                <w:color w:val="000000"/>
                <w:sz w:val="24"/>
                <w:szCs w:val="24"/>
                <w:highlight w:val="none"/>
                <w:lang w:val="uk-UA"/>
              </w:rPr>
              <w:t>тендерна пропозиція у будь-якому випадку повинна містити накладений електронний підпис (удосконалений або кваліфікований електронний підпис) учасника/уповноваженої особи учасника процедури закупівлі (КЕП або УЕП), повноваження якої щодо підпису документів тендерної пропозиції підтверджуються відповідно до поданих документів.</w:t>
            </w:r>
            <w:r>
              <w:rPr>
                <w:rFonts w:ascii="Times New Roman" w:hAnsi="Times New Roman" w:eastAsia="Times New Roman" w:cs="Times New Roman"/>
                <w:color w:val="000000"/>
                <w:sz w:val="24"/>
                <w:szCs w:val="24"/>
                <w:highlight w:val="none"/>
                <w:lang w:val="uk-UA"/>
              </w:rPr>
              <w:t xml:space="preserve"> </w:t>
            </w:r>
          </w:p>
          <w:p w14:paraId="5ADD2E37">
            <w:pPr>
              <w:spacing w:after="0" w:line="240" w:lineRule="auto"/>
              <w:ind w:left="-21" w:hanging="21"/>
              <w:jc w:val="both"/>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Накладення електронного підпису (або кваліфікованого електронного підпису) на тендерну пропозицію є підтвердженням того, що кожен документ (матеріал та інформація) поданий належним чином.</w:t>
            </w:r>
          </w:p>
          <w:p w14:paraId="27ECB522">
            <w:pPr>
              <w:spacing w:after="0" w:line="240" w:lineRule="auto"/>
              <w:ind w:left="-21" w:hanging="21"/>
              <w:jc w:val="both"/>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 xml:space="preserve">У разі якщо тендерна пропозиція подається об'єднанням учасників, до неї обов'язково включається документ про створення такого об'єднання.    </w:t>
            </w:r>
          </w:p>
          <w:p w14:paraId="3EED9E36">
            <w:pPr>
              <w:spacing w:after="0" w:line="240" w:lineRule="auto"/>
              <w:ind w:left="-21" w:hanging="21"/>
              <w:jc w:val="both"/>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 xml:space="preserve"> </w:t>
            </w:r>
            <w:r>
              <w:rPr>
                <w:rFonts w:hint="default" w:ascii="Times New Roman" w:hAnsi="Times New Roman" w:eastAsia="Times New Roman" w:cs="Times New Roman"/>
                <w:color w:val="000000"/>
                <w:sz w:val="24"/>
                <w:szCs w:val="24"/>
                <w:highlight w:val="none"/>
                <w:lang w:val="uk-UA"/>
              </w:rPr>
              <w:t xml:space="preserve">       </w:t>
            </w:r>
            <w:r>
              <w:rPr>
                <w:rFonts w:ascii="Times New Roman" w:hAnsi="Times New Roman" w:eastAsia="Times New Roman" w:cs="Times New Roman"/>
                <w:color w:val="000000"/>
                <w:sz w:val="24"/>
                <w:szCs w:val="24"/>
                <w:highlight w:val="none"/>
                <w:lang w:val="uk-UA"/>
              </w:rPr>
              <w:t>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3CDB54AF">
            <w:pPr>
              <w:spacing w:after="0" w:line="240" w:lineRule="auto"/>
              <w:ind w:left="-21" w:hanging="21"/>
              <w:jc w:val="both"/>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 xml:space="preserve"> </w:t>
            </w:r>
            <w:r>
              <w:rPr>
                <w:rFonts w:hint="default" w:ascii="Times New Roman" w:hAnsi="Times New Roman" w:eastAsia="Times New Roman" w:cs="Times New Roman"/>
                <w:color w:val="000000"/>
                <w:sz w:val="24"/>
                <w:szCs w:val="24"/>
                <w:highlight w:val="none"/>
                <w:lang w:val="uk-UA"/>
              </w:rPr>
              <w:t xml:space="preserve">       </w:t>
            </w:r>
            <w:r>
              <w:rPr>
                <w:rFonts w:ascii="Times New Roman" w:hAnsi="Times New Roman" w:eastAsia="Times New Roman" w:cs="Times New Roman"/>
                <w:color w:val="000000"/>
                <w:sz w:val="24"/>
                <w:szCs w:val="24"/>
                <w:highlight w:val="none"/>
                <w:lang w:val="uk-UA"/>
              </w:rPr>
              <w:t>Замовник в тендерній документації обов’язково зазначає інформацію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p w14:paraId="454C99F6">
            <w:pPr>
              <w:spacing w:after="0" w:line="240" w:lineRule="auto"/>
              <w:ind w:left="-21" w:hanging="21"/>
              <w:jc w:val="both"/>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 xml:space="preserve"> </w:t>
            </w:r>
            <w:r>
              <w:rPr>
                <w:rFonts w:hint="default" w:ascii="Times New Roman" w:hAnsi="Times New Roman" w:eastAsia="Times New Roman" w:cs="Times New Roman"/>
                <w:color w:val="000000"/>
                <w:sz w:val="24"/>
                <w:szCs w:val="24"/>
                <w:highlight w:val="none"/>
                <w:lang w:val="uk-UA"/>
              </w:rPr>
              <w:t xml:space="preserve">       </w:t>
            </w:r>
            <w:r>
              <w:rPr>
                <w:rFonts w:ascii="Times New Roman" w:hAnsi="Times New Roman" w:eastAsia="Times New Roman" w:cs="Times New Roman"/>
                <w:color w:val="000000"/>
                <w:sz w:val="24"/>
                <w:szCs w:val="24"/>
                <w:highlight w:val="none"/>
                <w:lang w:val="uk-UA"/>
              </w:rPr>
              <w:t>Якщо замовник зазначає в тендерній документації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він повинен зазначити про прийнятний відсоток перевищення ціни тендерної пропозиції учасника процедури закупівлі над очікуваною вартістю предмета закупівлі, визначеної замовником в оголошенні про проведення відкритих торгів.</w:t>
            </w:r>
            <w:r>
              <w:rPr>
                <w:highlight w:val="none"/>
                <w:lang w:val="uk-UA"/>
              </w:rPr>
              <w:t xml:space="preserve"> </w:t>
            </w:r>
          </w:p>
          <w:p w14:paraId="26BB4AC9">
            <w:pPr>
              <w:spacing w:after="0" w:line="240" w:lineRule="auto"/>
              <w:ind w:left="-21" w:hanging="21"/>
              <w:jc w:val="both"/>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highlight w:val="none"/>
                <w:lang w:val="uk-UA"/>
              </w:rPr>
              <w:t xml:space="preserve"> </w:t>
            </w:r>
            <w:r>
              <w:rPr>
                <w:rFonts w:hint="default" w:ascii="Times New Roman" w:hAnsi="Times New Roman" w:eastAsia="Times New Roman" w:cs="Times New Roman"/>
                <w:color w:val="000000"/>
                <w:sz w:val="24"/>
                <w:szCs w:val="24"/>
                <w:highlight w:val="none"/>
                <w:lang w:val="uk-UA"/>
              </w:rPr>
              <w:t xml:space="preserve">      </w:t>
            </w:r>
            <w:r>
              <w:rPr>
                <w:rFonts w:ascii="Times New Roman" w:hAnsi="Times New Roman" w:eastAsia="Times New Roman" w:cs="Times New Roman"/>
                <w:color w:val="000000"/>
                <w:sz w:val="24"/>
                <w:szCs w:val="24"/>
                <w:highlight w:val="none"/>
                <w:lang w:val="uk-UA"/>
              </w:rPr>
              <w:t>Якщо замовник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 то замовник відхиляє таку тендерну пропозицію відповідно до абзацу тринадцятого пунк</w:t>
            </w:r>
            <w:r>
              <w:rPr>
                <w:rFonts w:ascii="Times New Roman" w:hAnsi="Times New Roman" w:eastAsia="Times New Roman" w:cs="Times New Roman"/>
                <w:color w:val="000000"/>
                <w:sz w:val="24"/>
                <w:szCs w:val="24"/>
                <w:lang w:val="uk-UA"/>
              </w:rPr>
              <w:t>ту 44 цих особливостей.</w:t>
            </w:r>
          </w:p>
          <w:p w14:paraId="5731ECAC">
            <w:pPr>
              <w:shd w:val="clear" w:color="auto" w:fill="EEECE1" w:themeFill="background2"/>
              <w:spacing w:after="0" w:line="240" w:lineRule="auto"/>
              <w:ind w:left="-21" w:hanging="21"/>
              <w:jc w:val="both"/>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lang w:val="uk-UA"/>
              </w:rPr>
              <w:t xml:space="preserve"> </w:t>
            </w:r>
            <w:r>
              <w:rPr>
                <w:rFonts w:hint="default" w:ascii="Times New Roman" w:hAnsi="Times New Roman" w:eastAsia="Times New Roman" w:cs="Times New Roman"/>
                <w:color w:val="000000"/>
                <w:sz w:val="24"/>
                <w:szCs w:val="24"/>
                <w:lang w:val="uk-UA"/>
              </w:rPr>
              <w:t xml:space="preserve">       </w:t>
            </w:r>
            <w:r>
              <w:rPr>
                <w:rFonts w:ascii="Times New Roman" w:hAnsi="Times New Roman" w:eastAsia="Times New Roman" w:cs="Times New Roman"/>
                <w:b/>
                <w:color w:val="000000"/>
                <w:sz w:val="24"/>
                <w:szCs w:val="24"/>
                <w:lang w:val="uk-UA"/>
              </w:rPr>
              <w:t>З урахуванням обсягу фінансування видатків замовника до розгляду не приймається тендерна пропозиція, ціна якої є вищою ніж очікувана вартість предмета закупівлі, визначена замовником в оголошенні про проведення цих відкритих торгів</w:t>
            </w:r>
            <w:r>
              <w:rPr>
                <w:rFonts w:ascii="Times New Roman" w:hAnsi="Times New Roman" w:eastAsia="Times New Roman" w:cs="Times New Roman"/>
                <w:color w:val="000000"/>
                <w:sz w:val="24"/>
                <w:szCs w:val="24"/>
                <w:lang w:val="uk-UA"/>
              </w:rPr>
              <w:t>.</w:t>
            </w:r>
          </w:p>
        </w:tc>
      </w:tr>
      <w:tr w14:paraId="1549311D">
        <w:tblPrEx>
          <w:tblCellMar>
            <w:top w:w="15" w:type="dxa"/>
            <w:left w:w="15" w:type="dxa"/>
            <w:bottom w:w="15" w:type="dxa"/>
            <w:right w:w="15" w:type="dxa"/>
          </w:tblCellMar>
        </w:tblPrEx>
        <w:trPr>
          <w:trHeight w:val="410"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C505FF">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2</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83B75E">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Забезпечення тендерної пропозиції</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1E5FAC">
            <w:pPr>
              <w:spacing w:after="0" w:line="240" w:lineRule="auto"/>
              <w:jc w:val="both"/>
              <w:rPr>
                <w:rFonts w:ascii="Times New Roman" w:hAnsi="Times New Roman" w:eastAsia="Times New Roman" w:cs="Times New Roman"/>
                <w:b/>
                <w:sz w:val="24"/>
                <w:szCs w:val="24"/>
                <w:highlight w:val="red"/>
                <w:lang w:val="uk-UA"/>
              </w:rPr>
            </w:pPr>
            <w:r>
              <w:rPr>
                <w:rFonts w:ascii="Times New Roman" w:hAnsi="Times New Roman" w:eastAsia="Times New Roman" w:cs="Times New Roman"/>
                <w:sz w:val="24"/>
                <w:szCs w:val="24"/>
                <w:rtl w:val="0"/>
              </w:rPr>
              <w:t>Забезпечення тендерної пропозиції не вимагається.</w:t>
            </w:r>
          </w:p>
        </w:tc>
      </w:tr>
      <w:tr w14:paraId="5E782E6C">
        <w:tblPrEx>
          <w:tblCellMar>
            <w:top w:w="15" w:type="dxa"/>
            <w:left w:w="15" w:type="dxa"/>
            <w:bottom w:w="15" w:type="dxa"/>
            <w:right w:w="15" w:type="dxa"/>
          </w:tblCellMar>
        </w:tblPrEx>
        <w:trPr>
          <w:trHeight w:val="274"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EDE107">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3</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DEABEC">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Умови повернення чи неповернення забезпечення тендерної пропозиції</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9AFA12">
            <w:pPr>
              <w:spacing w:after="0" w:line="240" w:lineRule="auto"/>
              <w:jc w:val="both"/>
              <w:rPr>
                <w:rFonts w:ascii="Times New Roman" w:hAnsi="Times New Roman" w:eastAsia="Times New Roman" w:cs="Times New Roman"/>
                <w:sz w:val="24"/>
                <w:szCs w:val="24"/>
                <w:highlight w:val="red"/>
                <w:lang w:val="uk-UA"/>
              </w:rPr>
            </w:pPr>
            <w:r>
              <w:rPr>
                <w:rFonts w:ascii="Times New Roman" w:hAnsi="Times New Roman" w:eastAsia="Times New Roman" w:cs="Times New Roman"/>
                <w:sz w:val="24"/>
                <w:szCs w:val="24"/>
                <w:rtl w:val="0"/>
              </w:rPr>
              <w:t>Не передбачається, так як забезпечення тендерної пропозиції не вимагається</w:t>
            </w:r>
          </w:p>
        </w:tc>
      </w:tr>
      <w:tr w14:paraId="513F8BA7">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99D3AE">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4</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5A8A02">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Строк дії тендерної пропозиції, протягом якого тендерні пропозиції вважаються дійсними</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AF">
            <w:pPr>
              <w:widowControl w:val="0"/>
              <w:spacing w:after="0" w:line="240" w:lineRule="auto"/>
              <w:ind w:firstLine="38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Тендерні пропозиції вважаються дійсними протягом </w:t>
            </w:r>
            <w:r>
              <w:rPr>
                <w:rFonts w:ascii="Times New Roman" w:hAnsi="Times New Roman" w:eastAsia="Times New Roman" w:cs="Times New Roman"/>
                <w:b/>
                <w:bCs/>
                <w:sz w:val="24"/>
                <w:szCs w:val="24"/>
                <w:rtl w:val="0"/>
              </w:rPr>
              <w:t>90 днів</w:t>
            </w:r>
            <w:r>
              <w:rPr>
                <w:rFonts w:ascii="Times New Roman" w:hAnsi="Times New Roman" w:eastAsia="Times New Roman" w:cs="Times New Roman"/>
                <w:sz w:val="24"/>
                <w:szCs w:val="24"/>
                <w:rtl w:val="0"/>
              </w:rPr>
              <w:t xml:space="preserve"> із дати кінцевого строку подання тендерних пропозицій.</w:t>
            </w:r>
          </w:p>
          <w:p w14:paraId="000000B0">
            <w:pPr>
              <w:widowControl w:val="0"/>
              <w:spacing w:after="0" w:line="240" w:lineRule="auto"/>
              <w:ind w:firstLine="39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000000B1">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0" w:firstLine="39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відхилити таку вимогу, не втрачаючи при цьому наданого ним забезпечення тендерної пропозиції;</w:t>
            </w:r>
          </w:p>
          <w:p w14:paraId="000000B2">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0" w:firstLine="39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погодитися з вимогою та продовжити строк дії поданої ним тендерної пропозиції і наданого забезпечення тендерної пропозиції.</w:t>
            </w:r>
          </w:p>
          <w:p w14:paraId="000000B3">
            <w:pPr>
              <w:widowControl w:val="0"/>
              <w:spacing w:after="0" w:line="240" w:lineRule="auto"/>
              <w:ind w:firstLine="399"/>
              <w:jc w:val="both"/>
              <w:rPr>
                <w:rFonts w:ascii="Times New Roman" w:hAnsi="Times New Roman" w:eastAsia="Times New Roman" w:cs="Times New Roman"/>
                <w:sz w:val="24"/>
                <w:szCs w:val="24"/>
              </w:rPr>
            </w:pPr>
          </w:p>
          <w:p w14:paraId="32FEC0CE">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sz w:val="24"/>
                <w:szCs w:val="24"/>
                <w:rtl w:val="0"/>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14:paraId="50BEAD73">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DD58B1">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5</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326B87">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Кваліфікаційні критерії відповідно до статті 16 Закону, підстави, встановлені пунктом 47 Постановою про особливості, та інформація про спосіб підтвердження відповідності учасників установленим критеріям і вимогам згідно із законодавством. </w:t>
            </w:r>
          </w:p>
          <w:p w14:paraId="411DDFE5">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Для об’єднання учасників замовником зазначаються умови щодо надання інформації та способу підтвердження відповідності таких учасників установленим кваліфікаційним критеріям та підставам, встановлені пунктом 47 Постановою про особливості.</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FDADDC">
            <w:pPr>
              <w:spacing w:after="0" w:line="24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lang w:val="uk-UA"/>
              </w:rPr>
              <w:t>З</w:t>
            </w:r>
            <w:r>
              <w:rPr>
                <w:rFonts w:hint="default" w:ascii="Times New Roman" w:hAnsi="Times New Roman" w:cs="Times New Roman"/>
                <w:sz w:val="24"/>
                <w:szCs w:val="24"/>
              </w:rPr>
              <w:t xml:space="preserve">амовник установлює один або декілька кваліфікаційних критеріїв відповідно до статті 16 Закону. 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Pr>
                <w:rFonts w:hint="default" w:ascii="Times New Roman" w:hAnsi="Times New Roman" w:cs="Times New Roman"/>
                <w:b/>
                <w:bCs/>
                <w:sz w:val="24"/>
                <w:szCs w:val="24"/>
              </w:rPr>
              <w:t>Додатку 1</w:t>
            </w:r>
            <w:r>
              <w:rPr>
                <w:rFonts w:hint="default" w:ascii="Times New Roman" w:hAnsi="Times New Roman" w:cs="Times New Roman"/>
                <w:sz w:val="24"/>
                <w:szCs w:val="24"/>
              </w:rPr>
              <w:t xml:space="preserve"> до цієї тендерної документації. Спосіб  підтвердження відповідності учасника критеріям і вимогам згідно із законодавством наведено в </w:t>
            </w:r>
            <w:r>
              <w:rPr>
                <w:rFonts w:hint="default" w:ascii="Times New Roman" w:hAnsi="Times New Roman" w:cs="Times New Roman"/>
                <w:b/>
                <w:bCs/>
                <w:sz w:val="24"/>
                <w:szCs w:val="24"/>
              </w:rPr>
              <w:t>Додатку 1</w:t>
            </w:r>
            <w:r>
              <w:rPr>
                <w:rFonts w:hint="default" w:ascii="Times New Roman" w:hAnsi="Times New Roman" w:cs="Times New Roman"/>
                <w:sz w:val="24"/>
                <w:szCs w:val="24"/>
              </w:rPr>
              <w:t xml:space="preserve"> до цієї тендерної документації.</w:t>
            </w:r>
          </w:p>
          <w:p w14:paraId="679D9902">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 </w:t>
            </w:r>
          </w:p>
          <w:p w14:paraId="04E2F19A">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Підстави, визначені пунктом 47 Особливостей.</w:t>
            </w:r>
          </w:p>
          <w:p w14:paraId="35CF6C9C">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14:paraId="0EBABFAF">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04E7A48E">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0B4A3D28">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33E0B20B">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3CCCF9F9">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1A38DD81">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02FE4716">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0582A289">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14:paraId="436FEAF0">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357FBD64">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1073AC5D">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5DE76459">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235D3651">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7B0EB5FD">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14:paraId="148D2C53">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7452B4C5">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040EFDAA">
            <w:pPr>
              <w:widowControl w:val="0"/>
              <w:spacing w:after="0" w:line="240" w:lineRule="auto"/>
              <w:contextualSpacing/>
              <w:jc w:val="both"/>
              <w:rPr>
                <w:rFonts w:hint="default" w:ascii="Times New Roman" w:hAnsi="Times New Roman" w:cs="Times New Roman"/>
                <w:sz w:val="24"/>
                <w:szCs w:val="24"/>
                <w:highlight w:val="lightGray"/>
                <w:lang w:val="uk-UA"/>
              </w:rPr>
            </w:pPr>
            <w:r>
              <w:rPr>
                <w:rFonts w:hint="default" w:ascii="Times New Roman" w:hAnsi="Times New Roman" w:cs="Times New Roman"/>
                <w:sz w:val="24"/>
                <w:szCs w:val="24"/>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tc>
      </w:tr>
      <w:tr w14:paraId="0D1C81A5">
        <w:tblPrEx>
          <w:tblCellMar>
            <w:top w:w="15" w:type="dxa"/>
            <w:left w:w="15" w:type="dxa"/>
            <w:bottom w:w="15" w:type="dxa"/>
            <w:right w:w="15" w:type="dxa"/>
          </w:tblCellMar>
        </w:tblPrEx>
        <w:trPr>
          <w:trHeight w:val="1125"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110326">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6</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B291A3">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D52C3E">
            <w:pPr>
              <w:spacing w:after="0" w:line="240" w:lineRule="auto"/>
              <w:ind w:firstLine="480" w:firstLineChars="200"/>
              <w:jc w:val="both"/>
              <w:rPr>
                <w:rFonts w:hint="default" w:ascii="Times New Roman" w:hAnsi="Times New Roman" w:eastAsia="Times New Roman" w:cs="Times New Roman"/>
                <w:sz w:val="24"/>
                <w:szCs w:val="24"/>
                <w:lang w:val="uk-UA"/>
              </w:rPr>
            </w:pPr>
            <w:r>
              <w:rPr>
                <w:rFonts w:hint="default" w:ascii="Times New Roman" w:hAnsi="Times New Roman" w:eastAsia="Times New Roman" w:cs="Times New Roman"/>
                <w:color w:val="000000"/>
                <w:sz w:val="24"/>
                <w:szCs w:val="24"/>
                <w:shd w:val="clear" w:color="auto" w:fill="FFFFFF"/>
                <w:lang w:val="uk-UA"/>
              </w:rPr>
              <w:t xml:space="preserve"> Технічні, якісні характеристики предмета закупівлі та технічні специфікації до предмета закупівлі повинні визначатися замовником</w:t>
            </w:r>
            <w:r>
              <w:rPr>
                <w:rFonts w:hint="default" w:ascii="Times New Roman" w:hAnsi="Times New Roman" w:eastAsia="Times New Roman" w:cs="Times New Roman"/>
                <w:color w:val="000000"/>
                <w:sz w:val="24"/>
                <w:szCs w:val="24"/>
                <w:lang w:val="uk-UA"/>
              </w:rPr>
              <w:t xml:space="preserve"> з урахуванням вимог, визначених частини четвертою статті 5 Закону;</w:t>
            </w:r>
          </w:p>
          <w:p w14:paraId="270F32CC">
            <w:pPr>
              <w:spacing w:after="0" w:line="240" w:lineRule="auto"/>
              <w:ind w:firstLine="480" w:firstLineChars="200"/>
              <w:jc w:val="both"/>
              <w:rPr>
                <w:rFonts w:hint="default" w:ascii="Times New Roman" w:hAnsi="Times New Roman" w:eastAsia="Times New Roman" w:cs="Times New Roman"/>
                <w:sz w:val="24"/>
                <w:szCs w:val="24"/>
                <w:lang w:val="uk-UA"/>
              </w:rPr>
            </w:pPr>
            <w:r>
              <w:rPr>
                <w:rFonts w:hint="default" w:ascii="Times New Roman" w:hAnsi="Times New Roman" w:eastAsia="Times New Roman" w:cs="Times New Roman"/>
                <w:color w:val="000000"/>
                <w:sz w:val="24"/>
                <w:szCs w:val="24"/>
                <w:lang w:val="uk-UA"/>
              </w:rPr>
              <w:t>У цій документації 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 «або еквівалент»».</w:t>
            </w:r>
          </w:p>
        </w:tc>
      </w:tr>
      <w:tr w14:paraId="6DBAB31E">
        <w:tblPrEx>
          <w:tblCellMar>
            <w:top w:w="15" w:type="dxa"/>
            <w:left w:w="15" w:type="dxa"/>
            <w:bottom w:w="15" w:type="dxa"/>
            <w:right w:w="15" w:type="dxa"/>
          </w:tblCellMar>
        </w:tblPrEx>
        <w:trPr>
          <w:trHeight w:val="113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9A66000">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7</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BD974D">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DA6752">
            <w:pPr>
              <w:spacing w:after="0" w:line="240" w:lineRule="auto"/>
              <w:jc w:val="both"/>
              <w:rPr>
                <w:rFonts w:hint="default" w:ascii="Times New Roman" w:hAnsi="Times New Roman" w:eastAsia="Times New Roman" w:cs="Times New Roman"/>
                <w:sz w:val="24"/>
                <w:szCs w:val="24"/>
                <w:lang w:val="uk-UA"/>
              </w:rPr>
            </w:pPr>
            <w:r>
              <w:rPr>
                <w:rFonts w:hint="default" w:ascii="Times New Roman" w:hAnsi="Times New Roman" w:eastAsia="Times New Roman" w:cs="Times New Roman"/>
                <w:sz w:val="24"/>
                <w:szCs w:val="24"/>
                <w:rtl w:val="0"/>
              </w:rPr>
              <w:t>Вимоги до предмета закупівлі (технічні, якісні та кількісні характеристики) згідно з</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"http://zakon4.rada.gov.ua/laws/show/2289-17" \h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rtl w:val="0"/>
              </w:rPr>
              <w:t xml:space="preserve"> пунктом третім </w:t>
            </w:r>
            <w:r>
              <w:rPr>
                <w:rFonts w:hint="default" w:ascii="Times New Roman" w:hAnsi="Times New Roman" w:eastAsia="Times New Roman" w:cs="Times New Roman"/>
                <w:sz w:val="24"/>
                <w:szCs w:val="24"/>
                <w:rtl w:val="0"/>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"http://zakon4.rada.gov.ua/laws/show/2289-17" \h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rtl w:val="0"/>
              </w:rPr>
              <w:t>частини друго</w:t>
            </w:r>
            <w:r>
              <w:rPr>
                <w:rFonts w:hint="default" w:ascii="Times New Roman" w:hAnsi="Times New Roman" w:eastAsia="Times New Roman" w:cs="Times New Roman"/>
                <w:sz w:val="24"/>
                <w:szCs w:val="24"/>
                <w:u w:val="single"/>
                <w:rtl w:val="0"/>
              </w:rPr>
              <w:fldChar w:fldCharType="end"/>
            </w:r>
            <w:r>
              <w:rPr>
                <w:rFonts w:hint="default" w:ascii="Times New Roman" w:hAnsi="Times New Roman" w:eastAsia="Times New Roman" w:cs="Times New Roman"/>
                <w:sz w:val="24"/>
                <w:szCs w:val="24"/>
                <w:rtl w:val="0"/>
              </w:rPr>
              <w:t xml:space="preserve">ї статті 22 Закону зазначено в </w:t>
            </w:r>
            <w:r>
              <w:rPr>
                <w:rFonts w:hint="default" w:ascii="Times New Roman" w:hAnsi="Times New Roman" w:eastAsia="Times New Roman" w:cs="Times New Roman"/>
                <w:b/>
                <w:bCs/>
                <w:i/>
                <w:iCs/>
                <w:sz w:val="24"/>
                <w:szCs w:val="24"/>
                <w:rtl w:val="0"/>
              </w:rPr>
              <w:t>Додатку №2</w:t>
            </w:r>
            <w:r>
              <w:rPr>
                <w:rFonts w:hint="default"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sz w:val="24"/>
                <w:szCs w:val="24"/>
                <w:rtl w:val="0"/>
              </w:rPr>
              <w:t>до цієї тендерної документації.</w:t>
            </w:r>
          </w:p>
        </w:tc>
      </w:tr>
      <w:tr w14:paraId="11558283">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766954">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8</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B396DB">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Інформація про субпідрядника/співвиконавця (у випадку закупівлі робіт чи послуг)</w:t>
            </w:r>
          </w:p>
          <w:p w14:paraId="77AF1324">
            <w:pPr>
              <w:spacing w:after="0" w:line="240" w:lineRule="auto"/>
              <w:rPr>
                <w:rFonts w:ascii="Times New Roman" w:hAnsi="Times New Roman" w:eastAsia="Times New Roman" w:cs="Times New Roman"/>
                <w:sz w:val="24"/>
                <w:szCs w:val="24"/>
                <w:lang w:val="uk-UA"/>
              </w:rPr>
            </w:pP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7E4624">
            <w:pPr>
              <w:spacing w:after="0" w:line="240" w:lineRule="auto"/>
              <w:jc w:val="both"/>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rtl w:val="0"/>
              </w:rPr>
              <w:t xml:space="preserve">Учасник в складі тендерної пропозиції надає </w:t>
            </w:r>
            <w:r>
              <w:rPr>
                <w:rFonts w:ascii="Times New Roman" w:hAnsi="Times New Roman" w:eastAsia="Times New Roman" w:cs="Times New Roman"/>
                <w:b/>
                <w:bCs/>
                <w:color w:val="000000"/>
                <w:sz w:val="24"/>
                <w:szCs w:val="24"/>
                <w:rtl w:val="0"/>
              </w:rPr>
              <w:t>довідку з інформацією</w:t>
            </w:r>
            <w:r>
              <w:rPr>
                <w:rFonts w:ascii="Times New Roman" w:hAnsi="Times New Roman" w:eastAsia="Times New Roman" w:cs="Times New Roman"/>
                <w:color w:val="000000"/>
                <w:sz w:val="24"/>
                <w:szCs w:val="24"/>
                <w:rtl w:val="0"/>
              </w:rPr>
              <w:t xml:space="preserve"> про повне найменування, місцезнаходження, код ЄДРПОУ та ПІБ керівника щодо кожного суб’єкта господарювання, якого учасник планує залучати до виконання робіт чи послуг як субпідрядника/співвиконавця у обсязі не менше ніж 20 відсотків від вартості договору про закупівлю (</w:t>
            </w:r>
            <w:r>
              <w:rPr>
                <w:rFonts w:ascii="Times New Roman" w:hAnsi="Times New Roman" w:eastAsia="Times New Roman" w:cs="Times New Roman"/>
                <w:b/>
                <w:bCs/>
                <w:i/>
                <w:iCs/>
                <w:color w:val="000000"/>
                <w:sz w:val="24"/>
                <w:szCs w:val="24"/>
                <w:rtl w:val="0"/>
              </w:rPr>
              <w:t>надається у разі залучення</w:t>
            </w:r>
            <w:r>
              <w:rPr>
                <w:rFonts w:ascii="Times New Roman" w:hAnsi="Times New Roman" w:eastAsia="Times New Roman" w:cs="Times New Roman"/>
                <w:color w:val="000000"/>
                <w:sz w:val="24"/>
                <w:szCs w:val="24"/>
                <w:rtl w:val="0"/>
              </w:rPr>
              <w:t>).</w:t>
            </w:r>
          </w:p>
        </w:tc>
      </w:tr>
      <w:tr w14:paraId="331CDCDA">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7C8E3E">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9</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D69B244">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Унесення змін або відкликання тендерної пропозиції учасником</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C17887">
            <w:pPr>
              <w:spacing w:after="0" w:line="240" w:lineRule="auto"/>
              <w:ind w:firstLine="360" w:firstLineChars="150"/>
              <w:jc w:val="both"/>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 xml:space="preserve"> 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p w14:paraId="5AE8E16C">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lang w:val="uk-UA"/>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14:paraId="5072D78D">
        <w:tblPrEx>
          <w:tblCellMar>
            <w:top w:w="15" w:type="dxa"/>
            <w:left w:w="15" w:type="dxa"/>
            <w:bottom w:w="15" w:type="dxa"/>
            <w:right w:w="15" w:type="dxa"/>
          </w:tblCellMar>
        </w:tblPrEx>
        <w:trPr>
          <w:trHeight w:val="522" w:hRule="atLeast"/>
          <w:jc w:val="center"/>
        </w:trPr>
        <w:tc>
          <w:tcPr>
            <w:tcW w:w="10682" w:type="dxa"/>
            <w:gridSpan w:val="4"/>
            <w:tcBorders>
              <w:top w:val="single" w:color="000000" w:sz="4" w:space="0"/>
              <w:left w:val="single" w:color="000000" w:sz="4" w:space="0"/>
              <w:bottom w:val="single" w:color="000000" w:sz="4" w:space="0"/>
              <w:right w:val="single" w:color="000000" w:sz="4" w:space="0"/>
            </w:tcBorders>
            <w:shd w:val="clear" w:color="auto" w:fill="A5A5A5"/>
            <w:tcMar>
              <w:top w:w="0" w:type="dxa"/>
              <w:left w:w="108" w:type="dxa"/>
              <w:bottom w:w="0" w:type="dxa"/>
              <w:right w:w="108" w:type="dxa"/>
            </w:tcMar>
          </w:tcPr>
          <w:p w14:paraId="75517142">
            <w:pPr>
              <w:spacing w:after="0" w:line="240" w:lineRule="auto"/>
              <w:ind w:left="-23" w:hanging="23"/>
              <w:jc w:val="center"/>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Розділ IV. Подання та розкриття тендерної пропозиції</w:t>
            </w:r>
          </w:p>
        </w:tc>
      </w:tr>
      <w:tr w14:paraId="3A9583D2">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0C42FAF">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1</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664941">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Кінцевий строк подання тендерної пропозиції</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15260B">
            <w:pPr>
              <w:spacing w:after="0" w:line="240" w:lineRule="auto"/>
              <w:ind w:left="34" w:firstLine="360" w:firstLineChars="150"/>
              <w:jc w:val="both"/>
              <w:textAlignment w:val="baseline"/>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lang w:val="uk-UA"/>
              </w:rPr>
              <w:t xml:space="preserve"> Кінцевий строк подання тендерних пропозицій</w:t>
            </w:r>
            <w:r>
              <w:rPr>
                <w:rFonts w:ascii="Times New Roman" w:hAnsi="Times New Roman" w:eastAsia="Times New Roman" w:cs="Times New Roman"/>
                <w:b/>
                <w:bCs/>
                <w:color w:val="000000"/>
                <w:sz w:val="24"/>
                <w:szCs w:val="24"/>
                <w:lang w:val="uk-UA"/>
              </w:rPr>
              <w:t xml:space="preserve"> </w:t>
            </w:r>
            <w:r>
              <w:rPr>
                <w:rFonts w:hint="default" w:ascii="Times New Roman" w:hAnsi="Times New Roman" w:eastAsia="Times New Roman" w:cs="Times New Roman"/>
                <w:b/>
                <w:bCs/>
                <w:color w:val="000000"/>
                <w:sz w:val="24"/>
                <w:szCs w:val="24"/>
                <w:lang w:val="uk-UA"/>
              </w:rPr>
              <w:t>05</w:t>
            </w:r>
            <w:r>
              <w:rPr>
                <w:rFonts w:hint="default" w:ascii="Times New Roman" w:hAnsi="Times New Roman" w:eastAsia="Times New Roman" w:cs="Times New Roman"/>
                <w:color w:val="000000"/>
                <w:sz w:val="24"/>
                <w:szCs w:val="24"/>
                <w:highlight w:val="none"/>
                <w:lang w:val="uk-UA"/>
              </w:rPr>
              <w:t>.</w:t>
            </w:r>
            <w:r>
              <w:rPr>
                <w:rFonts w:ascii="Times New Roman" w:hAnsi="Times New Roman" w:eastAsia="Times New Roman" w:cs="Times New Roman"/>
                <w:b/>
                <w:color w:val="000000"/>
                <w:sz w:val="24"/>
                <w:szCs w:val="24"/>
                <w:highlight w:val="none"/>
                <w:lang w:val="uk-UA"/>
              </w:rPr>
              <w:t>0</w:t>
            </w:r>
            <w:r>
              <w:rPr>
                <w:rFonts w:hint="default" w:ascii="Times New Roman" w:hAnsi="Times New Roman" w:eastAsia="Times New Roman" w:cs="Times New Roman"/>
                <w:b/>
                <w:color w:val="000000"/>
                <w:sz w:val="24"/>
                <w:szCs w:val="24"/>
                <w:highlight w:val="none"/>
                <w:lang w:val="uk-UA"/>
              </w:rPr>
              <w:t>6</w:t>
            </w:r>
            <w:bookmarkStart w:id="33" w:name="_GoBack"/>
            <w:bookmarkEnd w:id="33"/>
            <w:r>
              <w:rPr>
                <w:rFonts w:ascii="Times New Roman" w:hAnsi="Times New Roman" w:eastAsia="Times New Roman" w:cs="Times New Roman"/>
                <w:b/>
                <w:color w:val="000000"/>
                <w:sz w:val="24"/>
                <w:szCs w:val="24"/>
                <w:highlight w:val="none"/>
                <w:lang w:val="uk-UA"/>
              </w:rPr>
              <w:t>.2026 року 00:00 год.</w:t>
            </w:r>
          </w:p>
          <w:p w14:paraId="42614F42">
            <w:pPr>
              <w:spacing w:after="0" w:line="240" w:lineRule="auto"/>
              <w:ind w:firstLine="360" w:firstLineChars="150"/>
              <w:jc w:val="both"/>
              <w:textAlignment w:val="baseline"/>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lang w:val="uk-UA"/>
              </w:rPr>
              <w:t xml:space="preserve"> Отримана тендерна пропозиція вноситься автоматично до реєстру отриманих тендерних пропозицій.</w:t>
            </w:r>
          </w:p>
          <w:p w14:paraId="1CB978B5">
            <w:pPr>
              <w:spacing w:after="0" w:line="240" w:lineRule="auto"/>
              <w:ind w:left="34" w:firstLine="360" w:firstLineChars="150"/>
              <w:jc w:val="both"/>
              <w:textAlignment w:val="baseline"/>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highlight w:val="none"/>
                <w:lang w:val="uk-UA"/>
              </w:rPr>
              <w:t xml:space="preserve"> 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 Еле</w:t>
            </w:r>
            <w:r>
              <w:rPr>
                <w:rFonts w:ascii="Times New Roman" w:hAnsi="Times New Roman" w:eastAsia="Times New Roman" w:cs="Times New Roman"/>
                <w:color w:val="000000"/>
                <w:sz w:val="24"/>
                <w:szCs w:val="24"/>
                <w:lang w:val="uk-UA"/>
              </w:rPr>
              <w:t>ктронна система закупівель автоматично формує та надсилає повідомлення учаснику про отримання його тендерної пропозиції із зазначенням дати та часу. Електронна система закупівель повинна забезпечити можливість подання тендерної пропозиції всім особам на рівних умовах.</w:t>
            </w:r>
          </w:p>
          <w:p w14:paraId="76E95E7A">
            <w:pPr>
              <w:spacing w:after="0" w:line="240" w:lineRule="auto"/>
              <w:ind w:left="34" w:firstLine="240" w:firstLineChars="100"/>
              <w:jc w:val="both"/>
              <w:textAlignment w:val="baseline"/>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lang w:val="uk-UA"/>
              </w:rPr>
              <w:t xml:space="preserve"> </w:t>
            </w:r>
            <w:r>
              <w:rPr>
                <w:rFonts w:ascii="Times New Roman" w:hAnsi="Times New Roman" w:eastAsia="Times New Roman" w:cs="Times New Roman"/>
                <w:color w:val="000000"/>
                <w:sz w:val="24"/>
                <w:szCs w:val="24"/>
                <w:highlight w:val="none"/>
                <w:lang w:val="uk-UA"/>
              </w:rPr>
              <w:t>Тендерні пропозиції після закінчення кінцевого строку їх подання не приймаються електронною системою закупівель.</w:t>
            </w:r>
          </w:p>
          <w:p w14:paraId="782631E4">
            <w:pPr>
              <w:spacing w:after="0" w:line="240" w:lineRule="auto"/>
              <w:ind w:left="34" w:firstLine="240" w:firstLineChars="100"/>
              <w:jc w:val="both"/>
              <w:textAlignment w:val="baseline"/>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 xml:space="preserve"> Строк для подання тендерних пропозицій не може бути менше ніж:</w:t>
            </w:r>
          </w:p>
          <w:p w14:paraId="6C54F6AE">
            <w:pPr>
              <w:spacing w:after="0" w:line="240" w:lineRule="auto"/>
              <w:ind w:left="34"/>
              <w:jc w:val="both"/>
              <w:textAlignment w:val="baseline"/>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сім днів з дня оприлюднення в електронній системі закупівель оголошення про проведення відкритих торгів на закупівлю товарів, послуг;</w:t>
            </w:r>
          </w:p>
          <w:p w14:paraId="18CD8070">
            <w:pPr>
              <w:spacing w:after="0" w:line="240" w:lineRule="auto"/>
              <w:ind w:left="34"/>
              <w:jc w:val="both"/>
              <w:textAlignment w:val="baseline"/>
              <w:rPr>
                <w:rFonts w:ascii="Times New Roman" w:hAnsi="Times New Roman" w:eastAsia="Times New Roman" w:cs="Times New Roman"/>
                <w:color w:val="000000"/>
                <w:sz w:val="24"/>
                <w:szCs w:val="24"/>
                <w:highlight w:val="none"/>
                <w:lang w:val="uk-UA"/>
              </w:rPr>
            </w:pPr>
            <w:r>
              <w:rPr>
                <w:rFonts w:ascii="Times New Roman" w:hAnsi="Times New Roman" w:eastAsia="Times New Roman" w:cs="Times New Roman"/>
                <w:color w:val="000000"/>
                <w:sz w:val="24"/>
                <w:szCs w:val="24"/>
                <w:highlight w:val="none"/>
                <w:lang w:val="uk-UA"/>
              </w:rPr>
              <w:t>14 днів з дня оприлюднення в електронній системі закупівель оголошення про проведення відкритих торгів на закупівлю робіт.</w:t>
            </w:r>
          </w:p>
          <w:p w14:paraId="2A2A79F5">
            <w:pPr>
              <w:spacing w:after="0" w:line="240" w:lineRule="auto"/>
              <w:ind w:left="34" w:firstLine="360" w:firstLineChars="150"/>
              <w:jc w:val="both"/>
              <w:textAlignment w:val="baseline"/>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highlight w:val="none"/>
                <w:lang w:val="uk-UA"/>
              </w:rPr>
              <w:t xml:space="preserve"> 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tc>
      </w:tr>
      <w:tr w14:paraId="0F34562C">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EEE4A3">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2</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C5F06C">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Дата та час розкриття тендерної пропозиції</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E8">
            <w:pPr>
              <w:widowControl w:val="0"/>
              <w:spacing w:after="0" w:line="240" w:lineRule="auto"/>
              <w:ind w:firstLine="39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000000E9">
            <w:pPr>
              <w:widowControl w:val="0"/>
              <w:spacing w:after="0" w:line="240" w:lineRule="auto"/>
              <w:ind w:firstLine="39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0616A706">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sz w:val="24"/>
                <w:szCs w:val="24"/>
                <w:rtl w:val="0"/>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tc>
      </w:tr>
      <w:tr w14:paraId="0D4DF4BB">
        <w:tblPrEx>
          <w:tblCellMar>
            <w:top w:w="15" w:type="dxa"/>
            <w:left w:w="15" w:type="dxa"/>
            <w:bottom w:w="15" w:type="dxa"/>
            <w:right w:w="15" w:type="dxa"/>
          </w:tblCellMar>
        </w:tblPrEx>
        <w:trPr>
          <w:trHeight w:val="522" w:hRule="atLeast"/>
          <w:jc w:val="center"/>
        </w:trPr>
        <w:tc>
          <w:tcPr>
            <w:tcW w:w="10682" w:type="dxa"/>
            <w:gridSpan w:val="4"/>
            <w:tcBorders>
              <w:top w:val="single" w:color="000000" w:sz="4" w:space="0"/>
              <w:left w:val="single" w:color="000000" w:sz="4" w:space="0"/>
              <w:bottom w:val="single" w:color="000000" w:sz="4" w:space="0"/>
              <w:right w:val="single" w:color="000000" w:sz="4" w:space="0"/>
            </w:tcBorders>
            <w:shd w:val="clear" w:color="auto" w:fill="A5A5A5"/>
            <w:tcMar>
              <w:top w:w="0" w:type="dxa"/>
              <w:left w:w="108" w:type="dxa"/>
              <w:bottom w:w="0" w:type="dxa"/>
              <w:right w:w="108" w:type="dxa"/>
            </w:tcMar>
          </w:tcPr>
          <w:p w14:paraId="65DA9333">
            <w:pPr>
              <w:spacing w:after="0" w:line="240" w:lineRule="auto"/>
              <w:jc w:val="center"/>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Розділ V. Оцінка тендерної пропозиції</w:t>
            </w:r>
          </w:p>
        </w:tc>
      </w:tr>
      <w:tr w14:paraId="22AFAA86">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B25E50">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1</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D8D545">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Перелік критеріїв та методика оцінки тендерної пропозиції із зазначенням питомої ваги критерію</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0">
            <w:pPr>
              <w:widowControl w:val="0"/>
              <w:spacing w:after="0" w:line="240" w:lineRule="auto"/>
              <w:ind w:firstLine="45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Розгляд та оцінка тендерних пропозицій здійснюються відповідно до статті 29 Закону (положення частин другої, дванадцятої, шістнадцятої, абзаців другого і третього частини п’ятнадцятої статті 29 Закону не застосовуються) з урахуванням положень пункту 43 Особливостей.</w:t>
            </w:r>
          </w:p>
          <w:p w14:paraId="000000F1">
            <w:pPr>
              <w:widowControl w:val="0"/>
              <w:spacing w:after="0" w:line="240" w:lineRule="auto"/>
              <w:ind w:firstLine="45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000000F2">
            <w:pPr>
              <w:widowControl w:val="0"/>
              <w:spacing w:after="0" w:line="240" w:lineRule="auto"/>
              <w:ind w:firstLine="45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Критерії та методика оцінки визначаються відповідно до статті 29 Закону.</w:t>
            </w:r>
          </w:p>
          <w:p w14:paraId="000000F3">
            <w:pPr>
              <w:widowControl w:val="0"/>
              <w:spacing w:after="0" w:line="240" w:lineRule="auto"/>
              <w:ind w:firstLine="459"/>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Перелік критеріїв та методика оцінки тендерної пропозиції із зазначенням питомої ваги критерію:</w:t>
            </w:r>
          </w:p>
          <w:p w14:paraId="000000F4">
            <w:pPr>
              <w:widowControl w:val="0"/>
              <w:spacing w:after="0" w:line="240" w:lineRule="auto"/>
              <w:ind w:firstLine="45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 (</w:t>
            </w:r>
            <w:r>
              <w:rPr>
                <w:rFonts w:ascii="Times New Roman" w:hAnsi="Times New Roman" w:eastAsia="Times New Roman" w:cs="Times New Roman"/>
                <w:i/>
                <w:iCs/>
                <w:sz w:val="24"/>
                <w:szCs w:val="24"/>
                <w:rtl w:val="0"/>
              </w:rPr>
              <w:t>у разі якщо подано дві і більше тендерних пропозицій</w:t>
            </w:r>
            <w:r>
              <w:rPr>
                <w:rFonts w:ascii="Times New Roman" w:hAnsi="Times New Roman" w:eastAsia="Times New Roman" w:cs="Times New Roman"/>
                <w:sz w:val="24"/>
                <w:szCs w:val="24"/>
                <w:rtl w:val="0"/>
              </w:rPr>
              <w:t>).</w:t>
            </w:r>
          </w:p>
          <w:p w14:paraId="000000F5">
            <w:pPr>
              <w:widowControl w:val="0"/>
              <w:spacing w:after="0" w:line="240" w:lineRule="auto"/>
              <w:ind w:firstLine="45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000000F6">
            <w:pPr>
              <w:widowControl w:val="0"/>
              <w:spacing w:after="0" w:line="240" w:lineRule="auto"/>
              <w:ind w:firstLine="45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000000F7">
            <w:pPr>
              <w:widowControl w:val="0"/>
              <w:spacing w:after="0" w:line="240" w:lineRule="auto"/>
              <w:ind w:firstLine="459"/>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tl w:val="0"/>
              </w:rPr>
              <w:t xml:space="preserve">Ціна тендерної пропозиції </w:t>
            </w:r>
            <w:r>
              <w:rPr>
                <w:rFonts w:ascii="Times New Roman" w:hAnsi="Times New Roman" w:eastAsia="Times New Roman" w:cs="Times New Roman"/>
                <w:i/>
                <w:iCs/>
                <w:color w:val="FF0000"/>
                <w:sz w:val="24"/>
                <w:szCs w:val="24"/>
                <w:rtl w:val="0"/>
              </w:rPr>
              <w:t>не може</w:t>
            </w:r>
            <w:r>
              <w:rPr>
                <w:rFonts w:ascii="Times New Roman" w:hAnsi="Times New Roman" w:eastAsia="Times New Roman" w:cs="Times New Roman"/>
                <w:i/>
                <w:iCs/>
                <w:sz w:val="24"/>
                <w:szCs w:val="24"/>
                <w:rtl w:val="0"/>
              </w:rPr>
              <w:t xml:space="preserve">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000000F8">
            <w:pPr>
              <w:widowControl w:val="0"/>
              <w:spacing w:after="0" w:line="240" w:lineRule="auto"/>
              <w:ind w:firstLine="459"/>
              <w:jc w:val="both"/>
              <w:rPr>
                <w:rFonts w:ascii="Times New Roman" w:hAnsi="Times New Roman" w:eastAsia="Times New Roman" w:cs="Times New Roman"/>
                <w:b/>
                <w:bCs/>
                <w:i/>
                <w:iCs/>
                <w:color w:val="4A86E8"/>
                <w:sz w:val="24"/>
                <w:szCs w:val="24"/>
              </w:rPr>
            </w:pPr>
            <w:r>
              <w:rPr>
                <w:rFonts w:ascii="Times New Roman" w:hAnsi="Times New Roman" w:eastAsia="Times New Roman" w:cs="Times New Roman"/>
                <w:i/>
                <w:iCs/>
                <w:sz w:val="24"/>
                <w:szCs w:val="24"/>
                <w:rtl w:val="0"/>
              </w:rPr>
              <w:t xml:space="preserve">До розгляду </w:t>
            </w:r>
            <w:r>
              <w:rPr>
                <w:rFonts w:ascii="Times New Roman" w:hAnsi="Times New Roman" w:eastAsia="Times New Roman" w:cs="Times New Roman"/>
                <w:i/>
                <w:iCs/>
                <w:color w:val="FF0000"/>
                <w:sz w:val="24"/>
                <w:szCs w:val="24"/>
                <w:u w:val="single"/>
                <w:rtl w:val="0"/>
              </w:rPr>
              <w:t xml:space="preserve">не приймається </w:t>
            </w:r>
            <w:r>
              <w:rPr>
                <w:rFonts w:ascii="Times New Roman" w:hAnsi="Times New Roman" w:eastAsia="Times New Roman" w:cs="Times New Roman"/>
                <w:i/>
                <w:iCs/>
                <w:sz w:val="24"/>
                <w:szCs w:val="24"/>
                <w:rtl w:val="0"/>
              </w:rPr>
              <w:t>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000000F9">
            <w:pPr>
              <w:widowControl w:val="0"/>
              <w:spacing w:after="0" w:line="240" w:lineRule="auto"/>
              <w:ind w:firstLine="45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До оцінки тендерних пропозицій приймається сума, що становить загальну вартість тендерної пропозиції кожного окремого учасника, розрахована з урахуванням вимог щодо технічних, якісних та кількісних характеристик предмету закупівлі, визначених цією документацією, в тому числі з урахуванням включення до ціни податку на додану вартість (ПДВ), якщо учасник є платником ПДВ, інших податків та зборів, що передбачені чинним законодавством, та мають бути включені таким учасником до вартості товарів, робіт або послуг.</w:t>
            </w:r>
          </w:p>
          <w:p w14:paraId="000000FA">
            <w:pPr>
              <w:spacing w:after="0" w:line="240" w:lineRule="auto"/>
              <w:ind w:firstLine="459"/>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Критерії та методика оцінки:</w:t>
            </w:r>
          </w:p>
          <w:p w14:paraId="000000FB">
            <w:pPr>
              <w:spacing w:after="0" w:line="240" w:lineRule="auto"/>
              <w:ind w:firstLine="459"/>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Оцінка пропозицій здійснюється на основі наступного критерію - «Ціна».</w:t>
            </w:r>
          </w:p>
          <w:p w14:paraId="000000FC">
            <w:pPr>
              <w:spacing w:after="0" w:line="240" w:lineRule="auto"/>
              <w:ind w:firstLine="459"/>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Питома вага цінового критерію – 100 %.</w:t>
            </w:r>
          </w:p>
          <w:p w14:paraId="000000FD">
            <w:pPr>
              <w:spacing w:after="0" w:line="240" w:lineRule="auto"/>
              <w:ind w:firstLine="459"/>
              <w:jc w:val="both"/>
              <w:rPr>
                <w:rFonts w:ascii="Times New Roman" w:hAnsi="Times New Roman" w:eastAsia="Times New Roman" w:cs="Times New Roman"/>
                <w:b/>
                <w:bCs/>
                <w:sz w:val="24"/>
                <w:szCs w:val="24"/>
                <w:highlight w:val="white"/>
              </w:rPr>
            </w:pPr>
            <w:r>
              <w:rPr>
                <w:rFonts w:ascii="Times New Roman" w:hAnsi="Times New Roman" w:eastAsia="Times New Roman" w:cs="Times New Roman"/>
                <w:b/>
                <w:bCs/>
                <w:sz w:val="24"/>
                <w:szCs w:val="24"/>
                <w:highlight w:val="white"/>
                <w:rtl w:val="0"/>
              </w:rPr>
              <w:t>Ціна тендерної пропозиції повинна:</w:t>
            </w:r>
          </w:p>
          <w:p w14:paraId="000000FE">
            <w:pPr>
              <w:spacing w:after="0" w:line="240" w:lineRule="auto"/>
              <w:ind w:firstLine="459"/>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бути визначена на момент подання тендерної пропозиції;</w:t>
            </w:r>
          </w:p>
          <w:p w14:paraId="000000FF">
            <w:pPr>
              <w:spacing w:after="0" w:line="240" w:lineRule="auto"/>
              <w:ind w:firstLine="459"/>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бути визначена з урахуванням норм чинного законодавства України;</w:t>
            </w:r>
          </w:p>
          <w:p w14:paraId="00000100">
            <w:pPr>
              <w:spacing w:after="0" w:line="240" w:lineRule="auto"/>
              <w:ind w:firstLine="459"/>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бути визначена чітко та остаточно без будь-яких посилань, обмежень або застережень.</w:t>
            </w:r>
          </w:p>
          <w:p w14:paraId="00000101">
            <w:pPr>
              <w:spacing w:after="0" w:line="240" w:lineRule="auto"/>
              <w:ind w:firstLine="459"/>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В ціновій пропозиції ціну за товар потрібно вказувати за одиницю виміру, яка вказана в технічному завданні.</w:t>
            </w:r>
          </w:p>
          <w:p w14:paraId="00000102">
            <w:pPr>
              <w:spacing w:after="0" w:line="240" w:lineRule="auto"/>
              <w:ind w:firstLine="459"/>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Неврахована учасником вартість окремих товарів/послуг/робіт не сплачується Замовником окремо, а витрати на їх виконання вважаються врахованими у загальній ціні його пропозиції.</w:t>
            </w:r>
          </w:p>
          <w:p w14:paraId="00000103">
            <w:pPr>
              <w:spacing w:after="0" w:line="240" w:lineRule="auto"/>
              <w:ind w:firstLine="454"/>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Учасник відповідає за одержання будь-яких та всіх необхідних дозволів, ліцензій, сертифікатів та самостійно несе всі витрати на отримання таких дозволів, ліцензій, сертифікатів.</w:t>
            </w:r>
          </w:p>
          <w:p w14:paraId="00000104">
            <w:pPr>
              <w:spacing w:after="0" w:line="240" w:lineRule="auto"/>
              <w:ind w:firstLine="454"/>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Будь-які витрати, понесені учасником-переможцем процедури закупівлі у зв’язку з участю у процедурі закупівлі та укладенням договору не вважаються збитками і не підлягають відшкодуванню учаснику.</w:t>
            </w:r>
          </w:p>
          <w:p w14:paraId="59BDC819">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sz w:val="24"/>
                <w:szCs w:val="24"/>
                <w:rtl w:val="0"/>
              </w:rPr>
              <w:t xml:space="preserve">Розмір мінімального кроку пониження ціни під час електронного </w:t>
            </w:r>
            <w:r>
              <w:rPr>
                <w:rFonts w:ascii="Times New Roman" w:hAnsi="Times New Roman" w:eastAsia="Times New Roman" w:cs="Times New Roman"/>
                <w:b/>
                <w:bCs/>
                <w:sz w:val="24"/>
                <w:szCs w:val="24"/>
                <w:highlight w:val="none"/>
                <w:rtl w:val="0"/>
              </w:rPr>
              <w:t xml:space="preserve">аукціону – </w:t>
            </w:r>
            <w:r>
              <w:rPr>
                <w:rFonts w:hint="default" w:ascii="Times New Roman" w:hAnsi="Times New Roman" w:eastAsia="Times New Roman" w:cs="Times New Roman"/>
                <w:b/>
                <w:bCs/>
                <w:sz w:val="24"/>
                <w:szCs w:val="24"/>
                <w:highlight w:val="none"/>
                <w:rtl w:val="0"/>
                <w:lang w:val="uk-UA"/>
              </w:rPr>
              <w:t>0,5</w:t>
            </w:r>
            <w:r>
              <w:rPr>
                <w:rFonts w:ascii="Times New Roman" w:hAnsi="Times New Roman" w:eastAsia="Times New Roman" w:cs="Times New Roman"/>
                <w:b/>
                <w:bCs/>
                <w:sz w:val="24"/>
                <w:szCs w:val="24"/>
                <w:highlight w:val="none"/>
                <w:rtl w:val="0"/>
              </w:rPr>
              <w:t xml:space="preserve"> % </w:t>
            </w:r>
          </w:p>
        </w:tc>
      </w:tr>
      <w:tr w14:paraId="329D6AED">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2DA79A">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2</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839F61">
            <w:pPr>
              <w:shd w:val="clear" w:color="auto" w:fill="FFFFFF"/>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Опис та приклади формальних (несуттєвих) помилок, допущення яких учасниками не призведе до відхилення їх тендерних пропозицій. </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8">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наступній редакції:</w:t>
            </w:r>
          </w:p>
          <w:p w14:paraId="00000109">
            <w:pPr>
              <w:shd w:val="clear" w:fill="FFFFFF"/>
              <w:spacing w:after="0" w:line="240" w:lineRule="auto"/>
              <w:ind w:firstLine="393"/>
              <w:jc w:val="both"/>
              <w:rPr>
                <w:rFonts w:ascii="Times New Roman" w:hAnsi="Times New Roman" w:eastAsia="Times New Roman" w:cs="Times New Roman"/>
                <w:color w:val="000000"/>
                <w:sz w:val="24"/>
                <w:szCs w:val="24"/>
              </w:rPr>
            </w:pPr>
          </w:p>
          <w:p w14:paraId="0000010A">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w:t>
            </w:r>
          </w:p>
          <w:p w14:paraId="0000010B">
            <w:pPr>
              <w:shd w:val="clear" w:fill="FFFFFF"/>
              <w:spacing w:after="0" w:line="240" w:lineRule="auto"/>
              <w:ind w:firstLine="393"/>
              <w:jc w:val="both"/>
              <w:rPr>
                <w:rFonts w:ascii="Times New Roman" w:hAnsi="Times New Roman" w:eastAsia="Times New Roman" w:cs="Times New Roman"/>
                <w:b/>
                <w:bCs/>
                <w:i/>
                <w:iCs/>
                <w:color w:val="000000"/>
                <w:sz w:val="24"/>
                <w:szCs w:val="24"/>
              </w:rPr>
            </w:pPr>
            <w:r>
              <w:rPr>
                <w:rFonts w:ascii="Times New Roman" w:hAnsi="Times New Roman" w:eastAsia="Times New Roman" w:cs="Times New Roman"/>
                <w:b/>
                <w:bCs/>
                <w:i/>
                <w:iCs/>
                <w:color w:val="000000"/>
                <w:sz w:val="24"/>
                <w:szCs w:val="24"/>
                <w:rtl w:val="0"/>
              </w:rPr>
              <w:t>Опис формальних помилок:</w:t>
            </w:r>
          </w:p>
          <w:p w14:paraId="0000010C">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1.</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Інформація / документ, подана учасником процедури закупівлі у складі тендерної пропозиції, містить помилку (помилки) у частині:</w:t>
            </w:r>
          </w:p>
          <w:p w14:paraId="0000010D">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уживання великої літери;</w:t>
            </w:r>
          </w:p>
          <w:p w14:paraId="0000010E">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уживання розділових знаків та відмінювання слів у реченні;</w:t>
            </w:r>
          </w:p>
          <w:p w14:paraId="0000010F">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використання слова або мовного звороту, запозичених з іншої мови;</w:t>
            </w:r>
          </w:p>
          <w:p w14:paraId="00000110">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00000111">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застосування правил переносу частини слова з рядка в рядок;</w:t>
            </w:r>
          </w:p>
          <w:p w14:paraId="00000112">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написання слів разом та/або окремо, та/або через дефіс;</w:t>
            </w:r>
          </w:p>
          <w:p w14:paraId="00000113">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00000114">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2.</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 / 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 / або не стосується характеристики предмета закупівлі, кваліфікаційних критеріїв до учасника процедури закупівлі.</w:t>
            </w:r>
          </w:p>
          <w:p w14:paraId="00000115">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3.</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00000116">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4.</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Окрема сторінка (сторінки) копії документа (документів) не завірена підписом та / або печаткою учасника процедури закупівлі (у разі її використання).</w:t>
            </w:r>
          </w:p>
          <w:p w14:paraId="00000117">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5.</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00000118">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6.</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00000119">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7.</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0000011A">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8.</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0000011B">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9.</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0000011C">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10.</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 xml:space="preserve">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0000011D">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11.</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 xml:space="preserve">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0000011E">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12.</w:t>
            </w:r>
            <w:r>
              <w:rPr>
                <w:rFonts w:ascii="Times New Roman" w:hAnsi="Times New Roman" w:eastAsia="Times New Roman" w:cs="Times New Roman"/>
                <w:color w:val="000000"/>
                <w:sz w:val="24"/>
                <w:szCs w:val="24"/>
                <w:rtl w:val="0"/>
              </w:rPr>
              <w:tab/>
            </w:r>
            <w:r>
              <w:rPr>
                <w:rFonts w:ascii="Times New Roman" w:hAnsi="Times New Roman" w:eastAsia="Times New Roman" w:cs="Times New Roman"/>
                <w:color w:val="000000"/>
                <w:sz w:val="24"/>
                <w:szCs w:val="24"/>
                <w:rtl w:val="0"/>
              </w:rPr>
              <w:t xml:space="preserve">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0000011F">
            <w:pPr>
              <w:shd w:val="clear" w:fill="FFFFFF"/>
              <w:spacing w:after="0" w:line="240" w:lineRule="auto"/>
              <w:ind w:firstLine="393"/>
              <w:jc w:val="both"/>
              <w:rPr>
                <w:rFonts w:ascii="Times New Roman" w:hAnsi="Times New Roman" w:eastAsia="Times New Roman" w:cs="Times New Roman"/>
                <w:b/>
                <w:bCs/>
                <w:i/>
                <w:iCs/>
                <w:color w:val="000000"/>
                <w:sz w:val="24"/>
                <w:szCs w:val="24"/>
              </w:rPr>
            </w:pPr>
            <w:r>
              <w:rPr>
                <w:rFonts w:ascii="Times New Roman" w:hAnsi="Times New Roman" w:eastAsia="Times New Roman" w:cs="Times New Roman"/>
                <w:b/>
                <w:bCs/>
                <w:i/>
                <w:iCs/>
                <w:color w:val="000000"/>
                <w:sz w:val="24"/>
                <w:szCs w:val="24"/>
                <w:rtl w:val="0"/>
              </w:rPr>
              <w:t>Приклади формальних помилок:</w:t>
            </w:r>
          </w:p>
          <w:p w14:paraId="00000120">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00000121">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«м.київ» замість «м.Київ»;</w:t>
            </w:r>
          </w:p>
          <w:p w14:paraId="00000122">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«поряд -ок» замість «поря – док»;</w:t>
            </w:r>
          </w:p>
          <w:p w14:paraId="00000123">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«ненадається» замість «не надається»»;</w:t>
            </w:r>
          </w:p>
          <w:p w14:paraId="00000124">
            <w:pPr>
              <w:shd w:val="clear" w:fill="FFFFFF"/>
              <w:spacing w:after="0" w:line="240" w:lineRule="auto"/>
              <w:ind w:firstLine="3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«______________№_____________» замість «14.08.2020 №320/13/14-01»</w:t>
            </w:r>
          </w:p>
          <w:p w14:paraId="70497950">
            <w:pPr>
              <w:shd w:val="clear" w:color="auto" w:fill="FFFFFF"/>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rtl w:val="0"/>
              </w:rPr>
              <w:t xml:space="preserve">- учасник розмістив (завантажив) документ у форматі «JPG» замість  документа у форматі «pdf» (PortableDocumentFormat)». </w:t>
            </w:r>
          </w:p>
        </w:tc>
      </w:tr>
      <w:tr w14:paraId="6AB04BC3">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C1BCBA1">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3</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15FCEE8">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Інша інформація</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8">
            <w:pPr>
              <w:widowControl w:val="0"/>
              <w:spacing w:after="0" w:line="240" w:lineRule="auto"/>
              <w:ind w:firstLine="39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Замовник у тендерній документації може зазначити іншу інформацію відповідно до вимог законодавства, яку вважає за необхідне включити.</w:t>
            </w:r>
          </w:p>
          <w:p w14:paraId="00000129">
            <w:pPr>
              <w:widowControl w:val="0"/>
              <w:spacing w:after="0" w:line="240" w:lineRule="auto"/>
              <w:ind w:firstLine="39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p w14:paraId="0000012A">
            <w:pPr>
              <w:widowControl w:val="0"/>
              <w:spacing w:after="0" w:line="240" w:lineRule="auto"/>
              <w:ind w:firstLine="399"/>
              <w:jc w:val="both"/>
              <w:rPr>
                <w:rFonts w:ascii="Times New Roman" w:hAnsi="Times New Roman" w:eastAsia="Times New Roman" w:cs="Times New Roman"/>
                <w:b/>
                <w:bCs/>
                <w:i/>
                <w:iCs/>
                <w:sz w:val="24"/>
                <w:szCs w:val="24"/>
              </w:rPr>
            </w:pPr>
            <w:r>
              <w:rPr>
                <w:rFonts w:ascii="Times New Roman" w:hAnsi="Times New Roman" w:eastAsia="Times New Roman" w:cs="Times New Roman"/>
                <w:sz w:val="24"/>
                <w:szCs w:val="24"/>
                <w:rtl w:val="0"/>
              </w:rPr>
              <w:t xml:space="preserve">Учасник процедури закупівлі, який надав найбільш економічно вигідну тендерну пропозицію, що є аномально низькою, повинен </w:t>
            </w:r>
            <w:r>
              <w:rPr>
                <w:rFonts w:ascii="Times New Roman" w:hAnsi="Times New Roman" w:eastAsia="Times New Roman" w:cs="Times New Roman"/>
                <w:b/>
                <w:bCs/>
                <w:i/>
                <w:iCs/>
                <w:sz w:val="24"/>
                <w:szCs w:val="24"/>
                <w:rtl w:val="0"/>
              </w:rPr>
              <w:t>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0000012B">
            <w:pPr>
              <w:widowControl w:val="0"/>
              <w:spacing w:after="0" w:line="240" w:lineRule="auto"/>
              <w:ind w:firstLine="39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Замовник може відхилити аномально низьку тендерну пропозицію, якщо учасник не надав належного обґрунтування зазначеної в ній ціни або вартості, та відхиляє аномально низьку тендерну пропозицію в разі ненадходження такого обґрунтування протягом визначеного строку. </w:t>
            </w:r>
          </w:p>
          <w:p w14:paraId="0000012C">
            <w:pPr>
              <w:widowControl w:val="0"/>
              <w:spacing w:after="0" w:line="240" w:lineRule="auto"/>
              <w:ind w:firstLine="393"/>
              <w:jc w:val="both"/>
              <w:rPr>
                <w:rFonts w:ascii="Times New Roman" w:hAnsi="Times New Roman" w:eastAsia="Times New Roman" w:cs="Times New Roman"/>
                <w:sz w:val="24"/>
                <w:szCs w:val="24"/>
              </w:rPr>
            </w:pPr>
          </w:p>
          <w:p w14:paraId="0000012D">
            <w:pPr>
              <w:widowControl w:val="0"/>
              <w:spacing w:after="0" w:line="240" w:lineRule="auto"/>
              <w:ind w:firstLine="39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0000012E">
            <w:pPr>
              <w:widowControl w:val="0"/>
              <w:spacing w:after="0" w:line="240" w:lineRule="auto"/>
              <w:ind w:firstLine="39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0000012F">
            <w:pPr>
              <w:widowControl w:val="0"/>
              <w:spacing w:after="0" w:line="240" w:lineRule="auto"/>
              <w:ind w:firstLine="39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00000130">
            <w:pPr>
              <w:widowControl w:val="0"/>
              <w:spacing w:after="0" w:line="240" w:lineRule="auto"/>
              <w:ind w:firstLine="399"/>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Під невідповідністю</w:t>
            </w:r>
            <w:r>
              <w:rPr>
                <w:rFonts w:ascii="Times New Roman" w:hAnsi="Times New Roman" w:eastAsia="Times New Roman" w:cs="Times New Roman"/>
                <w:sz w:val="24"/>
                <w:szCs w:val="24"/>
                <w:rtl w:val="0"/>
              </w:rPr>
              <w:t xml:space="preserve">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00000131">
            <w:pPr>
              <w:widowControl w:val="0"/>
              <w:spacing w:after="0" w:line="240" w:lineRule="auto"/>
              <w:ind w:firstLine="39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00000132">
            <w:pPr>
              <w:widowControl w:val="0"/>
              <w:spacing w:after="0" w:line="240" w:lineRule="auto"/>
              <w:ind w:firstLine="39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w:t>
            </w:r>
            <w:r>
              <w:rPr>
                <w:rFonts w:ascii="Times New Roman" w:hAnsi="Times New Roman" w:eastAsia="Times New Roman" w:cs="Times New Roman"/>
                <w:b/>
                <w:bCs/>
                <w:i/>
                <w:iCs/>
                <w:sz w:val="24"/>
                <w:szCs w:val="24"/>
                <w:rtl w:val="0"/>
              </w:rPr>
              <w:t>протягом 24 годин</w:t>
            </w:r>
            <w:r>
              <w:rPr>
                <w:rFonts w:ascii="Times New Roman" w:hAnsi="Times New Roman" w:eastAsia="Times New Roman" w:cs="Times New Roman"/>
                <w:sz w:val="24"/>
                <w:szCs w:val="24"/>
                <w:rtl w:val="0"/>
              </w:rPr>
              <w:t xml:space="preserve"> з моменту розміщення замовником в електронній системі закупівель повідомлення з вимогою про усунення таких невідповідностей.</w:t>
            </w:r>
          </w:p>
          <w:p w14:paraId="00000133">
            <w:pPr>
              <w:widowControl w:val="0"/>
              <w:shd w:val="clear" w:fill="FFFFFF"/>
              <w:spacing w:after="0" w:line="240" w:lineRule="auto"/>
              <w:ind w:firstLine="39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Замовник розглядає подані тендерні пропозиції з урахуванням виправлення або невиправлення учасниками виявлених невідповідностей.</w:t>
            </w:r>
          </w:p>
          <w:p w14:paraId="00000134">
            <w:pPr>
              <w:widowControl w:val="0"/>
              <w:shd w:val="clear" w:fill="FFFFFF"/>
              <w:spacing w:after="0" w:line="240" w:lineRule="auto"/>
              <w:ind w:firstLine="391"/>
              <w:jc w:val="both"/>
              <w:rPr>
                <w:rFonts w:ascii="Times New Roman" w:hAnsi="Times New Roman" w:eastAsia="Times New Roman" w:cs="Times New Roman"/>
                <w:color w:val="000000"/>
                <w:sz w:val="24"/>
                <w:szCs w:val="24"/>
              </w:rPr>
            </w:pPr>
          </w:p>
          <w:p w14:paraId="00000135">
            <w:pPr>
              <w:widowControl w:val="0"/>
              <w:shd w:val="clear" w:fill="FFFFFF"/>
              <w:spacing w:after="0" w:line="240" w:lineRule="auto"/>
              <w:ind w:firstLine="39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У разі відхилення тендерної пропозиції з підстави, визначеної підпунктом 3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14:paraId="00000136">
            <w:pPr>
              <w:widowControl w:val="0"/>
              <w:shd w:val="clear" w:fill="FFFFFF"/>
              <w:spacing w:after="0" w:line="240" w:lineRule="auto"/>
              <w:ind w:firstLine="39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00000137">
            <w:pPr>
              <w:widowControl w:val="0"/>
              <w:pBdr>
                <w:top w:val="none" w:color="auto" w:sz="0" w:space="0"/>
                <w:left w:val="none" w:color="auto" w:sz="0" w:space="0"/>
                <w:bottom w:val="none" w:color="auto" w:sz="0" w:space="0"/>
                <w:right w:val="none" w:color="auto" w:sz="0" w:space="0"/>
                <w:between w:val="none" w:color="auto" w:sz="0" w:space="0"/>
              </w:pBdr>
              <w:spacing w:after="0" w:line="240" w:lineRule="auto"/>
              <w:ind w:firstLine="53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У разі коли учасник процедури закупівлі стає переможцем кількох або всіх лотів, замовник може укласти один договір про закупівлю з переможцем, об’єднавши лоти (у разі здійснення закупівлі за лотами).</w:t>
            </w:r>
          </w:p>
          <w:p w14:paraId="00000138">
            <w:pPr>
              <w:widowControl w:val="0"/>
              <w:pBdr>
                <w:top w:val="none" w:color="auto" w:sz="0" w:space="0"/>
                <w:left w:val="none" w:color="auto" w:sz="0" w:space="0"/>
                <w:bottom w:val="none" w:color="auto" w:sz="0" w:space="0"/>
                <w:right w:val="none" w:color="auto" w:sz="0" w:space="0"/>
                <w:between w:val="none" w:color="auto" w:sz="0" w:space="0"/>
              </w:pBdr>
              <w:spacing w:after="0" w:line="240" w:lineRule="auto"/>
              <w:ind w:firstLine="53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Учасники при поданні тендерної пропозиції повинні враховувати норми (</w:t>
            </w:r>
            <w:r>
              <w:rPr>
                <w:rFonts w:ascii="Times New Roman" w:hAnsi="Times New Roman" w:eastAsia="Times New Roman" w:cs="Times New Roman"/>
                <w:i/>
                <w:iCs/>
                <w:sz w:val="24"/>
                <w:szCs w:val="24"/>
                <w:rtl w:val="0"/>
              </w:rPr>
              <w:t>врахуванням вважається факт подання тендерної пропозиції, що учасник ознайомлений з даним нормами і їх не порушує, жодні окремі підтвердження не потрібно подавати</w:t>
            </w:r>
            <w:r>
              <w:rPr>
                <w:rFonts w:ascii="Times New Roman" w:hAnsi="Times New Roman" w:eastAsia="Times New Roman" w:cs="Times New Roman"/>
                <w:sz w:val="24"/>
                <w:szCs w:val="24"/>
                <w:rtl w:val="0"/>
              </w:rPr>
              <w:t>):</w:t>
            </w:r>
          </w:p>
          <w:p w14:paraId="00000139">
            <w:pPr>
              <w:widowControl w:val="0"/>
              <w:pBdr>
                <w:top w:val="none" w:color="auto" w:sz="0" w:space="0"/>
                <w:left w:val="none" w:color="auto" w:sz="0" w:space="0"/>
                <w:bottom w:val="none" w:color="auto" w:sz="0" w:space="0"/>
                <w:right w:val="none" w:color="auto" w:sz="0" w:space="0"/>
                <w:between w:val="none" w:color="auto" w:sz="0" w:space="0"/>
              </w:pBdr>
              <w:tabs>
                <w:tab w:val="left" w:pos="966"/>
              </w:tabs>
              <w:spacing w:after="0" w:line="240" w:lineRule="auto"/>
              <w:ind w:firstLine="53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0000013A">
            <w:pPr>
              <w:widowControl w:val="0"/>
              <w:pBdr>
                <w:top w:val="none" w:color="auto" w:sz="0" w:space="0"/>
                <w:left w:val="none" w:color="auto" w:sz="0" w:space="0"/>
                <w:bottom w:val="none" w:color="auto" w:sz="0" w:space="0"/>
                <w:right w:val="none" w:color="auto" w:sz="0" w:space="0"/>
                <w:between w:val="none" w:color="auto" w:sz="0" w:space="0"/>
              </w:pBdr>
              <w:tabs>
                <w:tab w:val="left" w:pos="966"/>
              </w:tabs>
              <w:spacing w:after="0" w:line="240" w:lineRule="auto"/>
              <w:ind w:firstLine="53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0000013B">
            <w:pPr>
              <w:widowControl w:val="0"/>
              <w:pBdr>
                <w:top w:val="none" w:color="auto" w:sz="0" w:space="0"/>
                <w:left w:val="none" w:color="auto" w:sz="0" w:space="0"/>
                <w:bottom w:val="none" w:color="auto" w:sz="0" w:space="0"/>
                <w:right w:val="none" w:color="auto" w:sz="0" w:space="0"/>
                <w:between w:val="none" w:color="auto" w:sz="0" w:space="0"/>
              </w:pBdr>
              <w:tabs>
                <w:tab w:val="left" w:pos="966"/>
              </w:tabs>
              <w:spacing w:after="0" w:line="240" w:lineRule="auto"/>
              <w:ind w:firstLine="53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Закону України «Про забезпечення прав і свобод громадян та правовий режим на тимчасово окупованій території України» від 15.04.2014 № 1207-VII..</w:t>
            </w:r>
          </w:p>
          <w:p w14:paraId="0000013C">
            <w:pPr>
              <w:widowControl w:val="0"/>
              <w:spacing w:after="0" w:line="240" w:lineRule="auto"/>
              <w:ind w:firstLine="53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А також враховувати, що в Україні замовникам забороняється здійснювати публічні закупівлі товарів, робіт і послуг у громадян Російської Федерації/ 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Республіки Білорусь/ 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Республіка Білорусь/ Ісламська Республіка Іран, громадянин Російської Федерації/ 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Республіки Білорусь/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1269D0DE">
            <w:pPr>
              <w:spacing w:after="0" w:line="240" w:lineRule="auto"/>
              <w:jc w:val="both"/>
              <w:rPr>
                <w:rFonts w:ascii="Times New Roman" w:hAnsi="Times New Roman" w:eastAsia="Times New Roman"/>
                <w:color w:val="000000"/>
                <w:sz w:val="24"/>
                <w:szCs w:val="24"/>
                <w:lang w:val="uk-UA"/>
              </w:rPr>
            </w:pPr>
            <w:r>
              <w:rPr>
                <w:rFonts w:ascii="Times New Roman" w:hAnsi="Times New Roman" w:eastAsia="Times New Roman" w:cs="Times New Roman"/>
                <w:sz w:val="24"/>
                <w:szCs w:val="24"/>
                <w:rtl w:val="0"/>
              </w:rPr>
              <w:t>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tc>
      </w:tr>
      <w:tr w14:paraId="4F2E941B">
        <w:tblPrEx>
          <w:tblCellMar>
            <w:top w:w="15" w:type="dxa"/>
            <w:left w:w="15" w:type="dxa"/>
            <w:bottom w:w="15" w:type="dxa"/>
            <w:right w:w="15" w:type="dxa"/>
          </w:tblCellMar>
        </w:tblPrEx>
        <w:trPr>
          <w:trHeight w:val="281"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576983">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4</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7768C2">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Відхилення тендерних пропозицій</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40">
            <w:pPr>
              <w:shd w:val="clear" w:fill="FFFFFF"/>
              <w:spacing w:after="150" w:line="240" w:lineRule="auto"/>
              <w:ind w:firstLine="450"/>
              <w:jc w:val="both"/>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tl w:val="0"/>
              </w:rPr>
              <w:t>Замовник відхиляє тендерну пропозицію із зазначенням аргументації в електронній системі закупівель у разі, коли:</w:t>
            </w:r>
          </w:p>
          <w:p w14:paraId="00000141">
            <w:pPr>
              <w:shd w:val="clear" w:fill="FFFFFF"/>
              <w:spacing w:after="150" w:line="240" w:lineRule="auto"/>
              <w:ind w:firstLine="450"/>
              <w:jc w:val="both"/>
              <w:rPr>
                <w:rFonts w:ascii="Times New Roman" w:hAnsi="Times New Roman" w:eastAsia="Times New Roman" w:cs="Times New Roman"/>
                <w:b/>
                <w:bCs/>
                <w:sz w:val="24"/>
                <w:szCs w:val="24"/>
                <w:u w:val="single"/>
              </w:rPr>
            </w:pPr>
            <w:bookmarkStart w:id="0" w:name="bookmark=id.1fob9te" w:colFirst="0" w:colLast="0"/>
            <w:bookmarkEnd w:id="0"/>
            <w:r>
              <w:rPr>
                <w:rFonts w:ascii="Times New Roman" w:hAnsi="Times New Roman" w:eastAsia="Times New Roman" w:cs="Times New Roman"/>
                <w:b/>
                <w:bCs/>
                <w:sz w:val="24"/>
                <w:szCs w:val="24"/>
                <w:u w:val="single"/>
                <w:rtl w:val="0"/>
              </w:rPr>
              <w:t>1) учасник процедури закупівлі:</w:t>
            </w:r>
          </w:p>
          <w:p w14:paraId="00000142">
            <w:pPr>
              <w:shd w:val="clear" w:fill="FFFFFF"/>
              <w:spacing w:after="150" w:line="240" w:lineRule="auto"/>
              <w:ind w:firstLine="450"/>
              <w:jc w:val="both"/>
              <w:rPr>
                <w:rFonts w:ascii="Times New Roman" w:hAnsi="Times New Roman" w:eastAsia="Times New Roman" w:cs="Times New Roman"/>
                <w:sz w:val="24"/>
                <w:szCs w:val="24"/>
              </w:rPr>
            </w:pPr>
            <w:bookmarkStart w:id="1" w:name="bookmark=id.3znysh7" w:colFirst="0" w:colLast="0"/>
            <w:bookmarkEnd w:id="1"/>
            <w:r>
              <w:rPr>
                <w:rFonts w:ascii="Times New Roman" w:hAnsi="Times New Roman" w:eastAsia="Times New Roman" w:cs="Times New Roman"/>
                <w:sz w:val="24"/>
                <w:szCs w:val="24"/>
                <w:rtl w:val="0"/>
              </w:rPr>
              <w:t>- підпадає під підстави, встановлені </w:t>
            </w:r>
            <w:r>
              <w:fldChar w:fldCharType="begin"/>
            </w:r>
            <w:r>
              <w:instrText xml:space="preserve"> HYPERLINK "https://zakon.rada.gov.ua/laws/show/1178-2022-%D0%BF#n615" \h </w:instrText>
            </w:r>
            <w:r>
              <w:fldChar w:fldCharType="separate"/>
            </w:r>
            <w:r>
              <w:rPr>
                <w:rFonts w:ascii="Times New Roman" w:hAnsi="Times New Roman" w:eastAsia="Times New Roman" w:cs="Times New Roman"/>
                <w:sz w:val="24"/>
                <w:szCs w:val="24"/>
                <w:u w:val="single"/>
                <w:rtl w:val="0"/>
              </w:rPr>
              <w:t>пунктом 47</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Особливостей;</w:t>
            </w:r>
          </w:p>
          <w:p w14:paraId="00000143">
            <w:pPr>
              <w:shd w:val="clear" w:fill="FFFFFF"/>
              <w:spacing w:after="150" w:line="240" w:lineRule="auto"/>
              <w:ind w:firstLine="450"/>
              <w:jc w:val="both"/>
              <w:rPr>
                <w:rFonts w:ascii="Times New Roman" w:hAnsi="Times New Roman" w:eastAsia="Times New Roman" w:cs="Times New Roman"/>
                <w:sz w:val="24"/>
                <w:szCs w:val="24"/>
              </w:rPr>
            </w:pPr>
            <w:bookmarkStart w:id="2" w:name="bookmark=id.2et92p0" w:colFirst="0" w:colLast="0"/>
            <w:bookmarkEnd w:id="2"/>
            <w:r>
              <w:rPr>
                <w:rFonts w:ascii="Times New Roman" w:hAnsi="Times New Roman" w:eastAsia="Times New Roman" w:cs="Times New Roman"/>
                <w:sz w:val="24"/>
                <w:szCs w:val="24"/>
                <w:rtl w:val="0"/>
              </w:rPr>
              <w:t>- зазначив у тендерній пропозиції недостовірну інформацію, що є суттєвою для визначення результатів відкритих торгів, яку замовником виявлено згідно з </w:t>
            </w:r>
            <w:r>
              <w:fldChar w:fldCharType="begin"/>
            </w:r>
            <w:r>
              <w:instrText xml:space="preserve"> HYPERLINK "https://zakon.rada.gov.ua/laws/show/1178-2022-%D0%BF#n586" \h </w:instrText>
            </w:r>
            <w:r>
              <w:fldChar w:fldCharType="separate"/>
            </w:r>
            <w:r>
              <w:rPr>
                <w:rFonts w:ascii="Times New Roman" w:hAnsi="Times New Roman" w:eastAsia="Times New Roman" w:cs="Times New Roman"/>
                <w:sz w:val="24"/>
                <w:szCs w:val="24"/>
                <w:u w:val="single"/>
                <w:rtl w:val="0"/>
              </w:rPr>
              <w:t>абзацом першим</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пункту 42 Особливостей;</w:t>
            </w:r>
          </w:p>
          <w:p w14:paraId="00000144">
            <w:pPr>
              <w:shd w:val="clear" w:fill="FFFFFF"/>
              <w:spacing w:after="150" w:line="240" w:lineRule="auto"/>
              <w:ind w:firstLine="450"/>
              <w:jc w:val="both"/>
              <w:rPr>
                <w:rFonts w:ascii="Times New Roman" w:hAnsi="Times New Roman" w:eastAsia="Times New Roman" w:cs="Times New Roman"/>
                <w:sz w:val="24"/>
                <w:szCs w:val="24"/>
              </w:rPr>
            </w:pPr>
            <w:bookmarkStart w:id="3" w:name="bookmark=id.tyjcwt" w:colFirst="0" w:colLast="0"/>
            <w:bookmarkEnd w:id="3"/>
            <w:r>
              <w:rPr>
                <w:rFonts w:ascii="Times New Roman" w:hAnsi="Times New Roman" w:eastAsia="Times New Roman" w:cs="Times New Roman"/>
                <w:sz w:val="24"/>
                <w:szCs w:val="24"/>
                <w:rtl w:val="0"/>
              </w:rPr>
              <w:t>- не надав забезпечення тендерної пропозиції, якщо таке забезпечення вимагалося замовником;</w:t>
            </w:r>
          </w:p>
          <w:p w14:paraId="00000145">
            <w:pPr>
              <w:shd w:val="clear" w:fill="FFFFFF"/>
              <w:spacing w:after="150" w:line="240" w:lineRule="auto"/>
              <w:ind w:firstLine="450"/>
              <w:jc w:val="both"/>
              <w:rPr>
                <w:rFonts w:ascii="Times New Roman" w:hAnsi="Times New Roman" w:eastAsia="Times New Roman" w:cs="Times New Roman"/>
                <w:sz w:val="24"/>
                <w:szCs w:val="24"/>
              </w:rPr>
            </w:pPr>
            <w:bookmarkStart w:id="4" w:name="bookmark=id.3dy6vkm" w:colFirst="0" w:colLast="0"/>
            <w:bookmarkEnd w:id="4"/>
            <w:r>
              <w:rPr>
                <w:rFonts w:ascii="Times New Roman" w:hAnsi="Times New Roman" w:eastAsia="Times New Roman" w:cs="Times New Roman"/>
                <w:sz w:val="24"/>
                <w:szCs w:val="24"/>
                <w:rtl w:val="0"/>
              </w:rPr>
              <w:t>-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00000146">
            <w:pPr>
              <w:shd w:val="clear" w:fill="FFFFFF"/>
              <w:spacing w:after="150" w:line="240" w:lineRule="auto"/>
              <w:ind w:firstLine="450"/>
              <w:jc w:val="both"/>
              <w:rPr>
                <w:rFonts w:ascii="Times New Roman" w:hAnsi="Times New Roman" w:eastAsia="Times New Roman" w:cs="Times New Roman"/>
                <w:sz w:val="24"/>
                <w:szCs w:val="24"/>
              </w:rPr>
            </w:pPr>
            <w:bookmarkStart w:id="5" w:name="bookmark=id.1t3h5sf" w:colFirst="0" w:colLast="0"/>
            <w:bookmarkEnd w:id="5"/>
            <w:r>
              <w:rPr>
                <w:rFonts w:ascii="Times New Roman" w:hAnsi="Times New Roman" w:eastAsia="Times New Roman" w:cs="Times New Roman"/>
                <w:sz w:val="24"/>
                <w:szCs w:val="24"/>
                <w:rtl w:val="0"/>
              </w:rPr>
              <w:t>- не надав обґрунтування аномально низької ціни тендерної пропозиції протягом строку, визначеного </w:t>
            </w:r>
            <w:r>
              <w:fldChar w:fldCharType="begin"/>
            </w:r>
            <w:r>
              <w:instrText xml:space="preserve"> HYPERLINK "https://zakon.rada.gov.ua/laws/show/922-19#n1543" \h </w:instrText>
            </w:r>
            <w:r>
              <w:fldChar w:fldCharType="separate"/>
            </w:r>
            <w:r>
              <w:rPr>
                <w:rFonts w:ascii="Times New Roman" w:hAnsi="Times New Roman" w:eastAsia="Times New Roman" w:cs="Times New Roman"/>
                <w:sz w:val="24"/>
                <w:szCs w:val="24"/>
                <w:u w:val="single"/>
                <w:rtl w:val="0"/>
              </w:rPr>
              <w:t>абзацом першим</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частини чотирнадцятої статті 29 Закону/</w:t>
            </w:r>
            <w:r>
              <w:fldChar w:fldCharType="begin"/>
            </w:r>
            <w:r>
              <w:instrText xml:space="preserve"> HYPERLINK "https://zakon.rada.gov.ua/laws/show/1178-2022-%D0%BF#n581" \h </w:instrText>
            </w:r>
            <w:r>
              <w:fldChar w:fldCharType="separate"/>
            </w:r>
            <w:r>
              <w:rPr>
                <w:rFonts w:ascii="Times New Roman" w:hAnsi="Times New Roman" w:eastAsia="Times New Roman" w:cs="Times New Roman"/>
                <w:sz w:val="24"/>
                <w:szCs w:val="24"/>
                <w:u w:val="single"/>
                <w:rtl w:val="0"/>
              </w:rPr>
              <w:t>абзацом дев’ятим</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пункту 37 Особливостей;</w:t>
            </w:r>
          </w:p>
          <w:p w14:paraId="00000147">
            <w:pPr>
              <w:shd w:val="clear" w:fill="FFFFFF"/>
              <w:spacing w:after="150" w:line="240" w:lineRule="auto"/>
              <w:ind w:firstLine="450"/>
              <w:jc w:val="both"/>
              <w:rPr>
                <w:rFonts w:ascii="Times New Roman" w:hAnsi="Times New Roman" w:eastAsia="Times New Roman" w:cs="Times New Roman"/>
                <w:sz w:val="24"/>
                <w:szCs w:val="24"/>
              </w:rPr>
            </w:pPr>
            <w:bookmarkStart w:id="6" w:name="bookmark=id.4d34og8" w:colFirst="0" w:colLast="0"/>
            <w:bookmarkEnd w:id="6"/>
            <w:r>
              <w:rPr>
                <w:rFonts w:ascii="Times New Roman" w:hAnsi="Times New Roman" w:eastAsia="Times New Roman" w:cs="Times New Roman"/>
                <w:sz w:val="24"/>
                <w:szCs w:val="24"/>
                <w:rtl w:val="0"/>
              </w:rPr>
              <w:t>- визначив конфіденційною інформацію, що не може бути визначена як конфіденційна відповідно до вимог </w:t>
            </w:r>
            <w:r>
              <w:fldChar w:fldCharType="begin"/>
            </w:r>
            <w:r>
              <w:instrText xml:space="preserve"> HYPERLINK "https://zakon.rada.gov.ua/laws/show/1178-2022-%D0%BF#n584" \h </w:instrText>
            </w:r>
            <w:r>
              <w:fldChar w:fldCharType="separate"/>
            </w:r>
            <w:r>
              <w:rPr>
                <w:rFonts w:ascii="Times New Roman" w:hAnsi="Times New Roman" w:eastAsia="Times New Roman" w:cs="Times New Roman"/>
                <w:sz w:val="24"/>
                <w:szCs w:val="24"/>
                <w:u w:val="single"/>
                <w:rtl w:val="0"/>
              </w:rPr>
              <w:t>пункту 40</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Особливостей;</w:t>
            </w:r>
          </w:p>
          <w:p w14:paraId="00000148">
            <w:pPr>
              <w:shd w:val="clear" w:fill="FFFFFF"/>
              <w:spacing w:after="150" w:line="240" w:lineRule="auto"/>
              <w:ind w:firstLine="450"/>
              <w:jc w:val="both"/>
              <w:rPr>
                <w:rFonts w:ascii="Times New Roman" w:hAnsi="Times New Roman" w:eastAsia="Times New Roman" w:cs="Times New Roman"/>
                <w:sz w:val="24"/>
                <w:szCs w:val="24"/>
              </w:rPr>
            </w:pPr>
            <w:bookmarkStart w:id="7" w:name="bookmark=id.2s8eyo1" w:colFirst="0" w:colLast="0"/>
            <w:bookmarkEnd w:id="7"/>
            <w:r>
              <w:rPr>
                <w:rFonts w:ascii="Times New Roman" w:hAnsi="Times New Roman" w:eastAsia="Times New Roman" w:cs="Times New Roman"/>
                <w:sz w:val="24"/>
                <w:szCs w:val="24"/>
                <w:rtl w:val="0"/>
              </w:rPr>
              <w:t>-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w:t>
            </w:r>
            <w:r>
              <w:fldChar w:fldCharType="begin"/>
            </w:r>
            <w:r>
              <w:instrText xml:space="preserve"> HYPERLINK "https://zakon.rada.gov.ua/laws/show/1178-2022-%D0%BF#n2" \h </w:instrText>
            </w:r>
            <w:r>
              <w:fldChar w:fldCharType="separate"/>
            </w:r>
            <w:r>
              <w:rPr>
                <w:rFonts w:ascii="Times New Roman" w:hAnsi="Times New Roman" w:eastAsia="Times New Roman" w:cs="Times New Roman"/>
                <w:sz w:val="24"/>
                <w:szCs w:val="24"/>
                <w:u w:val="single"/>
                <w:rtl w:val="0"/>
              </w:rPr>
              <w:t>№ 1178</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00000149">
            <w:pPr>
              <w:shd w:val="clear" w:fill="FFFFFF"/>
              <w:spacing w:after="150" w:line="240" w:lineRule="auto"/>
              <w:ind w:firstLine="450"/>
              <w:jc w:val="both"/>
              <w:rPr>
                <w:rFonts w:ascii="Times New Roman" w:hAnsi="Times New Roman" w:eastAsia="Times New Roman" w:cs="Times New Roman"/>
                <w:b/>
                <w:bCs/>
                <w:sz w:val="24"/>
                <w:szCs w:val="24"/>
                <w:u w:val="single"/>
              </w:rPr>
            </w:pPr>
            <w:bookmarkStart w:id="8" w:name="bookmark=id.17dp8vu" w:colFirst="0" w:colLast="0"/>
            <w:bookmarkEnd w:id="8"/>
            <w:bookmarkStart w:id="9" w:name="bookmark=id.3rdcrjn" w:colFirst="0" w:colLast="0"/>
            <w:bookmarkEnd w:id="9"/>
            <w:r>
              <w:rPr>
                <w:rFonts w:ascii="Times New Roman" w:hAnsi="Times New Roman" w:eastAsia="Times New Roman" w:cs="Times New Roman"/>
                <w:b/>
                <w:bCs/>
                <w:sz w:val="24"/>
                <w:szCs w:val="24"/>
                <w:u w:val="single"/>
                <w:rtl w:val="0"/>
              </w:rPr>
              <w:t>2) тендерна пропозиція:</w:t>
            </w:r>
          </w:p>
          <w:p w14:paraId="0000014A">
            <w:pPr>
              <w:shd w:val="clear" w:fill="FFFFFF"/>
              <w:spacing w:after="150" w:line="240" w:lineRule="auto"/>
              <w:ind w:firstLine="450"/>
              <w:jc w:val="both"/>
              <w:rPr>
                <w:rFonts w:ascii="Times New Roman" w:hAnsi="Times New Roman" w:eastAsia="Times New Roman" w:cs="Times New Roman"/>
                <w:sz w:val="24"/>
                <w:szCs w:val="24"/>
              </w:rPr>
            </w:pPr>
            <w:bookmarkStart w:id="10" w:name="bookmark=id.26in1rg" w:colFirst="0" w:colLast="0"/>
            <w:bookmarkEnd w:id="10"/>
            <w:r>
              <w:rPr>
                <w:rFonts w:ascii="Times New Roman" w:hAnsi="Times New Roman" w:eastAsia="Times New Roman" w:cs="Times New Roman"/>
                <w:sz w:val="24"/>
                <w:szCs w:val="24"/>
                <w:rtl w:val="0"/>
              </w:rPr>
              <w:t>-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r>
              <w:fldChar w:fldCharType="begin"/>
            </w:r>
            <w:r>
              <w:instrText xml:space="preserve"> HYPERLINK "https://zakon.rada.gov.ua/laws/show/1178-2022-%D0%BF#n588" \h </w:instrText>
            </w:r>
            <w:r>
              <w:fldChar w:fldCharType="separate"/>
            </w:r>
            <w:r>
              <w:rPr>
                <w:rFonts w:ascii="Times New Roman" w:hAnsi="Times New Roman" w:eastAsia="Times New Roman" w:cs="Times New Roman"/>
                <w:sz w:val="24"/>
                <w:szCs w:val="24"/>
                <w:u w:val="single"/>
                <w:rtl w:val="0"/>
              </w:rPr>
              <w:t>пункту 43</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Особливостей;</w:t>
            </w:r>
          </w:p>
          <w:p w14:paraId="0000014B">
            <w:pPr>
              <w:shd w:val="clear" w:fill="FFFFFF"/>
              <w:spacing w:after="150" w:line="240" w:lineRule="auto"/>
              <w:ind w:firstLine="450"/>
              <w:jc w:val="both"/>
              <w:rPr>
                <w:rFonts w:ascii="Times New Roman" w:hAnsi="Times New Roman" w:eastAsia="Times New Roman" w:cs="Times New Roman"/>
                <w:sz w:val="24"/>
                <w:szCs w:val="24"/>
              </w:rPr>
            </w:pPr>
            <w:bookmarkStart w:id="11" w:name="bookmark=id.lnxbz9" w:colFirst="0" w:colLast="0"/>
            <w:bookmarkEnd w:id="11"/>
            <w:r>
              <w:rPr>
                <w:rFonts w:ascii="Times New Roman" w:hAnsi="Times New Roman" w:eastAsia="Times New Roman" w:cs="Times New Roman"/>
                <w:sz w:val="24"/>
                <w:szCs w:val="24"/>
                <w:rtl w:val="0"/>
              </w:rPr>
              <w:t>- є такою, строк дії якої закінчився;</w:t>
            </w:r>
          </w:p>
          <w:p w14:paraId="0000014C">
            <w:pPr>
              <w:shd w:val="clear" w:fill="FFFFFF"/>
              <w:spacing w:after="150" w:line="240" w:lineRule="auto"/>
              <w:ind w:firstLine="450"/>
              <w:jc w:val="both"/>
              <w:rPr>
                <w:rFonts w:ascii="Times New Roman" w:hAnsi="Times New Roman" w:eastAsia="Times New Roman" w:cs="Times New Roman"/>
                <w:sz w:val="24"/>
                <w:szCs w:val="24"/>
              </w:rPr>
            </w:pPr>
            <w:bookmarkStart w:id="12" w:name="bookmark=id.35nkun2" w:colFirst="0" w:colLast="0"/>
            <w:bookmarkEnd w:id="12"/>
            <w:r>
              <w:rPr>
                <w:rFonts w:ascii="Times New Roman" w:hAnsi="Times New Roman" w:eastAsia="Times New Roman" w:cs="Times New Roman"/>
                <w:sz w:val="24"/>
                <w:szCs w:val="24"/>
                <w:rtl w:val="0"/>
              </w:rPr>
              <w:t>-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0000014D">
            <w:pPr>
              <w:shd w:val="clear" w:fill="FFFFFF"/>
              <w:spacing w:after="150" w:line="240" w:lineRule="auto"/>
              <w:ind w:firstLine="450"/>
              <w:jc w:val="both"/>
              <w:rPr>
                <w:rFonts w:ascii="Times New Roman" w:hAnsi="Times New Roman" w:eastAsia="Times New Roman" w:cs="Times New Roman"/>
                <w:sz w:val="24"/>
                <w:szCs w:val="24"/>
              </w:rPr>
            </w:pPr>
            <w:bookmarkStart w:id="13" w:name="bookmark=id.1ksv4uv" w:colFirst="0" w:colLast="0"/>
            <w:bookmarkEnd w:id="13"/>
            <w:r>
              <w:rPr>
                <w:rFonts w:ascii="Times New Roman" w:hAnsi="Times New Roman" w:eastAsia="Times New Roman" w:cs="Times New Roman"/>
                <w:sz w:val="24"/>
                <w:szCs w:val="24"/>
                <w:rtl w:val="0"/>
              </w:rPr>
              <w:t>- не відповідає вимогам, установленим у тендерній документації відповідно до </w:t>
            </w:r>
            <w:r>
              <w:fldChar w:fldCharType="begin"/>
            </w:r>
            <w:r>
              <w:instrText xml:space="preserve"> HYPERLINK "https://zakon.rada.gov.ua/laws/show/922-19#n1422" \h </w:instrText>
            </w:r>
            <w:r>
              <w:fldChar w:fldCharType="separate"/>
            </w:r>
            <w:r>
              <w:rPr>
                <w:rFonts w:ascii="Times New Roman" w:hAnsi="Times New Roman" w:eastAsia="Times New Roman" w:cs="Times New Roman"/>
                <w:sz w:val="24"/>
                <w:szCs w:val="24"/>
                <w:u w:val="single"/>
                <w:rtl w:val="0"/>
              </w:rPr>
              <w:t>абзацу першого</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частини третьої статті 22 Закону;</w:t>
            </w:r>
          </w:p>
          <w:p w14:paraId="0000014E">
            <w:pPr>
              <w:shd w:val="clear" w:fill="FFFFFF"/>
              <w:spacing w:after="150" w:line="240" w:lineRule="auto"/>
              <w:ind w:firstLine="450"/>
              <w:jc w:val="both"/>
              <w:rPr>
                <w:rFonts w:ascii="Times New Roman" w:hAnsi="Times New Roman" w:eastAsia="Times New Roman" w:cs="Times New Roman"/>
                <w:b/>
                <w:bCs/>
                <w:sz w:val="24"/>
                <w:szCs w:val="24"/>
                <w:u w:val="single"/>
              </w:rPr>
            </w:pPr>
            <w:bookmarkStart w:id="14" w:name="bookmark=id.44sinio" w:colFirst="0" w:colLast="0"/>
            <w:bookmarkEnd w:id="14"/>
            <w:r>
              <w:rPr>
                <w:rFonts w:ascii="Times New Roman" w:hAnsi="Times New Roman" w:eastAsia="Times New Roman" w:cs="Times New Roman"/>
                <w:b/>
                <w:bCs/>
                <w:sz w:val="24"/>
                <w:szCs w:val="24"/>
                <w:u w:val="single"/>
                <w:rtl w:val="0"/>
              </w:rPr>
              <w:t>3) переможець процедури закупівлі:</w:t>
            </w:r>
          </w:p>
          <w:p w14:paraId="0000014F">
            <w:pPr>
              <w:shd w:val="clear" w:fill="FFFFFF"/>
              <w:spacing w:after="150" w:line="240" w:lineRule="auto"/>
              <w:ind w:firstLine="450"/>
              <w:jc w:val="both"/>
              <w:rPr>
                <w:rFonts w:ascii="Times New Roman" w:hAnsi="Times New Roman" w:eastAsia="Times New Roman" w:cs="Times New Roman"/>
                <w:sz w:val="24"/>
                <w:szCs w:val="24"/>
              </w:rPr>
            </w:pPr>
            <w:bookmarkStart w:id="15" w:name="bookmark=id.2jxsxqh" w:colFirst="0" w:colLast="0"/>
            <w:bookmarkEnd w:id="15"/>
            <w:r>
              <w:rPr>
                <w:rFonts w:ascii="Times New Roman" w:hAnsi="Times New Roman" w:eastAsia="Times New Roman" w:cs="Times New Roman"/>
                <w:sz w:val="24"/>
                <w:szCs w:val="24"/>
                <w:rtl w:val="0"/>
              </w:rPr>
              <w:t>- відмовився від підписання договору про закупівлю відповідно до вимог тендерної документації або укладення договору про закупівлю;</w:t>
            </w:r>
          </w:p>
          <w:p w14:paraId="00000150">
            <w:pPr>
              <w:shd w:val="clear" w:fill="FFFFFF"/>
              <w:spacing w:after="150" w:line="240" w:lineRule="auto"/>
              <w:ind w:firstLine="450"/>
              <w:jc w:val="both"/>
              <w:rPr>
                <w:rFonts w:ascii="Times New Roman" w:hAnsi="Times New Roman" w:eastAsia="Times New Roman" w:cs="Times New Roman"/>
                <w:sz w:val="24"/>
                <w:szCs w:val="24"/>
              </w:rPr>
            </w:pPr>
            <w:bookmarkStart w:id="16" w:name="bookmark=id.z337ya" w:colFirst="0" w:colLast="0"/>
            <w:bookmarkEnd w:id="16"/>
            <w:r>
              <w:rPr>
                <w:rFonts w:ascii="Times New Roman" w:hAnsi="Times New Roman" w:eastAsia="Times New Roman" w:cs="Times New Roman"/>
                <w:sz w:val="24"/>
                <w:szCs w:val="24"/>
                <w:rtl w:val="0"/>
              </w:rPr>
              <w:t>- не надав у спосіб, зазначений в тендерній документації, документи, що підтверджують відсутність підстав, визначених у </w:t>
            </w:r>
            <w:r>
              <w:fldChar w:fldCharType="begin"/>
            </w:r>
            <w:r>
              <w:instrText xml:space="preserve"> HYPERLINK "https://zakon.rada.gov.ua/laws/show/1178-2022-%D0%BF#n618" \h </w:instrText>
            </w:r>
            <w:r>
              <w:fldChar w:fldCharType="separate"/>
            </w:r>
            <w:r>
              <w:rPr>
                <w:rFonts w:ascii="Times New Roman" w:hAnsi="Times New Roman" w:eastAsia="Times New Roman" w:cs="Times New Roman"/>
                <w:sz w:val="24"/>
                <w:szCs w:val="24"/>
                <w:u w:val="single"/>
                <w:rtl w:val="0"/>
              </w:rPr>
              <w:t>підпунктах 3</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w:t>
            </w:r>
            <w:r>
              <w:fldChar w:fldCharType="begin"/>
            </w:r>
            <w:r>
              <w:instrText xml:space="preserve"> HYPERLINK "https://zakon.rada.gov.ua/laws/show/1178-2022-%D0%BF#n620" \h </w:instrText>
            </w:r>
            <w:r>
              <w:fldChar w:fldCharType="separate"/>
            </w:r>
            <w:r>
              <w:rPr>
                <w:rFonts w:ascii="Times New Roman" w:hAnsi="Times New Roman" w:eastAsia="Times New Roman" w:cs="Times New Roman"/>
                <w:sz w:val="24"/>
                <w:szCs w:val="24"/>
                <w:u w:val="single"/>
                <w:rtl w:val="0"/>
              </w:rPr>
              <w:t>5</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w:t>
            </w:r>
            <w:r>
              <w:fldChar w:fldCharType="begin"/>
            </w:r>
            <w:r>
              <w:instrText xml:space="preserve"> HYPERLINK "https://zakon.rada.gov.ua/laws/show/1178-2022-%D0%BF#n621" \h </w:instrText>
            </w:r>
            <w:r>
              <w:fldChar w:fldCharType="separate"/>
            </w:r>
            <w:r>
              <w:rPr>
                <w:rFonts w:ascii="Times New Roman" w:hAnsi="Times New Roman" w:eastAsia="Times New Roman" w:cs="Times New Roman"/>
                <w:sz w:val="24"/>
                <w:szCs w:val="24"/>
                <w:u w:val="single"/>
                <w:rtl w:val="0"/>
              </w:rPr>
              <w:t>6</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і </w:t>
            </w:r>
            <w:r>
              <w:fldChar w:fldCharType="begin"/>
            </w:r>
            <w:r>
              <w:instrText xml:space="preserve"> HYPERLINK "https://zakon.rada.gov.ua/laws/show/1178-2022-%D0%BF#n627" \h </w:instrText>
            </w:r>
            <w:r>
              <w:fldChar w:fldCharType="separate"/>
            </w:r>
            <w:r>
              <w:rPr>
                <w:rFonts w:ascii="Times New Roman" w:hAnsi="Times New Roman" w:eastAsia="Times New Roman" w:cs="Times New Roman"/>
                <w:sz w:val="24"/>
                <w:szCs w:val="24"/>
                <w:u w:val="single"/>
                <w:rtl w:val="0"/>
              </w:rPr>
              <w:t>12</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пункту 47 Особливостей;</w:t>
            </w:r>
          </w:p>
          <w:p w14:paraId="00000151">
            <w:pPr>
              <w:shd w:val="clear" w:fill="FFFFFF"/>
              <w:spacing w:after="150" w:line="240" w:lineRule="auto"/>
              <w:ind w:firstLine="450"/>
              <w:jc w:val="both"/>
              <w:rPr>
                <w:rFonts w:ascii="Times New Roman" w:hAnsi="Times New Roman" w:eastAsia="Times New Roman" w:cs="Times New Roman"/>
                <w:sz w:val="24"/>
                <w:szCs w:val="24"/>
              </w:rPr>
            </w:pPr>
            <w:bookmarkStart w:id="17" w:name="bookmark=id.3j2qqm3" w:colFirst="0" w:colLast="0"/>
            <w:bookmarkEnd w:id="17"/>
            <w:bookmarkStart w:id="18" w:name="bookmark=id.1y810tw" w:colFirst="0" w:colLast="0"/>
            <w:bookmarkEnd w:id="18"/>
            <w:r>
              <w:rPr>
                <w:rFonts w:ascii="Times New Roman" w:hAnsi="Times New Roman" w:eastAsia="Times New Roman" w:cs="Times New Roman"/>
                <w:sz w:val="24"/>
                <w:szCs w:val="24"/>
                <w:rtl w:val="0"/>
              </w:rPr>
              <w:t>- не надав забезпечення виконання договору про закупівлю, якщо таке забезпечення вимагалося замовником;</w:t>
            </w:r>
          </w:p>
          <w:p w14:paraId="00000152">
            <w:pPr>
              <w:shd w:val="clear" w:fill="FFFFFF"/>
              <w:spacing w:after="150" w:line="240" w:lineRule="auto"/>
              <w:ind w:firstLine="450"/>
              <w:jc w:val="both"/>
              <w:rPr>
                <w:rFonts w:ascii="Times New Roman" w:hAnsi="Times New Roman" w:eastAsia="Times New Roman" w:cs="Times New Roman"/>
                <w:sz w:val="24"/>
                <w:szCs w:val="24"/>
              </w:rPr>
            </w:pPr>
            <w:bookmarkStart w:id="19" w:name="bookmark=id.4i7ojhp" w:colFirst="0" w:colLast="0"/>
            <w:bookmarkEnd w:id="19"/>
            <w:r>
              <w:rPr>
                <w:rFonts w:ascii="Times New Roman" w:hAnsi="Times New Roman" w:eastAsia="Times New Roman" w:cs="Times New Roman"/>
                <w:sz w:val="24"/>
                <w:szCs w:val="24"/>
                <w:rtl w:val="0"/>
              </w:rPr>
              <w:t>- надав недостовірну інформацію, що є суттєвою для визначення результатів процедури закупівлі, яку замовником виявлено згідно з </w:t>
            </w:r>
            <w:r>
              <w:fldChar w:fldCharType="begin"/>
            </w:r>
            <w:r>
              <w:instrText xml:space="preserve"> HYPERLINK "https://zakon.rada.gov.ua/laws/show/1178-2022-%D0%BF#n586" \h </w:instrText>
            </w:r>
            <w:r>
              <w:fldChar w:fldCharType="separate"/>
            </w:r>
            <w:r>
              <w:rPr>
                <w:rFonts w:ascii="Times New Roman" w:hAnsi="Times New Roman" w:eastAsia="Times New Roman" w:cs="Times New Roman"/>
                <w:sz w:val="24"/>
                <w:szCs w:val="24"/>
                <w:u w:val="single"/>
                <w:rtl w:val="0"/>
              </w:rPr>
              <w:t>абзацом першим</w:t>
            </w:r>
            <w:r>
              <w:rPr>
                <w:rFonts w:ascii="Times New Roman" w:hAnsi="Times New Roman" w:eastAsia="Times New Roman" w:cs="Times New Roman"/>
                <w:sz w:val="24"/>
                <w:szCs w:val="24"/>
                <w:u w:val="single"/>
                <w:rtl w:val="0"/>
              </w:rPr>
              <w:fldChar w:fldCharType="end"/>
            </w:r>
            <w:r>
              <w:rPr>
                <w:rFonts w:ascii="Times New Roman" w:hAnsi="Times New Roman" w:eastAsia="Times New Roman" w:cs="Times New Roman"/>
                <w:sz w:val="24"/>
                <w:szCs w:val="24"/>
                <w:rtl w:val="0"/>
              </w:rPr>
              <w:t> пункту 42 Особливостей.</w:t>
            </w:r>
          </w:p>
          <w:p w14:paraId="00000153">
            <w:pPr>
              <w:shd w:val="clear" w:fill="FFFFFF"/>
              <w:spacing w:after="150" w:line="240" w:lineRule="auto"/>
              <w:ind w:firstLine="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14:paraId="00000154">
            <w:pPr>
              <w:shd w:val="clear" w:fill="FFFFFF"/>
              <w:spacing w:after="150" w:line="240" w:lineRule="auto"/>
              <w:ind w:firstLine="450"/>
              <w:jc w:val="both"/>
              <w:rPr>
                <w:rFonts w:ascii="Times New Roman" w:hAnsi="Times New Roman" w:eastAsia="Times New Roman" w:cs="Times New Roman"/>
                <w:sz w:val="24"/>
                <w:szCs w:val="24"/>
              </w:rPr>
            </w:pPr>
            <w:bookmarkStart w:id="20" w:name="bookmark=id.2xcytpi" w:colFirst="0" w:colLast="0"/>
            <w:bookmarkEnd w:id="20"/>
            <w:r>
              <w:rPr>
                <w:rFonts w:ascii="Times New Roman" w:hAnsi="Times New Roman" w:eastAsia="Times New Roman" w:cs="Times New Roman"/>
                <w:sz w:val="24"/>
                <w:szCs w:val="24"/>
                <w:rtl w:val="0"/>
              </w:rPr>
              <w:t xml:space="preserve">Замовник </w:t>
            </w:r>
            <w:r>
              <w:rPr>
                <w:rFonts w:ascii="Times New Roman" w:hAnsi="Times New Roman" w:eastAsia="Times New Roman" w:cs="Times New Roman"/>
                <w:b/>
                <w:bCs/>
                <w:sz w:val="24"/>
                <w:szCs w:val="24"/>
                <w:u w:val="single"/>
                <w:rtl w:val="0"/>
              </w:rPr>
              <w:t>може відхилити</w:t>
            </w:r>
            <w:r>
              <w:rPr>
                <w:rFonts w:ascii="Times New Roman" w:hAnsi="Times New Roman" w:eastAsia="Times New Roman" w:cs="Times New Roman"/>
                <w:sz w:val="24"/>
                <w:szCs w:val="24"/>
                <w:rtl w:val="0"/>
              </w:rPr>
              <w:t xml:space="preserve"> тендерну пропозицію із зазначенням аргументації в електронній системі закупівель у разі, коли:</w:t>
            </w:r>
          </w:p>
          <w:p w14:paraId="00000155">
            <w:pPr>
              <w:shd w:val="clear" w:fill="FFFFFF"/>
              <w:spacing w:after="150" w:line="240" w:lineRule="auto"/>
              <w:ind w:firstLine="450"/>
              <w:jc w:val="both"/>
              <w:rPr>
                <w:rFonts w:ascii="Times New Roman" w:hAnsi="Times New Roman" w:eastAsia="Times New Roman" w:cs="Times New Roman"/>
                <w:sz w:val="24"/>
                <w:szCs w:val="24"/>
              </w:rPr>
            </w:pPr>
            <w:bookmarkStart w:id="21" w:name="bookmark=id.1ci93xb" w:colFirst="0" w:colLast="0"/>
            <w:bookmarkEnd w:id="21"/>
            <w:r>
              <w:rPr>
                <w:rFonts w:ascii="Times New Roman" w:hAnsi="Times New Roman" w:eastAsia="Times New Roman" w:cs="Times New Roman"/>
                <w:sz w:val="24"/>
                <w:szCs w:val="24"/>
                <w:rtl w:val="0"/>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00000156">
            <w:pPr>
              <w:shd w:val="clear" w:fill="FFFFFF"/>
              <w:spacing w:after="150" w:line="240" w:lineRule="auto"/>
              <w:ind w:firstLine="450"/>
              <w:jc w:val="both"/>
              <w:rPr>
                <w:rFonts w:ascii="Times New Roman" w:hAnsi="Times New Roman" w:eastAsia="Times New Roman" w:cs="Times New Roman"/>
                <w:sz w:val="24"/>
                <w:szCs w:val="24"/>
              </w:rPr>
            </w:pPr>
            <w:bookmarkStart w:id="22" w:name="bookmark=id.3whwml4" w:colFirst="0" w:colLast="0"/>
            <w:bookmarkEnd w:id="22"/>
            <w:r>
              <w:rPr>
                <w:rFonts w:ascii="Times New Roman" w:hAnsi="Times New Roman" w:eastAsia="Times New Roman" w:cs="Times New Roman"/>
                <w:sz w:val="24"/>
                <w:szCs w:val="24"/>
                <w:rtl w:val="0"/>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00000157">
            <w:pPr>
              <w:widowControl w:val="0"/>
              <w:spacing w:after="0" w:line="240" w:lineRule="auto"/>
              <w:ind w:firstLine="39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6BEFA71E">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sz w:val="24"/>
                <w:szCs w:val="24"/>
                <w:rtl w:val="0"/>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14:paraId="6D39D5AE">
        <w:tblPrEx>
          <w:tblCellMar>
            <w:top w:w="15" w:type="dxa"/>
            <w:left w:w="15" w:type="dxa"/>
            <w:bottom w:w="15" w:type="dxa"/>
            <w:right w:w="15" w:type="dxa"/>
          </w:tblCellMar>
        </w:tblPrEx>
        <w:trPr>
          <w:trHeight w:val="522" w:hRule="atLeast"/>
          <w:jc w:val="center"/>
        </w:trPr>
        <w:tc>
          <w:tcPr>
            <w:tcW w:w="10682" w:type="dxa"/>
            <w:gridSpan w:val="4"/>
            <w:tcBorders>
              <w:top w:val="single" w:color="000000" w:sz="4" w:space="0"/>
              <w:left w:val="single" w:color="000000" w:sz="4" w:space="0"/>
              <w:bottom w:val="single" w:color="000000" w:sz="4" w:space="0"/>
              <w:right w:val="single" w:color="000000" w:sz="4" w:space="0"/>
            </w:tcBorders>
            <w:shd w:val="clear" w:color="auto" w:fill="A5A5A5"/>
            <w:tcMar>
              <w:top w:w="0" w:type="dxa"/>
              <w:left w:w="108" w:type="dxa"/>
              <w:bottom w:w="0" w:type="dxa"/>
              <w:right w:w="108" w:type="dxa"/>
            </w:tcMar>
            <w:vAlign w:val="center"/>
          </w:tcPr>
          <w:p w14:paraId="48F4AA66">
            <w:pPr>
              <w:spacing w:after="0" w:line="240" w:lineRule="auto"/>
              <w:ind w:left="-21" w:hanging="21"/>
              <w:jc w:val="center"/>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Розділ VI. Результати тендеру та укладання договору про закупівлю</w:t>
            </w:r>
          </w:p>
        </w:tc>
      </w:tr>
      <w:tr w14:paraId="0E6E1035">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C7711D">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1</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4B5DF2">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Відміна замовником тендеру чи визнання його таким, що не відбувся</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5E">
            <w:pPr>
              <w:pBdr>
                <w:top w:val="none" w:color="auto" w:sz="0" w:space="0"/>
                <w:left w:val="none" w:color="auto" w:sz="0" w:space="0"/>
                <w:bottom w:val="none" w:color="auto" w:sz="0" w:space="0"/>
                <w:right w:val="none" w:color="auto" w:sz="0" w:space="0"/>
                <w:between w:val="none" w:color="auto" w:sz="0" w:space="0"/>
              </w:pBdr>
              <w:shd w:val="clear" w:fill="FFFFFF"/>
              <w:spacing w:after="0" w:line="240" w:lineRule="auto"/>
              <w:ind w:firstLine="448"/>
              <w:jc w:val="both"/>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tl w:val="0"/>
              </w:rPr>
              <w:t>Замовник відміняє відкриті торги у разі:</w:t>
            </w:r>
          </w:p>
          <w:p w14:paraId="0000015F">
            <w:pPr>
              <w:pBdr>
                <w:top w:val="none" w:color="auto" w:sz="0" w:space="0"/>
                <w:left w:val="none" w:color="auto" w:sz="0" w:space="0"/>
                <w:bottom w:val="none" w:color="auto" w:sz="0" w:space="0"/>
                <w:right w:val="none" w:color="auto" w:sz="0" w:space="0"/>
                <w:between w:val="none" w:color="auto" w:sz="0" w:space="0"/>
              </w:pBdr>
              <w:shd w:val="clear" w:fill="FFFFFF"/>
              <w:spacing w:after="0" w:line="240" w:lineRule="auto"/>
              <w:ind w:firstLine="448"/>
              <w:jc w:val="both"/>
              <w:rPr>
                <w:rFonts w:ascii="Times New Roman" w:hAnsi="Times New Roman" w:eastAsia="Times New Roman" w:cs="Times New Roman"/>
                <w:color w:val="000000"/>
                <w:sz w:val="24"/>
                <w:szCs w:val="24"/>
              </w:rPr>
            </w:pPr>
            <w:bookmarkStart w:id="23" w:name="bookmark=id.2bn6wsx" w:colFirst="0" w:colLast="0"/>
            <w:bookmarkEnd w:id="23"/>
            <w:r>
              <w:rPr>
                <w:rFonts w:ascii="Times New Roman" w:hAnsi="Times New Roman" w:eastAsia="Times New Roman" w:cs="Times New Roman"/>
                <w:color w:val="000000"/>
                <w:sz w:val="24"/>
                <w:szCs w:val="24"/>
                <w:rtl w:val="0"/>
              </w:rPr>
              <w:t>1) відсутності подальшої потреби в закупівлі товарів, робіт чи послуг;</w:t>
            </w:r>
          </w:p>
          <w:p w14:paraId="00000160">
            <w:pPr>
              <w:pBdr>
                <w:top w:val="none" w:color="auto" w:sz="0" w:space="0"/>
                <w:left w:val="none" w:color="auto" w:sz="0" w:space="0"/>
                <w:bottom w:val="none" w:color="auto" w:sz="0" w:space="0"/>
                <w:right w:val="none" w:color="auto" w:sz="0" w:space="0"/>
                <w:between w:val="none" w:color="auto" w:sz="0" w:space="0"/>
              </w:pBdr>
              <w:shd w:val="clear" w:fill="FFFFFF"/>
              <w:spacing w:after="0" w:line="240" w:lineRule="auto"/>
              <w:ind w:firstLine="448"/>
              <w:jc w:val="both"/>
              <w:rPr>
                <w:rFonts w:ascii="Times New Roman" w:hAnsi="Times New Roman" w:eastAsia="Times New Roman" w:cs="Times New Roman"/>
                <w:color w:val="000000"/>
                <w:sz w:val="24"/>
                <w:szCs w:val="24"/>
              </w:rPr>
            </w:pPr>
            <w:bookmarkStart w:id="24" w:name="bookmark=id.qsh70q" w:colFirst="0" w:colLast="0"/>
            <w:bookmarkEnd w:id="24"/>
            <w:r>
              <w:rPr>
                <w:rFonts w:ascii="Times New Roman" w:hAnsi="Times New Roman" w:eastAsia="Times New Roman" w:cs="Times New Roman"/>
                <w:color w:val="000000"/>
                <w:sz w:val="24"/>
                <w:szCs w:val="24"/>
                <w:rtl w:val="0"/>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00000161">
            <w:pPr>
              <w:pBdr>
                <w:top w:val="none" w:color="auto" w:sz="0" w:space="0"/>
                <w:left w:val="none" w:color="auto" w:sz="0" w:space="0"/>
                <w:bottom w:val="none" w:color="auto" w:sz="0" w:space="0"/>
                <w:right w:val="none" w:color="auto" w:sz="0" w:space="0"/>
                <w:between w:val="none" w:color="auto" w:sz="0" w:space="0"/>
              </w:pBdr>
              <w:shd w:val="clear" w:fill="FFFFFF"/>
              <w:spacing w:after="0" w:line="240" w:lineRule="auto"/>
              <w:ind w:firstLine="448"/>
              <w:jc w:val="both"/>
              <w:rPr>
                <w:rFonts w:ascii="Times New Roman" w:hAnsi="Times New Roman" w:eastAsia="Times New Roman" w:cs="Times New Roman"/>
                <w:color w:val="000000"/>
                <w:sz w:val="24"/>
                <w:szCs w:val="24"/>
              </w:rPr>
            </w:pPr>
            <w:bookmarkStart w:id="25" w:name="bookmark=id.3as4poj" w:colFirst="0" w:colLast="0"/>
            <w:bookmarkEnd w:id="25"/>
            <w:r>
              <w:rPr>
                <w:rFonts w:ascii="Times New Roman" w:hAnsi="Times New Roman" w:eastAsia="Times New Roman" w:cs="Times New Roman"/>
                <w:color w:val="000000"/>
                <w:sz w:val="24"/>
                <w:szCs w:val="24"/>
                <w:rtl w:val="0"/>
              </w:rPr>
              <w:t>3) скорочення обсягу видатків на здійснення закупівлі товарів, робіт чи послуг;</w:t>
            </w:r>
          </w:p>
          <w:p w14:paraId="00000162">
            <w:pPr>
              <w:pBdr>
                <w:top w:val="none" w:color="auto" w:sz="0" w:space="0"/>
                <w:left w:val="none" w:color="auto" w:sz="0" w:space="0"/>
                <w:bottom w:val="none" w:color="auto" w:sz="0" w:space="0"/>
                <w:right w:val="none" w:color="auto" w:sz="0" w:space="0"/>
                <w:between w:val="none" w:color="auto" w:sz="0" w:space="0"/>
              </w:pBdr>
              <w:shd w:val="clear" w:fill="FFFFFF"/>
              <w:spacing w:after="0" w:line="240" w:lineRule="auto"/>
              <w:ind w:firstLine="448"/>
              <w:jc w:val="both"/>
              <w:rPr>
                <w:rFonts w:ascii="Times New Roman" w:hAnsi="Times New Roman" w:eastAsia="Times New Roman" w:cs="Times New Roman"/>
                <w:color w:val="000000"/>
                <w:sz w:val="24"/>
                <w:szCs w:val="24"/>
              </w:rPr>
            </w:pPr>
            <w:bookmarkStart w:id="26" w:name="bookmark=id.1pxezwc" w:colFirst="0" w:colLast="0"/>
            <w:bookmarkEnd w:id="26"/>
            <w:r>
              <w:rPr>
                <w:rFonts w:ascii="Times New Roman" w:hAnsi="Times New Roman" w:eastAsia="Times New Roman" w:cs="Times New Roman"/>
                <w:color w:val="000000"/>
                <w:sz w:val="24"/>
                <w:szCs w:val="24"/>
                <w:rtl w:val="0"/>
              </w:rPr>
              <w:t>4) коли здійснення закупівлі стало неможливим внаслідок дії обставин непереборної сили.</w:t>
            </w:r>
          </w:p>
          <w:p w14:paraId="00000163">
            <w:pPr>
              <w:pBdr>
                <w:top w:val="none" w:color="auto" w:sz="0" w:space="0"/>
                <w:left w:val="none" w:color="auto" w:sz="0" w:space="0"/>
                <w:bottom w:val="none" w:color="auto" w:sz="0" w:space="0"/>
                <w:right w:val="none" w:color="auto" w:sz="0" w:space="0"/>
                <w:between w:val="none" w:color="auto" w:sz="0" w:space="0"/>
              </w:pBdr>
              <w:shd w:val="clear" w:fill="FFFFFF"/>
              <w:spacing w:after="0" w:line="240" w:lineRule="auto"/>
              <w:ind w:firstLine="448"/>
              <w:jc w:val="both"/>
              <w:rPr>
                <w:rFonts w:ascii="Times New Roman" w:hAnsi="Times New Roman" w:eastAsia="Times New Roman" w:cs="Times New Roman"/>
                <w:color w:val="000000"/>
                <w:sz w:val="24"/>
                <w:szCs w:val="24"/>
              </w:rPr>
            </w:pPr>
            <w:bookmarkStart w:id="27" w:name="bookmark=id.49x2ik5" w:colFirst="0" w:colLast="0"/>
            <w:bookmarkEnd w:id="27"/>
            <w:r>
              <w:rPr>
                <w:rFonts w:ascii="Times New Roman" w:hAnsi="Times New Roman" w:eastAsia="Times New Roman" w:cs="Times New Roman"/>
                <w:color w:val="000000"/>
                <w:sz w:val="24"/>
                <w:szCs w:val="24"/>
                <w:rtl w:val="0"/>
              </w:rPr>
              <w:t xml:space="preserve">У разі відміни відкритих торгів замовник </w:t>
            </w:r>
            <w:r>
              <w:rPr>
                <w:rFonts w:ascii="Times New Roman" w:hAnsi="Times New Roman" w:eastAsia="Times New Roman" w:cs="Times New Roman"/>
                <w:b/>
                <w:bCs/>
                <w:color w:val="000000"/>
                <w:sz w:val="24"/>
                <w:szCs w:val="24"/>
                <w:rtl w:val="0"/>
              </w:rPr>
              <w:t>протягом одного робочого дня</w:t>
            </w:r>
            <w:r>
              <w:rPr>
                <w:rFonts w:ascii="Times New Roman" w:hAnsi="Times New Roman" w:eastAsia="Times New Roman" w:cs="Times New Roman"/>
                <w:color w:val="000000"/>
                <w:sz w:val="24"/>
                <w:szCs w:val="24"/>
                <w:rtl w:val="0"/>
              </w:rPr>
              <w:t xml:space="preserve"> з дати прийняття відповідного рішення зазначає в електронній системі закупівель підстави прийняття такого рішення.</w:t>
            </w:r>
          </w:p>
          <w:p w14:paraId="00000164">
            <w:pPr>
              <w:pBdr>
                <w:top w:val="none" w:color="auto" w:sz="0" w:space="0"/>
                <w:left w:val="none" w:color="auto" w:sz="0" w:space="0"/>
                <w:bottom w:val="none" w:color="auto" w:sz="0" w:space="0"/>
                <w:right w:val="none" w:color="auto" w:sz="0" w:space="0"/>
                <w:between w:val="none" w:color="auto" w:sz="0" w:space="0"/>
              </w:pBdr>
              <w:shd w:val="clear" w:fill="FFFFFF"/>
              <w:spacing w:after="0" w:line="240" w:lineRule="auto"/>
              <w:ind w:firstLine="448"/>
              <w:jc w:val="both"/>
              <w:rPr>
                <w:rFonts w:ascii="Times New Roman" w:hAnsi="Times New Roman" w:eastAsia="Times New Roman" w:cs="Times New Roman"/>
                <w:b/>
                <w:bCs/>
                <w:color w:val="000000"/>
                <w:sz w:val="24"/>
                <w:szCs w:val="24"/>
                <w:u w:val="single"/>
              </w:rPr>
            </w:pPr>
            <w:bookmarkStart w:id="28" w:name="bookmark=id.2p2csry" w:colFirst="0" w:colLast="0"/>
            <w:bookmarkEnd w:id="28"/>
            <w:r>
              <w:rPr>
                <w:rFonts w:ascii="Times New Roman" w:hAnsi="Times New Roman" w:eastAsia="Times New Roman" w:cs="Times New Roman"/>
                <w:b/>
                <w:bCs/>
                <w:color w:val="000000"/>
                <w:sz w:val="24"/>
                <w:szCs w:val="24"/>
                <w:u w:val="single"/>
                <w:rtl w:val="0"/>
              </w:rPr>
              <w:t>Відкриті торги автоматично відміняються електронною системою закупівель у разі:</w:t>
            </w:r>
          </w:p>
          <w:p w14:paraId="00000165">
            <w:pPr>
              <w:pBdr>
                <w:top w:val="none" w:color="auto" w:sz="0" w:space="0"/>
                <w:left w:val="none" w:color="auto" w:sz="0" w:space="0"/>
                <w:bottom w:val="none" w:color="auto" w:sz="0" w:space="0"/>
                <w:right w:val="none" w:color="auto" w:sz="0" w:space="0"/>
                <w:between w:val="none" w:color="auto" w:sz="0" w:space="0"/>
              </w:pBdr>
              <w:shd w:val="clear" w:fill="FFFFFF"/>
              <w:spacing w:after="0" w:line="240" w:lineRule="auto"/>
              <w:ind w:firstLine="448"/>
              <w:jc w:val="both"/>
              <w:rPr>
                <w:rFonts w:ascii="Times New Roman" w:hAnsi="Times New Roman" w:eastAsia="Times New Roman" w:cs="Times New Roman"/>
                <w:color w:val="000000"/>
                <w:sz w:val="24"/>
                <w:szCs w:val="24"/>
              </w:rPr>
            </w:pPr>
            <w:bookmarkStart w:id="29" w:name="bookmark=id.147n2zr" w:colFirst="0" w:colLast="0"/>
            <w:bookmarkEnd w:id="29"/>
            <w:r>
              <w:rPr>
                <w:rFonts w:ascii="Times New Roman" w:hAnsi="Times New Roman" w:eastAsia="Times New Roman" w:cs="Times New Roman"/>
                <w:color w:val="000000"/>
                <w:sz w:val="24"/>
                <w:szCs w:val="24"/>
                <w:rtl w:val="0"/>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00000166">
            <w:pPr>
              <w:pBdr>
                <w:top w:val="none" w:color="auto" w:sz="0" w:space="0"/>
                <w:left w:val="none" w:color="auto" w:sz="0" w:space="0"/>
                <w:bottom w:val="none" w:color="auto" w:sz="0" w:space="0"/>
                <w:right w:val="none" w:color="auto" w:sz="0" w:space="0"/>
                <w:between w:val="none" w:color="auto" w:sz="0" w:space="0"/>
              </w:pBdr>
              <w:shd w:val="clear" w:fill="FFFFFF"/>
              <w:spacing w:after="0" w:line="240" w:lineRule="auto"/>
              <w:ind w:firstLine="448"/>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2) неподання жодної тендерної пропозиції для участі у відкритих торгах у строк, установлений замовником згідно з Особливостями.</w:t>
            </w:r>
          </w:p>
          <w:p w14:paraId="00000167">
            <w:pPr>
              <w:pBdr>
                <w:top w:val="none" w:color="auto" w:sz="0" w:space="0"/>
                <w:left w:val="none" w:color="auto" w:sz="0" w:space="0"/>
                <w:bottom w:val="none" w:color="auto" w:sz="0" w:space="0"/>
                <w:right w:val="none" w:color="auto" w:sz="0" w:space="0"/>
                <w:between w:val="none" w:color="auto" w:sz="0" w:space="0"/>
              </w:pBdr>
              <w:shd w:val="clear" w:fill="FFFFFF"/>
              <w:spacing w:after="0" w:line="240" w:lineRule="auto"/>
              <w:ind w:firstLine="448"/>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Електронною системою закупівель автоматично протягом одного робочого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14:paraId="00000168">
            <w:pPr>
              <w:pBdr>
                <w:top w:val="none" w:color="auto" w:sz="0" w:space="0"/>
                <w:left w:val="none" w:color="auto" w:sz="0" w:space="0"/>
                <w:bottom w:val="none" w:color="auto" w:sz="0" w:space="0"/>
                <w:right w:val="none" w:color="auto" w:sz="0" w:space="0"/>
                <w:between w:val="none" w:color="auto" w:sz="0" w:space="0"/>
              </w:pBdr>
              <w:shd w:val="clear" w:fill="FFFFFF"/>
              <w:spacing w:after="0" w:line="240" w:lineRule="auto"/>
              <w:ind w:firstLine="448"/>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Відкриті торги можуть бути відмінені частково (за лотом).</w:t>
            </w:r>
          </w:p>
          <w:p w14:paraId="401C4B7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14:paraId="345542AD">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70727C">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2</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E4BF7D">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Строк укладання договору </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A0A9B2">
            <w:pPr>
              <w:widowControl w:val="0"/>
              <w:spacing w:after="0" w:line="240" w:lineRule="auto"/>
              <w:ind w:firstLine="397"/>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Pr>
                <w:rFonts w:ascii="Times New Roman" w:hAnsi="Times New Roman" w:eastAsia="Times New Roman" w:cs="Times New Roman"/>
                <w:b/>
                <w:bCs/>
                <w:sz w:val="24"/>
                <w:szCs w:val="24"/>
                <w:highlight w:val="white"/>
                <w:rtl w:val="0"/>
              </w:rPr>
              <w:t>не пізніше ніж через 15 днів</w:t>
            </w:r>
            <w:r>
              <w:rPr>
                <w:rFonts w:ascii="Times New Roman" w:hAnsi="Times New Roman" w:eastAsia="Times New Roman" w:cs="Times New Roman"/>
                <w:sz w:val="24"/>
                <w:szCs w:val="24"/>
                <w:highlight w:val="white"/>
                <w:rtl w:val="0"/>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Pr>
                <w:rFonts w:ascii="Times New Roman" w:hAnsi="Times New Roman" w:eastAsia="Times New Roman" w:cs="Times New Roman"/>
                <w:b/>
                <w:bCs/>
                <w:sz w:val="24"/>
                <w:szCs w:val="24"/>
                <w:highlight w:val="white"/>
                <w:rtl w:val="0"/>
              </w:rPr>
              <w:t>може бути продовжений до 60 днів</w:t>
            </w:r>
            <w:r>
              <w:rPr>
                <w:rFonts w:ascii="Times New Roman" w:hAnsi="Times New Roman" w:eastAsia="Times New Roman" w:cs="Times New Roman"/>
                <w:sz w:val="24"/>
                <w:szCs w:val="24"/>
                <w:highlight w:val="white"/>
                <w:rtl w:val="0"/>
              </w:rPr>
              <w:t xml:space="preserve">. </w:t>
            </w:r>
          </w:p>
          <w:p w14:paraId="109A51B3">
            <w:pPr>
              <w:widowControl w:val="0"/>
              <w:spacing w:after="0" w:line="240" w:lineRule="auto"/>
              <w:ind w:firstLine="397"/>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14:paraId="38DCFF23">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sz w:val="24"/>
                <w:szCs w:val="24"/>
                <w:highlight w:val="white"/>
                <w:rtl w:val="0"/>
              </w:rPr>
              <w:t xml:space="preserve">З метою забезпечення права на оскарження рішень замовника до органу оскарження договір про закупівлю </w:t>
            </w:r>
            <w:r>
              <w:rPr>
                <w:rFonts w:ascii="Times New Roman" w:hAnsi="Times New Roman" w:eastAsia="Times New Roman" w:cs="Times New Roman"/>
                <w:b/>
                <w:bCs/>
                <w:sz w:val="24"/>
                <w:szCs w:val="24"/>
                <w:highlight w:val="white"/>
                <w:rtl w:val="0"/>
              </w:rPr>
              <w:t>не може бути укладено раніше ніж через п’ять днів</w:t>
            </w:r>
            <w:r>
              <w:rPr>
                <w:rFonts w:ascii="Times New Roman" w:hAnsi="Times New Roman" w:eastAsia="Times New Roman" w:cs="Times New Roman"/>
                <w:sz w:val="24"/>
                <w:szCs w:val="24"/>
                <w:highlight w:val="white"/>
                <w:rtl w:val="0"/>
              </w:rPr>
              <w:t xml:space="preserve"> з дати оприлюднення в електронній системі закупівель повідомлення про намір укласти договір про закупівлю.</w:t>
            </w:r>
          </w:p>
        </w:tc>
      </w:tr>
      <w:tr w14:paraId="70DF8020">
        <w:tblPrEx>
          <w:tblCellMar>
            <w:top w:w="15" w:type="dxa"/>
            <w:left w:w="15" w:type="dxa"/>
            <w:bottom w:w="15" w:type="dxa"/>
            <w:right w:w="15" w:type="dxa"/>
          </w:tblCellMar>
        </w:tblPrEx>
        <w:trPr>
          <w:trHeight w:val="281"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5EBADA8">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3</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D71D274">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Проект договору про закупівлю </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71">
            <w:pPr>
              <w:keepNext/>
              <w:keepLines/>
              <w:widowControl w:val="0"/>
              <w:ind w:right="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Проєкт договору про закупівлю викладено в </w:t>
            </w:r>
            <w:r>
              <w:rPr>
                <w:rFonts w:ascii="Times New Roman" w:hAnsi="Times New Roman" w:eastAsia="Times New Roman" w:cs="Times New Roman"/>
                <w:b/>
                <w:bCs/>
                <w:i/>
                <w:iCs/>
                <w:sz w:val="24"/>
                <w:szCs w:val="24"/>
                <w:highlight w:val="none"/>
                <w:rtl w:val="0"/>
              </w:rPr>
              <w:t>Додатку №</w:t>
            </w:r>
            <w:r>
              <w:rPr>
                <w:rFonts w:hint="default" w:ascii="Times New Roman" w:hAnsi="Times New Roman" w:eastAsia="Times New Roman" w:cs="Times New Roman"/>
                <w:b/>
                <w:bCs/>
                <w:i/>
                <w:iCs/>
                <w:sz w:val="24"/>
                <w:szCs w:val="24"/>
                <w:highlight w:val="none"/>
                <w:rtl w:val="0"/>
                <w:lang w:val="uk-UA"/>
              </w:rPr>
              <w:t>3</w:t>
            </w:r>
            <w:r>
              <w:rPr>
                <w:rFonts w:ascii="Times New Roman" w:hAnsi="Times New Roman" w:eastAsia="Times New Roman" w:cs="Times New Roman"/>
                <w:sz w:val="24"/>
                <w:szCs w:val="24"/>
                <w:highlight w:val="none"/>
                <w:rtl w:val="0"/>
              </w:rPr>
              <w:t xml:space="preserve"> </w:t>
            </w:r>
            <w:r>
              <w:rPr>
                <w:rFonts w:ascii="Times New Roman" w:hAnsi="Times New Roman" w:eastAsia="Times New Roman" w:cs="Times New Roman"/>
                <w:sz w:val="24"/>
                <w:szCs w:val="24"/>
                <w:rtl w:val="0"/>
              </w:rPr>
              <w:t>до цієї тендерної документації.</w:t>
            </w:r>
          </w:p>
          <w:p w14:paraId="2F33CA2A">
            <w:pPr>
              <w:spacing w:after="0" w:line="240" w:lineRule="auto"/>
              <w:jc w:val="both"/>
              <w:rPr>
                <w:rFonts w:ascii="Times New Roman" w:hAnsi="Times New Roman" w:eastAsia="Times New Roman" w:cs="Times New Roman"/>
                <w:color w:val="000000"/>
                <w:sz w:val="24"/>
                <w:szCs w:val="24"/>
                <w:lang w:val="uk-UA"/>
              </w:rPr>
            </w:pPr>
            <w:r>
              <w:rPr>
                <w:rFonts w:ascii="Times New Roman" w:hAnsi="Times New Roman" w:eastAsia="Times New Roman" w:cs="Times New Roman"/>
                <w:sz w:val="24"/>
                <w:szCs w:val="24"/>
                <w:rtl w:val="0"/>
              </w:rPr>
              <w:t>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w:t>
            </w:r>
            <w:r>
              <w:rPr>
                <w:rFonts w:ascii="Times New Roman" w:hAnsi="Times New Roman" w:eastAsia="Times New Roman" w:cs="Times New Roman"/>
                <w:color w:val="000000"/>
                <w:sz w:val="24"/>
                <w:szCs w:val="24"/>
                <w:lang w:val="uk-UA"/>
              </w:rPr>
              <w:t>.</w:t>
            </w:r>
          </w:p>
        </w:tc>
      </w:tr>
      <w:tr w14:paraId="3B827290">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4347C8">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4</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259CBF">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Істотні умови, що обов’язково включаються до договору про закупівлю</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75">
            <w:pPr>
              <w:widowControl w:val="0"/>
              <w:spacing w:after="0" w:line="240" w:lineRule="auto"/>
              <w:ind w:firstLine="39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Договір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Особливостей.</w:t>
            </w:r>
          </w:p>
          <w:p w14:paraId="00000176">
            <w:pPr>
              <w:widowControl w:val="0"/>
              <w:spacing w:after="0" w:line="240" w:lineRule="auto"/>
              <w:ind w:firstLine="39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w:t>
            </w:r>
          </w:p>
          <w:p w14:paraId="00000177">
            <w:pPr>
              <w:widowControl w:val="0"/>
              <w:spacing w:after="0" w:line="240" w:lineRule="auto"/>
              <w:ind w:firstLine="39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00000178">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759"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визначення грошового еквівалента зобов’язання в іноземній валюті;</w:t>
            </w:r>
          </w:p>
          <w:p w14:paraId="00000179">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759"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перерахунку ціни в бік зменшення ціни тендерної пропозиції переможця без зменшення обсягів закупівлі;</w:t>
            </w:r>
          </w:p>
          <w:p w14:paraId="0000017A">
            <w:pPr>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after="0" w:line="240" w:lineRule="auto"/>
              <w:ind w:left="759"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перерахунку ціни та обсягів товарів в бік зменшення за умови необхідності приведення обсягів товарів до кратності упаковки.</w:t>
            </w:r>
          </w:p>
          <w:p w14:paraId="0000017B">
            <w:pPr>
              <w:shd w:val="clear" w:fill="FFFFFF"/>
              <w:spacing w:after="0" w:line="240" w:lineRule="auto"/>
              <w:ind w:firstLine="44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14:paraId="0000017C">
            <w:pPr>
              <w:shd w:val="clear" w:fill="FFFFFF"/>
              <w:spacing w:after="0" w:line="240" w:lineRule="auto"/>
              <w:ind w:firstLine="448"/>
              <w:jc w:val="both"/>
              <w:rPr>
                <w:rFonts w:ascii="Times New Roman" w:hAnsi="Times New Roman" w:eastAsia="Times New Roman" w:cs="Times New Roman"/>
                <w:sz w:val="24"/>
                <w:szCs w:val="24"/>
              </w:rPr>
            </w:pPr>
            <w:bookmarkStart w:id="30" w:name="bookmark=id.3o7alnk" w:colFirst="0" w:colLast="0"/>
            <w:bookmarkEnd w:id="30"/>
            <w:r>
              <w:rPr>
                <w:rFonts w:ascii="Times New Roman" w:hAnsi="Times New Roman" w:eastAsia="Times New Roman" w:cs="Times New Roman"/>
                <w:sz w:val="24"/>
                <w:szCs w:val="24"/>
                <w:rtl w:val="0"/>
              </w:rPr>
              <w:t>1) зменшення обсягів закупівлі, зокрема з урахуванням фактичного обсягу видатків замовника;</w:t>
            </w:r>
          </w:p>
          <w:p w14:paraId="0000017D">
            <w:pPr>
              <w:shd w:val="clear" w:fill="FFFFFF"/>
              <w:spacing w:after="0" w:line="240" w:lineRule="auto"/>
              <w:ind w:firstLine="44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погодження зміни ціни за одиницю товару в договорі про закупівлю у разі коливання ціни такого товару на ринку, що відбулося з моменту укладення договору про закупівлю або останнього внесення змін до договору про закупівлю в частині зміни ціни за одиницю товару. Зміна ціни за одиницю товару здійснюється пропорційно коливанню ціни такого товару на ринку (відсоток збільшення ціни за одиницю товару не може перевищувати відсоток коливання (збільшення) ціни такого товару на ринку) за умови документального підтвердження такого коливання та не повинна призвести до збільшення суми, визначеної в договорі про закупівлю на момент його укладення;</w:t>
            </w:r>
          </w:p>
          <w:p w14:paraId="0000017E">
            <w:pPr>
              <w:shd w:val="clear" w:fill="FFFFFF"/>
              <w:spacing w:after="0" w:line="240" w:lineRule="auto"/>
              <w:ind w:firstLine="44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покращення якості предмета закупівлі за умови, що таке покращення не призведе до збільшення суми, визначеної в договорі про закупівлю;</w:t>
            </w:r>
          </w:p>
          <w:p w14:paraId="0000017F">
            <w:pPr>
              <w:shd w:val="clear" w:fill="FFFFFF"/>
              <w:spacing w:after="0" w:line="240" w:lineRule="auto"/>
              <w:ind w:firstLine="44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00000180">
            <w:pPr>
              <w:shd w:val="clear" w:fill="FFFFFF"/>
              <w:spacing w:after="0" w:line="240" w:lineRule="auto"/>
              <w:ind w:firstLine="44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погодження зміни ціни в договорі про закупівлю в бік зменшення (без зміни кількості (обсягу) та якості товарів, робіт і послуг);</w:t>
            </w:r>
          </w:p>
          <w:p w14:paraId="00000181">
            <w:pPr>
              <w:shd w:val="clear" w:fill="FFFFFF"/>
              <w:spacing w:after="0" w:line="240" w:lineRule="auto"/>
              <w:ind w:firstLine="44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14:paraId="00000182">
            <w:pPr>
              <w:shd w:val="clear" w:fill="FFFFFF"/>
              <w:spacing w:after="0" w:line="240" w:lineRule="auto"/>
              <w:ind w:firstLine="44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00000183">
            <w:pPr>
              <w:shd w:val="clear" w:fill="FFFFFF"/>
              <w:spacing w:after="0" w:line="240" w:lineRule="auto"/>
              <w:ind w:firstLine="44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 зміни умов у зв’язку із застосуванням положень частини шостої статті 41 Закону;</w:t>
            </w:r>
          </w:p>
          <w:p w14:paraId="00000184">
            <w:pPr>
              <w:spacing w:after="0" w:line="240" w:lineRule="auto"/>
              <w:ind w:firstLine="44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 382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14:paraId="00000185">
            <w:pPr>
              <w:spacing w:after="0" w:line="240" w:lineRule="auto"/>
              <w:ind w:firstLine="38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Зміна істотних умов договору про закупівлю вчиняється Сторонами шляхом укладення відповідної додаткової угоди до договору про закупівлю та з дотриманням положень Закону, Цивільного кодексу України, та цієї тендерної документації.</w:t>
            </w:r>
          </w:p>
          <w:p w14:paraId="00000186">
            <w:pPr>
              <w:shd w:val="clear" w:fill="FFFFFF"/>
              <w:spacing w:after="0" w:line="240" w:lineRule="auto"/>
              <w:ind w:firstLine="448"/>
              <w:jc w:val="both"/>
              <w:rPr>
                <w:rFonts w:ascii="Times New Roman" w:hAnsi="Times New Roman" w:eastAsia="Times New Roman" w:cs="Times New Roman"/>
                <w:b/>
                <w:bCs/>
                <w:i/>
                <w:iCs/>
                <w:sz w:val="24"/>
                <w:szCs w:val="24"/>
                <w:u w:val="single"/>
              </w:rPr>
            </w:pPr>
            <w:r>
              <w:rPr>
                <w:rFonts w:ascii="Times New Roman" w:hAnsi="Times New Roman" w:eastAsia="Times New Roman" w:cs="Times New Roman"/>
                <w:b/>
                <w:bCs/>
                <w:i/>
                <w:iCs/>
                <w:sz w:val="24"/>
                <w:szCs w:val="24"/>
                <w:u w:val="single"/>
                <w:rtl w:val="0"/>
              </w:rPr>
              <w:t>Договір про закупівлю є нікчемним у разі:</w:t>
            </w:r>
          </w:p>
          <w:p w14:paraId="00000187">
            <w:pPr>
              <w:shd w:val="clear" w:fill="FFFFFF"/>
              <w:spacing w:after="0" w:line="240" w:lineRule="auto"/>
              <w:ind w:firstLine="448"/>
              <w:jc w:val="both"/>
              <w:rPr>
                <w:rFonts w:ascii="Times New Roman" w:hAnsi="Times New Roman" w:eastAsia="Times New Roman" w:cs="Times New Roman"/>
                <w:sz w:val="24"/>
                <w:szCs w:val="24"/>
              </w:rPr>
            </w:pPr>
            <w:bookmarkStart w:id="31" w:name="bookmark=id.23ckvvd" w:colFirst="0" w:colLast="0"/>
            <w:bookmarkEnd w:id="31"/>
            <w:bookmarkStart w:id="32" w:name="bookmark=id.ihv636" w:colFirst="0" w:colLast="0"/>
            <w:bookmarkEnd w:id="32"/>
            <w:r>
              <w:rPr>
                <w:rFonts w:ascii="Times New Roman" w:hAnsi="Times New Roman" w:eastAsia="Times New Roman" w:cs="Times New Roman"/>
                <w:sz w:val="24"/>
                <w:szCs w:val="24"/>
                <w:rtl w:val="0"/>
              </w:rPr>
              <w:t>1) коли замовник уклав договір про закупівлю з порушенням вимог, визначених пунктом 5 Особливостей;</w:t>
            </w:r>
          </w:p>
          <w:p w14:paraId="00000188">
            <w:pPr>
              <w:shd w:val="clear" w:fill="FFFFFF"/>
              <w:spacing w:after="0" w:line="240" w:lineRule="auto"/>
              <w:ind w:firstLine="44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укладення договору про закупівлю з порушенням вимог пункту 18 Особливостей;</w:t>
            </w:r>
          </w:p>
          <w:p w14:paraId="00000189">
            <w:pPr>
              <w:shd w:val="clear" w:fill="FFFFFF"/>
              <w:spacing w:after="0" w:line="240" w:lineRule="auto"/>
              <w:ind w:firstLine="44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укладення договору про закупівлю в період оскарження відкритих торгів відповідно до статті 18 Закону та Особливостей;</w:t>
            </w:r>
          </w:p>
          <w:p w14:paraId="0000018A">
            <w:pPr>
              <w:shd w:val="clear" w:fill="FFFFFF"/>
              <w:spacing w:after="0" w:line="240" w:lineRule="auto"/>
              <w:ind w:firstLine="44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укладення договору з порушенням строків, передбачених абзацами третім та четвертим пункту 49 Особливостей, крім випадків зупинення перебігу строків у зв’язку з розглядом скарги органом оскарження відповідно до статті 18 Закону з урахуванням Особливостей;</w:t>
            </w:r>
          </w:p>
          <w:p w14:paraId="177E64B8">
            <w:pPr>
              <w:pStyle w:val="25"/>
              <w:shd w:val="clear" w:color="auto" w:fill="FFFFFF"/>
              <w:spacing w:before="0" w:beforeAutospacing="0" w:after="0" w:afterAutospacing="0"/>
              <w:jc w:val="both"/>
              <w:rPr>
                <w:color w:val="000000"/>
              </w:rPr>
            </w:pPr>
            <w:r>
              <w:rPr>
                <w:rFonts w:ascii="Times New Roman" w:hAnsi="Times New Roman" w:eastAsia="Times New Roman" w:cs="Times New Roman"/>
                <w:sz w:val="24"/>
                <w:szCs w:val="24"/>
                <w:rtl w:val="0"/>
              </w:rPr>
              <w:t>5) коли назва предмета закупівлі із зазначенням коду за Єдиним закупівельним словником не відповідає товарам, роботам чи послугам, що фактично закуплені замовником.</w:t>
            </w:r>
          </w:p>
        </w:tc>
      </w:tr>
      <w:tr w14:paraId="0E82423A">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71D468">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5</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7EE684F">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Дії замовника при відмові переможця торгів підписати договір про закупівлю</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245FF7">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color w:val="000000"/>
                <w:sz w:val="24"/>
                <w:szCs w:val="24"/>
                <w:rtl w:val="0"/>
              </w:rPr>
              <w:t>У разі відмови переможця процедури закупівлі від підписання договору про закупівлю відповідно до вимог тендерної документації, неукладення договору про закупівлю або ненадання замовнику підписаного договору про закупівлю у строк, визначений Законом, замовник відхиляє тендерну пропозицію такого учасника, визначає переможця процедури закупівлі, строк дії тендерної пропозиції яких ще не минув, та приймає рішення про намір укласти договір про закупівлю у порядку та на умовах, визначених Законом та Особливостями.</w:t>
            </w:r>
          </w:p>
        </w:tc>
      </w:tr>
      <w:tr w14:paraId="15A9B3F5">
        <w:tblPrEx>
          <w:tblCellMar>
            <w:top w:w="15" w:type="dxa"/>
            <w:left w:w="15" w:type="dxa"/>
            <w:bottom w:w="15" w:type="dxa"/>
            <w:right w:w="15" w:type="dxa"/>
          </w:tblCellMar>
        </w:tblPrEx>
        <w:trPr>
          <w:trHeight w:val="522" w:hRule="atLeast"/>
          <w:jc w:val="center"/>
        </w:trPr>
        <w:tc>
          <w:tcPr>
            <w:tcW w:w="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336717">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6</w:t>
            </w:r>
          </w:p>
        </w:tc>
        <w:tc>
          <w:tcPr>
            <w:tcW w:w="33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06B227">
            <w:pPr>
              <w:spacing w:after="0" w:line="240" w:lineRule="auto"/>
              <w:rPr>
                <w:rFonts w:ascii="Times New Roman" w:hAnsi="Times New Roman" w:eastAsia="Times New Roman" w:cs="Times New Roman"/>
                <w:sz w:val="24"/>
                <w:szCs w:val="24"/>
                <w:lang w:val="uk-UA"/>
              </w:rPr>
            </w:pPr>
            <w:r>
              <w:rPr>
                <w:rFonts w:ascii="Times New Roman" w:hAnsi="Times New Roman" w:eastAsia="Times New Roman" w:cs="Times New Roman"/>
                <w:b/>
                <w:bCs/>
                <w:color w:val="000000"/>
                <w:sz w:val="24"/>
                <w:szCs w:val="24"/>
                <w:lang w:val="uk-UA"/>
              </w:rPr>
              <w:t>Забезпечення виконання договору про закупівлю </w:t>
            </w:r>
          </w:p>
        </w:tc>
        <w:tc>
          <w:tcPr>
            <w:tcW w:w="68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4ED7B8E">
            <w:pPr>
              <w:spacing w:after="0" w:line="240" w:lineRule="auto"/>
              <w:jc w:val="both"/>
              <w:rPr>
                <w:rFonts w:ascii="Times New Roman" w:hAnsi="Times New Roman" w:eastAsia="Times New Roman" w:cs="Times New Roman"/>
                <w:sz w:val="24"/>
                <w:szCs w:val="24"/>
                <w:lang w:val="uk-UA"/>
              </w:rPr>
            </w:pPr>
            <w:r>
              <w:rPr>
                <w:rFonts w:ascii="Times New Roman" w:hAnsi="Times New Roman" w:eastAsia="Times New Roman" w:cs="Times New Roman"/>
                <w:sz w:val="24"/>
                <w:szCs w:val="24"/>
                <w:rtl w:val="0"/>
              </w:rPr>
              <w:t>Забезпечення виконання договору про закупівлю не вимагається.</w:t>
            </w:r>
          </w:p>
        </w:tc>
      </w:tr>
    </w:tbl>
    <w:p w14:paraId="0663AC5C">
      <w:pPr>
        <w:spacing w:after="0" w:line="240" w:lineRule="auto"/>
        <w:rPr>
          <w:lang w:val="uk-UA"/>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Segoe UI">
    <w:panose1 w:val="020B0502040204020203"/>
    <w:charset w:val="CC"/>
    <w:family w:val="swiss"/>
    <w:pitch w:val="default"/>
    <w:sig w:usb0="E4002EFF" w:usb1="C000E47F" w:usb2="00000009" w:usb3="00000000" w:csb0="200001FF" w:csb1="00000000"/>
  </w:font>
  <w:font w:name="Antiqua">
    <w:altName w:val="Malgun Gothic"/>
    <w:panose1 w:val="00000000000000000000"/>
    <w:charset w:val="00"/>
    <w:family w:val="swiss"/>
    <w:pitch w:val="default"/>
    <w:sig w:usb0="00000000" w:usb1="00000000" w:usb2="00000000" w:usb3="00000000" w:csb0="00000005" w:csb1="00000000"/>
  </w:font>
  <w:font w:name="Noto Sans Symbols">
    <w:altName w:val="Noto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62ECE"/>
    <w:multiLevelType w:val="multilevel"/>
    <w:tmpl w:val="03D62ECE"/>
    <w:lvl w:ilvl="0" w:tentative="0">
      <w:start w:val="0"/>
      <w:numFmt w:val="bullet"/>
      <w:lvlText w:val="-"/>
      <w:lvlJc w:val="left"/>
      <w:pPr>
        <w:ind w:left="759" w:hanging="357"/>
      </w:pPr>
      <w:rPr>
        <w:rFonts w:ascii="Times New Roman" w:hAnsi="Times New Roman" w:eastAsia="Times New Roman" w:cs="Times New Roman"/>
      </w:rPr>
    </w:lvl>
    <w:lvl w:ilvl="1" w:tentative="0">
      <w:start w:val="1"/>
      <w:numFmt w:val="bullet"/>
      <w:lvlText w:val="o"/>
      <w:lvlJc w:val="left"/>
      <w:pPr>
        <w:ind w:left="1479" w:hanging="360"/>
      </w:pPr>
      <w:rPr>
        <w:rFonts w:ascii="Courier New" w:hAnsi="Courier New" w:eastAsia="Courier New" w:cs="Courier New"/>
      </w:rPr>
    </w:lvl>
    <w:lvl w:ilvl="2" w:tentative="0">
      <w:start w:val="1"/>
      <w:numFmt w:val="bullet"/>
      <w:lvlText w:val="▪"/>
      <w:lvlJc w:val="left"/>
      <w:pPr>
        <w:ind w:left="2199" w:hanging="360"/>
      </w:pPr>
      <w:rPr>
        <w:rFonts w:ascii="Noto Sans Symbols" w:hAnsi="Noto Sans Symbols" w:eastAsia="Noto Sans Symbols" w:cs="Noto Sans Symbols"/>
      </w:rPr>
    </w:lvl>
    <w:lvl w:ilvl="3" w:tentative="0">
      <w:start w:val="1"/>
      <w:numFmt w:val="bullet"/>
      <w:lvlText w:val="●"/>
      <w:lvlJc w:val="left"/>
      <w:pPr>
        <w:ind w:left="2919" w:hanging="360"/>
      </w:pPr>
      <w:rPr>
        <w:rFonts w:ascii="Noto Sans Symbols" w:hAnsi="Noto Sans Symbols" w:eastAsia="Noto Sans Symbols" w:cs="Noto Sans Symbols"/>
      </w:rPr>
    </w:lvl>
    <w:lvl w:ilvl="4" w:tentative="0">
      <w:start w:val="1"/>
      <w:numFmt w:val="bullet"/>
      <w:lvlText w:val="o"/>
      <w:lvlJc w:val="left"/>
      <w:pPr>
        <w:ind w:left="3639" w:hanging="360"/>
      </w:pPr>
      <w:rPr>
        <w:rFonts w:ascii="Courier New" w:hAnsi="Courier New" w:eastAsia="Courier New" w:cs="Courier New"/>
      </w:rPr>
    </w:lvl>
    <w:lvl w:ilvl="5" w:tentative="0">
      <w:start w:val="1"/>
      <w:numFmt w:val="bullet"/>
      <w:lvlText w:val="▪"/>
      <w:lvlJc w:val="left"/>
      <w:pPr>
        <w:ind w:left="4359" w:hanging="360"/>
      </w:pPr>
      <w:rPr>
        <w:rFonts w:ascii="Noto Sans Symbols" w:hAnsi="Noto Sans Symbols" w:eastAsia="Noto Sans Symbols" w:cs="Noto Sans Symbols"/>
      </w:rPr>
    </w:lvl>
    <w:lvl w:ilvl="6" w:tentative="0">
      <w:start w:val="1"/>
      <w:numFmt w:val="bullet"/>
      <w:lvlText w:val="●"/>
      <w:lvlJc w:val="left"/>
      <w:pPr>
        <w:ind w:left="5079" w:hanging="360"/>
      </w:pPr>
      <w:rPr>
        <w:rFonts w:ascii="Noto Sans Symbols" w:hAnsi="Noto Sans Symbols" w:eastAsia="Noto Sans Symbols" w:cs="Noto Sans Symbols"/>
      </w:rPr>
    </w:lvl>
    <w:lvl w:ilvl="7" w:tentative="0">
      <w:start w:val="1"/>
      <w:numFmt w:val="bullet"/>
      <w:lvlText w:val="o"/>
      <w:lvlJc w:val="left"/>
      <w:pPr>
        <w:ind w:left="5799" w:hanging="360"/>
      </w:pPr>
      <w:rPr>
        <w:rFonts w:ascii="Courier New" w:hAnsi="Courier New" w:eastAsia="Courier New" w:cs="Courier New"/>
      </w:rPr>
    </w:lvl>
    <w:lvl w:ilvl="8" w:tentative="0">
      <w:start w:val="1"/>
      <w:numFmt w:val="bullet"/>
      <w:lvlText w:val="▪"/>
      <w:lvlJc w:val="left"/>
      <w:pPr>
        <w:ind w:left="6519"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AE2"/>
    <w:rsid w:val="00000F13"/>
    <w:rsid w:val="00002461"/>
    <w:rsid w:val="00003649"/>
    <w:rsid w:val="000040DF"/>
    <w:rsid w:val="00004B8A"/>
    <w:rsid w:val="00004D83"/>
    <w:rsid w:val="00005844"/>
    <w:rsid w:val="0000684D"/>
    <w:rsid w:val="000100DA"/>
    <w:rsid w:val="000111D2"/>
    <w:rsid w:val="00012743"/>
    <w:rsid w:val="000136A2"/>
    <w:rsid w:val="00014597"/>
    <w:rsid w:val="000151DD"/>
    <w:rsid w:val="000157CB"/>
    <w:rsid w:val="000158E7"/>
    <w:rsid w:val="00015F9A"/>
    <w:rsid w:val="00016F51"/>
    <w:rsid w:val="00017FEB"/>
    <w:rsid w:val="00021ACB"/>
    <w:rsid w:val="00023349"/>
    <w:rsid w:val="000266A8"/>
    <w:rsid w:val="00026813"/>
    <w:rsid w:val="00033344"/>
    <w:rsid w:val="000336D5"/>
    <w:rsid w:val="00033D60"/>
    <w:rsid w:val="00035544"/>
    <w:rsid w:val="00036742"/>
    <w:rsid w:val="000378AE"/>
    <w:rsid w:val="00040B61"/>
    <w:rsid w:val="00043445"/>
    <w:rsid w:val="00044C8A"/>
    <w:rsid w:val="00044FCE"/>
    <w:rsid w:val="000454C4"/>
    <w:rsid w:val="0004559B"/>
    <w:rsid w:val="00046834"/>
    <w:rsid w:val="00047B67"/>
    <w:rsid w:val="00052342"/>
    <w:rsid w:val="00057FC3"/>
    <w:rsid w:val="000604A2"/>
    <w:rsid w:val="00060D13"/>
    <w:rsid w:val="00061DAC"/>
    <w:rsid w:val="000633D0"/>
    <w:rsid w:val="00064F49"/>
    <w:rsid w:val="000661F4"/>
    <w:rsid w:val="00071BA3"/>
    <w:rsid w:val="000721DC"/>
    <w:rsid w:val="00073152"/>
    <w:rsid w:val="00074F30"/>
    <w:rsid w:val="000750D2"/>
    <w:rsid w:val="000753FA"/>
    <w:rsid w:val="00083167"/>
    <w:rsid w:val="00085EC8"/>
    <w:rsid w:val="0008661E"/>
    <w:rsid w:val="0009077B"/>
    <w:rsid w:val="0009095A"/>
    <w:rsid w:val="00090AB6"/>
    <w:rsid w:val="00090D54"/>
    <w:rsid w:val="00093158"/>
    <w:rsid w:val="00093366"/>
    <w:rsid w:val="000A0058"/>
    <w:rsid w:val="000A12C5"/>
    <w:rsid w:val="000A18C9"/>
    <w:rsid w:val="000A3615"/>
    <w:rsid w:val="000A37B7"/>
    <w:rsid w:val="000A62E9"/>
    <w:rsid w:val="000A6E15"/>
    <w:rsid w:val="000A76C2"/>
    <w:rsid w:val="000B11D5"/>
    <w:rsid w:val="000B177B"/>
    <w:rsid w:val="000B2710"/>
    <w:rsid w:val="000B4D04"/>
    <w:rsid w:val="000B5909"/>
    <w:rsid w:val="000B7AF3"/>
    <w:rsid w:val="000C177E"/>
    <w:rsid w:val="000C29FB"/>
    <w:rsid w:val="000C74F0"/>
    <w:rsid w:val="000C7E2C"/>
    <w:rsid w:val="000D10C6"/>
    <w:rsid w:val="000D2235"/>
    <w:rsid w:val="000D47E5"/>
    <w:rsid w:val="000D6ADC"/>
    <w:rsid w:val="000E0D36"/>
    <w:rsid w:val="000E3A99"/>
    <w:rsid w:val="000E4B34"/>
    <w:rsid w:val="000E5178"/>
    <w:rsid w:val="000E5AAD"/>
    <w:rsid w:val="000F038A"/>
    <w:rsid w:val="000F0513"/>
    <w:rsid w:val="000F2A73"/>
    <w:rsid w:val="000F6031"/>
    <w:rsid w:val="000F77F3"/>
    <w:rsid w:val="00100FE4"/>
    <w:rsid w:val="001019D4"/>
    <w:rsid w:val="001040BA"/>
    <w:rsid w:val="001079E8"/>
    <w:rsid w:val="0011116F"/>
    <w:rsid w:val="00111B95"/>
    <w:rsid w:val="00114249"/>
    <w:rsid w:val="001158B2"/>
    <w:rsid w:val="0011618C"/>
    <w:rsid w:val="00122513"/>
    <w:rsid w:val="00122F33"/>
    <w:rsid w:val="00122F80"/>
    <w:rsid w:val="00123B41"/>
    <w:rsid w:val="00124425"/>
    <w:rsid w:val="0012462E"/>
    <w:rsid w:val="00125481"/>
    <w:rsid w:val="001302D0"/>
    <w:rsid w:val="00130D87"/>
    <w:rsid w:val="001321F3"/>
    <w:rsid w:val="00132AAF"/>
    <w:rsid w:val="00133B2C"/>
    <w:rsid w:val="00134485"/>
    <w:rsid w:val="0013782C"/>
    <w:rsid w:val="00140DFD"/>
    <w:rsid w:val="001413DB"/>
    <w:rsid w:val="00145F9A"/>
    <w:rsid w:val="00146F1A"/>
    <w:rsid w:val="00151CB3"/>
    <w:rsid w:val="00151CCD"/>
    <w:rsid w:val="00152010"/>
    <w:rsid w:val="001537E6"/>
    <w:rsid w:val="0015409B"/>
    <w:rsid w:val="001558D2"/>
    <w:rsid w:val="00155F10"/>
    <w:rsid w:val="00156CD0"/>
    <w:rsid w:val="001575BD"/>
    <w:rsid w:val="001605F4"/>
    <w:rsid w:val="00160B57"/>
    <w:rsid w:val="00161489"/>
    <w:rsid w:val="00163A32"/>
    <w:rsid w:val="0016544F"/>
    <w:rsid w:val="00167CBC"/>
    <w:rsid w:val="001710B4"/>
    <w:rsid w:val="00172317"/>
    <w:rsid w:val="0017281D"/>
    <w:rsid w:val="0017406A"/>
    <w:rsid w:val="00175AE9"/>
    <w:rsid w:val="001766B5"/>
    <w:rsid w:val="00180034"/>
    <w:rsid w:val="0018402E"/>
    <w:rsid w:val="00184058"/>
    <w:rsid w:val="00184238"/>
    <w:rsid w:val="00184962"/>
    <w:rsid w:val="00186573"/>
    <w:rsid w:val="001872A2"/>
    <w:rsid w:val="00187331"/>
    <w:rsid w:val="0019188F"/>
    <w:rsid w:val="0019270E"/>
    <w:rsid w:val="00193A57"/>
    <w:rsid w:val="0019641D"/>
    <w:rsid w:val="0019659B"/>
    <w:rsid w:val="00196A70"/>
    <w:rsid w:val="001A1646"/>
    <w:rsid w:val="001A2898"/>
    <w:rsid w:val="001A2C42"/>
    <w:rsid w:val="001A501D"/>
    <w:rsid w:val="001A66EB"/>
    <w:rsid w:val="001A7908"/>
    <w:rsid w:val="001B100F"/>
    <w:rsid w:val="001B2D1D"/>
    <w:rsid w:val="001B46A4"/>
    <w:rsid w:val="001C2AC7"/>
    <w:rsid w:val="001C2D8C"/>
    <w:rsid w:val="001C35B2"/>
    <w:rsid w:val="001D41E0"/>
    <w:rsid w:val="001D57A3"/>
    <w:rsid w:val="001D5A9F"/>
    <w:rsid w:val="001D5BF4"/>
    <w:rsid w:val="001D7CFB"/>
    <w:rsid w:val="001E49EE"/>
    <w:rsid w:val="001E5157"/>
    <w:rsid w:val="001E68BD"/>
    <w:rsid w:val="001E692A"/>
    <w:rsid w:val="001F0485"/>
    <w:rsid w:val="001F0614"/>
    <w:rsid w:val="001F33BE"/>
    <w:rsid w:val="001F4B5D"/>
    <w:rsid w:val="001F5A7F"/>
    <w:rsid w:val="002017B5"/>
    <w:rsid w:val="00204E81"/>
    <w:rsid w:val="00206A11"/>
    <w:rsid w:val="00207704"/>
    <w:rsid w:val="00210FC6"/>
    <w:rsid w:val="00211C6A"/>
    <w:rsid w:val="002137F7"/>
    <w:rsid w:val="00214813"/>
    <w:rsid w:val="00214A42"/>
    <w:rsid w:val="00215AB6"/>
    <w:rsid w:val="002167D0"/>
    <w:rsid w:val="002219BB"/>
    <w:rsid w:val="0022529C"/>
    <w:rsid w:val="0023075B"/>
    <w:rsid w:val="00230DCF"/>
    <w:rsid w:val="00231860"/>
    <w:rsid w:val="002327E8"/>
    <w:rsid w:val="00235EDE"/>
    <w:rsid w:val="00237543"/>
    <w:rsid w:val="00237866"/>
    <w:rsid w:val="002379F8"/>
    <w:rsid w:val="00242BB6"/>
    <w:rsid w:val="0024417C"/>
    <w:rsid w:val="002457D5"/>
    <w:rsid w:val="00247BC1"/>
    <w:rsid w:val="00252C83"/>
    <w:rsid w:val="00254448"/>
    <w:rsid w:val="00254F8C"/>
    <w:rsid w:val="0025551B"/>
    <w:rsid w:val="00261A98"/>
    <w:rsid w:val="00261D80"/>
    <w:rsid w:val="00264142"/>
    <w:rsid w:val="002657C3"/>
    <w:rsid w:val="002723D0"/>
    <w:rsid w:val="00273F4D"/>
    <w:rsid w:val="0027440E"/>
    <w:rsid w:val="002777C9"/>
    <w:rsid w:val="00283049"/>
    <w:rsid w:val="00283839"/>
    <w:rsid w:val="00283CC3"/>
    <w:rsid w:val="00284BD7"/>
    <w:rsid w:val="002864F6"/>
    <w:rsid w:val="00286E43"/>
    <w:rsid w:val="00287BB1"/>
    <w:rsid w:val="00290B49"/>
    <w:rsid w:val="00290F37"/>
    <w:rsid w:val="00291D6C"/>
    <w:rsid w:val="00293B52"/>
    <w:rsid w:val="00294107"/>
    <w:rsid w:val="00295CBB"/>
    <w:rsid w:val="00296652"/>
    <w:rsid w:val="002A063B"/>
    <w:rsid w:val="002A3CAD"/>
    <w:rsid w:val="002A41F8"/>
    <w:rsid w:val="002A4AED"/>
    <w:rsid w:val="002A5536"/>
    <w:rsid w:val="002A6E75"/>
    <w:rsid w:val="002A7975"/>
    <w:rsid w:val="002B15FA"/>
    <w:rsid w:val="002B595A"/>
    <w:rsid w:val="002B79CC"/>
    <w:rsid w:val="002C0D7F"/>
    <w:rsid w:val="002C0F84"/>
    <w:rsid w:val="002C118C"/>
    <w:rsid w:val="002C33AD"/>
    <w:rsid w:val="002C4E6C"/>
    <w:rsid w:val="002C6197"/>
    <w:rsid w:val="002C6FC3"/>
    <w:rsid w:val="002D3430"/>
    <w:rsid w:val="002D395E"/>
    <w:rsid w:val="002D4F39"/>
    <w:rsid w:val="002D72EB"/>
    <w:rsid w:val="002D7A1F"/>
    <w:rsid w:val="002E0835"/>
    <w:rsid w:val="002E2FF1"/>
    <w:rsid w:val="002E381A"/>
    <w:rsid w:val="002E640E"/>
    <w:rsid w:val="002F08EC"/>
    <w:rsid w:val="002F1188"/>
    <w:rsid w:val="002F2306"/>
    <w:rsid w:val="002F251B"/>
    <w:rsid w:val="002F3194"/>
    <w:rsid w:val="002F3EE7"/>
    <w:rsid w:val="002F69A9"/>
    <w:rsid w:val="002F7A2B"/>
    <w:rsid w:val="002F7E4E"/>
    <w:rsid w:val="00304159"/>
    <w:rsid w:val="00304F47"/>
    <w:rsid w:val="0030526D"/>
    <w:rsid w:val="00305BE1"/>
    <w:rsid w:val="00307884"/>
    <w:rsid w:val="003155C1"/>
    <w:rsid w:val="00316C40"/>
    <w:rsid w:val="00316C76"/>
    <w:rsid w:val="00316EC3"/>
    <w:rsid w:val="00322376"/>
    <w:rsid w:val="00322839"/>
    <w:rsid w:val="003234B8"/>
    <w:rsid w:val="00325579"/>
    <w:rsid w:val="00330F34"/>
    <w:rsid w:val="0033153F"/>
    <w:rsid w:val="003337D9"/>
    <w:rsid w:val="003344C2"/>
    <w:rsid w:val="00334B99"/>
    <w:rsid w:val="00336FF4"/>
    <w:rsid w:val="003370A8"/>
    <w:rsid w:val="0033725D"/>
    <w:rsid w:val="00337363"/>
    <w:rsid w:val="003439E6"/>
    <w:rsid w:val="003450FF"/>
    <w:rsid w:val="00347799"/>
    <w:rsid w:val="00352A95"/>
    <w:rsid w:val="00355295"/>
    <w:rsid w:val="003569C0"/>
    <w:rsid w:val="003577F8"/>
    <w:rsid w:val="00361B00"/>
    <w:rsid w:val="003637D7"/>
    <w:rsid w:val="00367552"/>
    <w:rsid w:val="00367BF4"/>
    <w:rsid w:val="00367EEC"/>
    <w:rsid w:val="003712DA"/>
    <w:rsid w:val="003722C9"/>
    <w:rsid w:val="00372C12"/>
    <w:rsid w:val="00376818"/>
    <w:rsid w:val="00376AFA"/>
    <w:rsid w:val="0037758D"/>
    <w:rsid w:val="00381BD3"/>
    <w:rsid w:val="003857F6"/>
    <w:rsid w:val="00387F19"/>
    <w:rsid w:val="003904AE"/>
    <w:rsid w:val="003919AE"/>
    <w:rsid w:val="0039456A"/>
    <w:rsid w:val="00397C7D"/>
    <w:rsid w:val="003A002C"/>
    <w:rsid w:val="003A0A1F"/>
    <w:rsid w:val="003A3CA1"/>
    <w:rsid w:val="003A5CA1"/>
    <w:rsid w:val="003A60F6"/>
    <w:rsid w:val="003A6D3A"/>
    <w:rsid w:val="003A6F59"/>
    <w:rsid w:val="003A7335"/>
    <w:rsid w:val="003B01F7"/>
    <w:rsid w:val="003B3D76"/>
    <w:rsid w:val="003B463C"/>
    <w:rsid w:val="003B58D1"/>
    <w:rsid w:val="003B759F"/>
    <w:rsid w:val="003B7F21"/>
    <w:rsid w:val="003C0D21"/>
    <w:rsid w:val="003C0D2A"/>
    <w:rsid w:val="003C1A7D"/>
    <w:rsid w:val="003C1E10"/>
    <w:rsid w:val="003C3510"/>
    <w:rsid w:val="003C5AE2"/>
    <w:rsid w:val="003D007A"/>
    <w:rsid w:val="003D057E"/>
    <w:rsid w:val="003D05BB"/>
    <w:rsid w:val="003D0E8E"/>
    <w:rsid w:val="003D24FD"/>
    <w:rsid w:val="003D32E1"/>
    <w:rsid w:val="003D3A40"/>
    <w:rsid w:val="003D3D75"/>
    <w:rsid w:val="003D48A0"/>
    <w:rsid w:val="003D4B00"/>
    <w:rsid w:val="003D50E6"/>
    <w:rsid w:val="003D5C21"/>
    <w:rsid w:val="003D7282"/>
    <w:rsid w:val="003E2ED9"/>
    <w:rsid w:val="003E3B2D"/>
    <w:rsid w:val="003E56EA"/>
    <w:rsid w:val="003E5CB6"/>
    <w:rsid w:val="003E6424"/>
    <w:rsid w:val="003E7398"/>
    <w:rsid w:val="003F3794"/>
    <w:rsid w:val="003F7B71"/>
    <w:rsid w:val="003F7CC3"/>
    <w:rsid w:val="004018C9"/>
    <w:rsid w:val="004021A0"/>
    <w:rsid w:val="004023C1"/>
    <w:rsid w:val="004034C3"/>
    <w:rsid w:val="00404919"/>
    <w:rsid w:val="0040506B"/>
    <w:rsid w:val="00410EB8"/>
    <w:rsid w:val="004117F9"/>
    <w:rsid w:val="0041309C"/>
    <w:rsid w:val="00414C16"/>
    <w:rsid w:val="00415A72"/>
    <w:rsid w:val="00416D89"/>
    <w:rsid w:val="00416E1E"/>
    <w:rsid w:val="00417A5C"/>
    <w:rsid w:val="00417C20"/>
    <w:rsid w:val="0042244D"/>
    <w:rsid w:val="00423DCC"/>
    <w:rsid w:val="00425EBA"/>
    <w:rsid w:val="00432C65"/>
    <w:rsid w:val="00435371"/>
    <w:rsid w:val="00435690"/>
    <w:rsid w:val="00435796"/>
    <w:rsid w:val="004369C9"/>
    <w:rsid w:val="0044031E"/>
    <w:rsid w:val="00445815"/>
    <w:rsid w:val="0045022A"/>
    <w:rsid w:val="00453E89"/>
    <w:rsid w:val="004608FC"/>
    <w:rsid w:val="00462DB9"/>
    <w:rsid w:val="0046461D"/>
    <w:rsid w:val="004660C3"/>
    <w:rsid w:val="00467F1E"/>
    <w:rsid w:val="00467F3D"/>
    <w:rsid w:val="00472230"/>
    <w:rsid w:val="00473806"/>
    <w:rsid w:val="0047389B"/>
    <w:rsid w:val="00475CAB"/>
    <w:rsid w:val="004770A5"/>
    <w:rsid w:val="00482E81"/>
    <w:rsid w:val="00482E9E"/>
    <w:rsid w:val="00486060"/>
    <w:rsid w:val="00490005"/>
    <w:rsid w:val="004917C4"/>
    <w:rsid w:val="004929DD"/>
    <w:rsid w:val="004947A9"/>
    <w:rsid w:val="00495D07"/>
    <w:rsid w:val="0049788D"/>
    <w:rsid w:val="004978F9"/>
    <w:rsid w:val="00497EB7"/>
    <w:rsid w:val="004A0729"/>
    <w:rsid w:val="004A140B"/>
    <w:rsid w:val="004A270B"/>
    <w:rsid w:val="004A273E"/>
    <w:rsid w:val="004A34B1"/>
    <w:rsid w:val="004A3596"/>
    <w:rsid w:val="004A390D"/>
    <w:rsid w:val="004A4507"/>
    <w:rsid w:val="004A6A73"/>
    <w:rsid w:val="004A7043"/>
    <w:rsid w:val="004B31B7"/>
    <w:rsid w:val="004B52A2"/>
    <w:rsid w:val="004C0FB0"/>
    <w:rsid w:val="004C1DAD"/>
    <w:rsid w:val="004C2C35"/>
    <w:rsid w:val="004C3B83"/>
    <w:rsid w:val="004C4867"/>
    <w:rsid w:val="004D0862"/>
    <w:rsid w:val="004D0878"/>
    <w:rsid w:val="004D0E2E"/>
    <w:rsid w:val="004D4F33"/>
    <w:rsid w:val="004E036A"/>
    <w:rsid w:val="004E3903"/>
    <w:rsid w:val="004E5711"/>
    <w:rsid w:val="004E7E9A"/>
    <w:rsid w:val="004F0927"/>
    <w:rsid w:val="004F09CD"/>
    <w:rsid w:val="004F17AB"/>
    <w:rsid w:val="004F2DEB"/>
    <w:rsid w:val="004F2F5E"/>
    <w:rsid w:val="004F4858"/>
    <w:rsid w:val="004F596E"/>
    <w:rsid w:val="004F7AF4"/>
    <w:rsid w:val="00502B9C"/>
    <w:rsid w:val="005043D2"/>
    <w:rsid w:val="00515244"/>
    <w:rsid w:val="00515487"/>
    <w:rsid w:val="0051661D"/>
    <w:rsid w:val="005171F5"/>
    <w:rsid w:val="00517C85"/>
    <w:rsid w:val="00521DE3"/>
    <w:rsid w:val="00522389"/>
    <w:rsid w:val="005229B3"/>
    <w:rsid w:val="00523DBD"/>
    <w:rsid w:val="00524CC6"/>
    <w:rsid w:val="00527312"/>
    <w:rsid w:val="005302F7"/>
    <w:rsid w:val="00530549"/>
    <w:rsid w:val="00530EEE"/>
    <w:rsid w:val="00532C31"/>
    <w:rsid w:val="005366ED"/>
    <w:rsid w:val="00536EA1"/>
    <w:rsid w:val="0054115C"/>
    <w:rsid w:val="00543A3A"/>
    <w:rsid w:val="005471CA"/>
    <w:rsid w:val="0055089F"/>
    <w:rsid w:val="00550C47"/>
    <w:rsid w:val="00550D28"/>
    <w:rsid w:val="0055491D"/>
    <w:rsid w:val="00554F23"/>
    <w:rsid w:val="00556CE0"/>
    <w:rsid w:val="005619FF"/>
    <w:rsid w:val="00562482"/>
    <w:rsid w:val="0056272C"/>
    <w:rsid w:val="005636EC"/>
    <w:rsid w:val="0056396D"/>
    <w:rsid w:val="00570417"/>
    <w:rsid w:val="005705B4"/>
    <w:rsid w:val="00574212"/>
    <w:rsid w:val="00574495"/>
    <w:rsid w:val="00574612"/>
    <w:rsid w:val="00574C12"/>
    <w:rsid w:val="00574F91"/>
    <w:rsid w:val="00576C54"/>
    <w:rsid w:val="005770D9"/>
    <w:rsid w:val="00581E61"/>
    <w:rsid w:val="00582606"/>
    <w:rsid w:val="005852CF"/>
    <w:rsid w:val="0058621B"/>
    <w:rsid w:val="00587518"/>
    <w:rsid w:val="005875F0"/>
    <w:rsid w:val="00590A02"/>
    <w:rsid w:val="005937C9"/>
    <w:rsid w:val="005A0C66"/>
    <w:rsid w:val="005A120F"/>
    <w:rsid w:val="005A34CD"/>
    <w:rsid w:val="005A4973"/>
    <w:rsid w:val="005A5C91"/>
    <w:rsid w:val="005A6A9A"/>
    <w:rsid w:val="005A6D90"/>
    <w:rsid w:val="005B1C1E"/>
    <w:rsid w:val="005B4B47"/>
    <w:rsid w:val="005B79E5"/>
    <w:rsid w:val="005B7BCC"/>
    <w:rsid w:val="005C2C42"/>
    <w:rsid w:val="005C3052"/>
    <w:rsid w:val="005C4858"/>
    <w:rsid w:val="005C4935"/>
    <w:rsid w:val="005C544C"/>
    <w:rsid w:val="005D0A22"/>
    <w:rsid w:val="005D0B65"/>
    <w:rsid w:val="005D0CCD"/>
    <w:rsid w:val="005D0E20"/>
    <w:rsid w:val="005D2546"/>
    <w:rsid w:val="005D2A08"/>
    <w:rsid w:val="005D2AE5"/>
    <w:rsid w:val="005D4A11"/>
    <w:rsid w:val="005D584F"/>
    <w:rsid w:val="005D59F8"/>
    <w:rsid w:val="005E292F"/>
    <w:rsid w:val="005E2C27"/>
    <w:rsid w:val="005E59F1"/>
    <w:rsid w:val="005E640B"/>
    <w:rsid w:val="005E69A3"/>
    <w:rsid w:val="005E7684"/>
    <w:rsid w:val="005E7D28"/>
    <w:rsid w:val="005F0022"/>
    <w:rsid w:val="005F0F6A"/>
    <w:rsid w:val="005F32CA"/>
    <w:rsid w:val="005F60DA"/>
    <w:rsid w:val="005F70B7"/>
    <w:rsid w:val="0060139A"/>
    <w:rsid w:val="006020D5"/>
    <w:rsid w:val="006020F4"/>
    <w:rsid w:val="00602AF6"/>
    <w:rsid w:val="006039B3"/>
    <w:rsid w:val="00603E24"/>
    <w:rsid w:val="00605D03"/>
    <w:rsid w:val="00606B79"/>
    <w:rsid w:val="00611B02"/>
    <w:rsid w:val="00613F81"/>
    <w:rsid w:val="0061513E"/>
    <w:rsid w:val="00615858"/>
    <w:rsid w:val="00616591"/>
    <w:rsid w:val="00621A02"/>
    <w:rsid w:val="00626017"/>
    <w:rsid w:val="006263FB"/>
    <w:rsid w:val="006267F5"/>
    <w:rsid w:val="00630907"/>
    <w:rsid w:val="0063156F"/>
    <w:rsid w:val="00631DEA"/>
    <w:rsid w:val="006323E2"/>
    <w:rsid w:val="00633BE0"/>
    <w:rsid w:val="00635F8F"/>
    <w:rsid w:val="00641BB1"/>
    <w:rsid w:val="006432BF"/>
    <w:rsid w:val="0064385A"/>
    <w:rsid w:val="00643F86"/>
    <w:rsid w:val="00650717"/>
    <w:rsid w:val="00651133"/>
    <w:rsid w:val="00652538"/>
    <w:rsid w:val="00660E6F"/>
    <w:rsid w:val="00661107"/>
    <w:rsid w:val="00661324"/>
    <w:rsid w:val="00663A1B"/>
    <w:rsid w:val="00666F3A"/>
    <w:rsid w:val="00667D11"/>
    <w:rsid w:val="006705F6"/>
    <w:rsid w:val="006713CD"/>
    <w:rsid w:val="00671949"/>
    <w:rsid w:val="00672C36"/>
    <w:rsid w:val="0067567B"/>
    <w:rsid w:val="00676D4E"/>
    <w:rsid w:val="00677C8B"/>
    <w:rsid w:val="006814D3"/>
    <w:rsid w:val="00681EFB"/>
    <w:rsid w:val="0068389F"/>
    <w:rsid w:val="00684704"/>
    <w:rsid w:val="006861FE"/>
    <w:rsid w:val="00686DC2"/>
    <w:rsid w:val="0068749B"/>
    <w:rsid w:val="00690CB2"/>
    <w:rsid w:val="00692FAC"/>
    <w:rsid w:val="0069310D"/>
    <w:rsid w:val="006931BC"/>
    <w:rsid w:val="00694831"/>
    <w:rsid w:val="00695901"/>
    <w:rsid w:val="00697A4E"/>
    <w:rsid w:val="006A64CB"/>
    <w:rsid w:val="006A7235"/>
    <w:rsid w:val="006A7F7A"/>
    <w:rsid w:val="006B33B5"/>
    <w:rsid w:val="006C11B9"/>
    <w:rsid w:val="006C2F9D"/>
    <w:rsid w:val="006C4658"/>
    <w:rsid w:val="006C479D"/>
    <w:rsid w:val="006C5585"/>
    <w:rsid w:val="006C5617"/>
    <w:rsid w:val="006C63CD"/>
    <w:rsid w:val="006C69CB"/>
    <w:rsid w:val="006C70DE"/>
    <w:rsid w:val="006D5DDA"/>
    <w:rsid w:val="006E02C0"/>
    <w:rsid w:val="006E106D"/>
    <w:rsid w:val="006E196D"/>
    <w:rsid w:val="006E37CC"/>
    <w:rsid w:val="006E5F87"/>
    <w:rsid w:val="006E7969"/>
    <w:rsid w:val="006F1130"/>
    <w:rsid w:val="006F28EC"/>
    <w:rsid w:val="006F2C3B"/>
    <w:rsid w:val="006F405A"/>
    <w:rsid w:val="006F6381"/>
    <w:rsid w:val="007040A4"/>
    <w:rsid w:val="00704222"/>
    <w:rsid w:val="00707158"/>
    <w:rsid w:val="00711143"/>
    <w:rsid w:val="00712BD6"/>
    <w:rsid w:val="0071307B"/>
    <w:rsid w:val="00713A1E"/>
    <w:rsid w:val="007145FC"/>
    <w:rsid w:val="00715BA1"/>
    <w:rsid w:val="007173AF"/>
    <w:rsid w:val="00720A80"/>
    <w:rsid w:val="00724755"/>
    <w:rsid w:val="007319BB"/>
    <w:rsid w:val="00733F50"/>
    <w:rsid w:val="00742002"/>
    <w:rsid w:val="00742BCD"/>
    <w:rsid w:val="00743F0B"/>
    <w:rsid w:val="00746553"/>
    <w:rsid w:val="007467E9"/>
    <w:rsid w:val="00747AB7"/>
    <w:rsid w:val="00750797"/>
    <w:rsid w:val="007517C2"/>
    <w:rsid w:val="007524A0"/>
    <w:rsid w:val="007551E8"/>
    <w:rsid w:val="0075570B"/>
    <w:rsid w:val="00755E06"/>
    <w:rsid w:val="00756CD9"/>
    <w:rsid w:val="0076089C"/>
    <w:rsid w:val="007609BE"/>
    <w:rsid w:val="007617B1"/>
    <w:rsid w:val="00762200"/>
    <w:rsid w:val="00762E28"/>
    <w:rsid w:val="007653DF"/>
    <w:rsid w:val="00770A26"/>
    <w:rsid w:val="00770E87"/>
    <w:rsid w:val="00770FEF"/>
    <w:rsid w:val="007720D9"/>
    <w:rsid w:val="007756A4"/>
    <w:rsid w:val="007756D7"/>
    <w:rsid w:val="007778D7"/>
    <w:rsid w:val="00781AFC"/>
    <w:rsid w:val="00781C86"/>
    <w:rsid w:val="00784A81"/>
    <w:rsid w:val="00784EE9"/>
    <w:rsid w:val="00785C05"/>
    <w:rsid w:val="007863A7"/>
    <w:rsid w:val="007925D2"/>
    <w:rsid w:val="00793A73"/>
    <w:rsid w:val="007A2282"/>
    <w:rsid w:val="007A29D8"/>
    <w:rsid w:val="007A5404"/>
    <w:rsid w:val="007A5A77"/>
    <w:rsid w:val="007A5E69"/>
    <w:rsid w:val="007A6F44"/>
    <w:rsid w:val="007A79B9"/>
    <w:rsid w:val="007A7CDF"/>
    <w:rsid w:val="007B2A99"/>
    <w:rsid w:val="007B370A"/>
    <w:rsid w:val="007B79D9"/>
    <w:rsid w:val="007C1104"/>
    <w:rsid w:val="007C1177"/>
    <w:rsid w:val="007C13A5"/>
    <w:rsid w:val="007C36C4"/>
    <w:rsid w:val="007C4051"/>
    <w:rsid w:val="007C7A13"/>
    <w:rsid w:val="007D0230"/>
    <w:rsid w:val="007D5695"/>
    <w:rsid w:val="007D678D"/>
    <w:rsid w:val="007D71ED"/>
    <w:rsid w:val="007D7C48"/>
    <w:rsid w:val="007E0610"/>
    <w:rsid w:val="007E21D1"/>
    <w:rsid w:val="007E237A"/>
    <w:rsid w:val="007E2D95"/>
    <w:rsid w:val="007E6501"/>
    <w:rsid w:val="007E762A"/>
    <w:rsid w:val="007F039F"/>
    <w:rsid w:val="007F0C31"/>
    <w:rsid w:val="007F6980"/>
    <w:rsid w:val="00803979"/>
    <w:rsid w:val="00803D6C"/>
    <w:rsid w:val="0080444E"/>
    <w:rsid w:val="00804C95"/>
    <w:rsid w:val="00804F30"/>
    <w:rsid w:val="00805103"/>
    <w:rsid w:val="00811FB8"/>
    <w:rsid w:val="00812692"/>
    <w:rsid w:val="008134F2"/>
    <w:rsid w:val="00814477"/>
    <w:rsid w:val="0082077F"/>
    <w:rsid w:val="00821D21"/>
    <w:rsid w:val="00826E30"/>
    <w:rsid w:val="00827509"/>
    <w:rsid w:val="00831E9D"/>
    <w:rsid w:val="00833F77"/>
    <w:rsid w:val="008341C0"/>
    <w:rsid w:val="008373BE"/>
    <w:rsid w:val="00837A15"/>
    <w:rsid w:val="00840033"/>
    <w:rsid w:val="00840950"/>
    <w:rsid w:val="00842273"/>
    <w:rsid w:val="0084327F"/>
    <w:rsid w:val="00844E6A"/>
    <w:rsid w:val="00846822"/>
    <w:rsid w:val="00846C20"/>
    <w:rsid w:val="00847D32"/>
    <w:rsid w:val="008503FD"/>
    <w:rsid w:val="008514E0"/>
    <w:rsid w:val="008518C1"/>
    <w:rsid w:val="00853AF4"/>
    <w:rsid w:val="00854AE6"/>
    <w:rsid w:val="00854FCF"/>
    <w:rsid w:val="00855E67"/>
    <w:rsid w:val="00857AF6"/>
    <w:rsid w:val="00861EA5"/>
    <w:rsid w:val="00861EBD"/>
    <w:rsid w:val="00862C75"/>
    <w:rsid w:val="00863E71"/>
    <w:rsid w:val="008644A1"/>
    <w:rsid w:val="008652E9"/>
    <w:rsid w:val="00870806"/>
    <w:rsid w:val="008710CC"/>
    <w:rsid w:val="00873254"/>
    <w:rsid w:val="008733E2"/>
    <w:rsid w:val="00873E76"/>
    <w:rsid w:val="008770AE"/>
    <w:rsid w:val="008810B6"/>
    <w:rsid w:val="008817F5"/>
    <w:rsid w:val="00881901"/>
    <w:rsid w:val="00881A06"/>
    <w:rsid w:val="008823FF"/>
    <w:rsid w:val="00883DD9"/>
    <w:rsid w:val="00886541"/>
    <w:rsid w:val="00887AFF"/>
    <w:rsid w:val="0089229D"/>
    <w:rsid w:val="00894F31"/>
    <w:rsid w:val="00895E3D"/>
    <w:rsid w:val="00896DAF"/>
    <w:rsid w:val="00897045"/>
    <w:rsid w:val="008A0BDF"/>
    <w:rsid w:val="008A0DF7"/>
    <w:rsid w:val="008A1E55"/>
    <w:rsid w:val="008A5657"/>
    <w:rsid w:val="008A624B"/>
    <w:rsid w:val="008A76C7"/>
    <w:rsid w:val="008A7753"/>
    <w:rsid w:val="008A7993"/>
    <w:rsid w:val="008B085D"/>
    <w:rsid w:val="008B1535"/>
    <w:rsid w:val="008B1FFF"/>
    <w:rsid w:val="008B32FD"/>
    <w:rsid w:val="008B3B98"/>
    <w:rsid w:val="008B4FA4"/>
    <w:rsid w:val="008B61E6"/>
    <w:rsid w:val="008B72D2"/>
    <w:rsid w:val="008C0D14"/>
    <w:rsid w:val="008C6093"/>
    <w:rsid w:val="008D487E"/>
    <w:rsid w:val="008E0C89"/>
    <w:rsid w:val="008E16C4"/>
    <w:rsid w:val="008E1AB3"/>
    <w:rsid w:val="008E1E8D"/>
    <w:rsid w:val="008E3C52"/>
    <w:rsid w:val="008E4E39"/>
    <w:rsid w:val="008F1F84"/>
    <w:rsid w:val="008F2B59"/>
    <w:rsid w:val="008F4224"/>
    <w:rsid w:val="008F6859"/>
    <w:rsid w:val="009004B3"/>
    <w:rsid w:val="00901022"/>
    <w:rsid w:val="00903115"/>
    <w:rsid w:val="00903814"/>
    <w:rsid w:val="00905E7A"/>
    <w:rsid w:val="00907516"/>
    <w:rsid w:val="00910BE1"/>
    <w:rsid w:val="009121D8"/>
    <w:rsid w:val="009139D3"/>
    <w:rsid w:val="00914883"/>
    <w:rsid w:val="00915545"/>
    <w:rsid w:val="009158B6"/>
    <w:rsid w:val="00916384"/>
    <w:rsid w:val="00920884"/>
    <w:rsid w:val="0092509A"/>
    <w:rsid w:val="00925246"/>
    <w:rsid w:val="009255EE"/>
    <w:rsid w:val="009264DB"/>
    <w:rsid w:val="00926987"/>
    <w:rsid w:val="00926E18"/>
    <w:rsid w:val="009307A4"/>
    <w:rsid w:val="009309B2"/>
    <w:rsid w:val="00930BC2"/>
    <w:rsid w:val="009318FB"/>
    <w:rsid w:val="00933613"/>
    <w:rsid w:val="009355A0"/>
    <w:rsid w:val="00936C97"/>
    <w:rsid w:val="00937069"/>
    <w:rsid w:val="00941A14"/>
    <w:rsid w:val="00943C48"/>
    <w:rsid w:val="00946557"/>
    <w:rsid w:val="00947F25"/>
    <w:rsid w:val="00950826"/>
    <w:rsid w:val="0095424A"/>
    <w:rsid w:val="00954489"/>
    <w:rsid w:val="009549FC"/>
    <w:rsid w:val="00966E33"/>
    <w:rsid w:val="009677A3"/>
    <w:rsid w:val="00972B15"/>
    <w:rsid w:val="0097365B"/>
    <w:rsid w:val="00974BD0"/>
    <w:rsid w:val="00976E41"/>
    <w:rsid w:val="00982D08"/>
    <w:rsid w:val="009831A3"/>
    <w:rsid w:val="009846D3"/>
    <w:rsid w:val="009916C1"/>
    <w:rsid w:val="009A13D0"/>
    <w:rsid w:val="009A3312"/>
    <w:rsid w:val="009A3DBC"/>
    <w:rsid w:val="009A41D8"/>
    <w:rsid w:val="009A481A"/>
    <w:rsid w:val="009A57A7"/>
    <w:rsid w:val="009A639F"/>
    <w:rsid w:val="009B4502"/>
    <w:rsid w:val="009C36DE"/>
    <w:rsid w:val="009C431B"/>
    <w:rsid w:val="009D0ECA"/>
    <w:rsid w:val="009D282A"/>
    <w:rsid w:val="009D2DBF"/>
    <w:rsid w:val="009D4D89"/>
    <w:rsid w:val="009D680D"/>
    <w:rsid w:val="009E1DEC"/>
    <w:rsid w:val="009E2AF1"/>
    <w:rsid w:val="009E3098"/>
    <w:rsid w:val="009E3596"/>
    <w:rsid w:val="009E40D4"/>
    <w:rsid w:val="009E42A7"/>
    <w:rsid w:val="009E4815"/>
    <w:rsid w:val="009E57F7"/>
    <w:rsid w:val="009E689A"/>
    <w:rsid w:val="009E7B17"/>
    <w:rsid w:val="009F23F2"/>
    <w:rsid w:val="009F3CEB"/>
    <w:rsid w:val="009F7FC3"/>
    <w:rsid w:val="00A01895"/>
    <w:rsid w:val="00A02609"/>
    <w:rsid w:val="00A02EE2"/>
    <w:rsid w:val="00A039EC"/>
    <w:rsid w:val="00A10971"/>
    <w:rsid w:val="00A10FD8"/>
    <w:rsid w:val="00A154A4"/>
    <w:rsid w:val="00A154DE"/>
    <w:rsid w:val="00A208DE"/>
    <w:rsid w:val="00A22E92"/>
    <w:rsid w:val="00A23ABB"/>
    <w:rsid w:val="00A2505C"/>
    <w:rsid w:val="00A25261"/>
    <w:rsid w:val="00A300A6"/>
    <w:rsid w:val="00A3080B"/>
    <w:rsid w:val="00A31357"/>
    <w:rsid w:val="00A31A0B"/>
    <w:rsid w:val="00A353CD"/>
    <w:rsid w:val="00A356AD"/>
    <w:rsid w:val="00A4032B"/>
    <w:rsid w:val="00A41611"/>
    <w:rsid w:val="00A41CD2"/>
    <w:rsid w:val="00A438D4"/>
    <w:rsid w:val="00A440EB"/>
    <w:rsid w:val="00A4510B"/>
    <w:rsid w:val="00A53322"/>
    <w:rsid w:val="00A54EBD"/>
    <w:rsid w:val="00A563EE"/>
    <w:rsid w:val="00A5698A"/>
    <w:rsid w:val="00A6002A"/>
    <w:rsid w:val="00A60682"/>
    <w:rsid w:val="00A6181D"/>
    <w:rsid w:val="00A6558B"/>
    <w:rsid w:val="00A658E8"/>
    <w:rsid w:val="00A67591"/>
    <w:rsid w:val="00A67CEF"/>
    <w:rsid w:val="00A70A9A"/>
    <w:rsid w:val="00A70B5D"/>
    <w:rsid w:val="00A70D3A"/>
    <w:rsid w:val="00A721F9"/>
    <w:rsid w:val="00A74966"/>
    <w:rsid w:val="00A76AB6"/>
    <w:rsid w:val="00A77E6F"/>
    <w:rsid w:val="00A80F37"/>
    <w:rsid w:val="00A81B70"/>
    <w:rsid w:val="00A827CE"/>
    <w:rsid w:val="00A839C2"/>
    <w:rsid w:val="00A861FA"/>
    <w:rsid w:val="00A9096E"/>
    <w:rsid w:val="00A9623E"/>
    <w:rsid w:val="00A97E19"/>
    <w:rsid w:val="00AA014B"/>
    <w:rsid w:val="00AA19DD"/>
    <w:rsid w:val="00AA1AC4"/>
    <w:rsid w:val="00AA603C"/>
    <w:rsid w:val="00AA71B1"/>
    <w:rsid w:val="00AB1062"/>
    <w:rsid w:val="00AC0BDB"/>
    <w:rsid w:val="00AC423B"/>
    <w:rsid w:val="00AC5369"/>
    <w:rsid w:val="00AC5CF3"/>
    <w:rsid w:val="00AC5F8A"/>
    <w:rsid w:val="00AC6E25"/>
    <w:rsid w:val="00AC7CF7"/>
    <w:rsid w:val="00AD1898"/>
    <w:rsid w:val="00AD3280"/>
    <w:rsid w:val="00AD742F"/>
    <w:rsid w:val="00AD7F8B"/>
    <w:rsid w:val="00AE28BD"/>
    <w:rsid w:val="00AE2EAD"/>
    <w:rsid w:val="00AF2FC7"/>
    <w:rsid w:val="00AF328A"/>
    <w:rsid w:val="00AF39C3"/>
    <w:rsid w:val="00AF5477"/>
    <w:rsid w:val="00B055E5"/>
    <w:rsid w:val="00B05B1A"/>
    <w:rsid w:val="00B05F43"/>
    <w:rsid w:val="00B11DF6"/>
    <w:rsid w:val="00B12D75"/>
    <w:rsid w:val="00B12D86"/>
    <w:rsid w:val="00B136A1"/>
    <w:rsid w:val="00B13C44"/>
    <w:rsid w:val="00B15FE0"/>
    <w:rsid w:val="00B16081"/>
    <w:rsid w:val="00B16821"/>
    <w:rsid w:val="00B168D8"/>
    <w:rsid w:val="00B16A7A"/>
    <w:rsid w:val="00B22F8D"/>
    <w:rsid w:val="00B236ED"/>
    <w:rsid w:val="00B276EA"/>
    <w:rsid w:val="00B30E9A"/>
    <w:rsid w:val="00B30F95"/>
    <w:rsid w:val="00B33A83"/>
    <w:rsid w:val="00B354B4"/>
    <w:rsid w:val="00B35A9E"/>
    <w:rsid w:val="00B3646F"/>
    <w:rsid w:val="00B370F5"/>
    <w:rsid w:val="00B37D35"/>
    <w:rsid w:val="00B40875"/>
    <w:rsid w:val="00B41139"/>
    <w:rsid w:val="00B419AF"/>
    <w:rsid w:val="00B44389"/>
    <w:rsid w:val="00B463E2"/>
    <w:rsid w:val="00B47D77"/>
    <w:rsid w:val="00B5244F"/>
    <w:rsid w:val="00B52A7C"/>
    <w:rsid w:val="00B52D32"/>
    <w:rsid w:val="00B541CC"/>
    <w:rsid w:val="00B6074E"/>
    <w:rsid w:val="00B6486A"/>
    <w:rsid w:val="00B64B0D"/>
    <w:rsid w:val="00B66271"/>
    <w:rsid w:val="00B67AED"/>
    <w:rsid w:val="00B716E9"/>
    <w:rsid w:val="00B730C0"/>
    <w:rsid w:val="00B73136"/>
    <w:rsid w:val="00B74054"/>
    <w:rsid w:val="00B74D97"/>
    <w:rsid w:val="00B75405"/>
    <w:rsid w:val="00B75B9A"/>
    <w:rsid w:val="00B768D2"/>
    <w:rsid w:val="00B77174"/>
    <w:rsid w:val="00B77EE3"/>
    <w:rsid w:val="00B83153"/>
    <w:rsid w:val="00B8517F"/>
    <w:rsid w:val="00B8672A"/>
    <w:rsid w:val="00B91BB9"/>
    <w:rsid w:val="00B94A0B"/>
    <w:rsid w:val="00BA4A44"/>
    <w:rsid w:val="00BA6762"/>
    <w:rsid w:val="00BB0175"/>
    <w:rsid w:val="00BB1339"/>
    <w:rsid w:val="00BB2210"/>
    <w:rsid w:val="00BB3825"/>
    <w:rsid w:val="00BB3CFF"/>
    <w:rsid w:val="00BC025B"/>
    <w:rsid w:val="00BC17A1"/>
    <w:rsid w:val="00BC35CF"/>
    <w:rsid w:val="00BC4816"/>
    <w:rsid w:val="00BC5AEF"/>
    <w:rsid w:val="00BC6E82"/>
    <w:rsid w:val="00BC7762"/>
    <w:rsid w:val="00BC77E7"/>
    <w:rsid w:val="00BD1780"/>
    <w:rsid w:val="00BD2DD8"/>
    <w:rsid w:val="00BD4C32"/>
    <w:rsid w:val="00BD654E"/>
    <w:rsid w:val="00BD7D57"/>
    <w:rsid w:val="00BE37E1"/>
    <w:rsid w:val="00BE463A"/>
    <w:rsid w:val="00BE5F2F"/>
    <w:rsid w:val="00BF0FA3"/>
    <w:rsid w:val="00BF1322"/>
    <w:rsid w:val="00BF1884"/>
    <w:rsid w:val="00BF2466"/>
    <w:rsid w:val="00BF2AFC"/>
    <w:rsid w:val="00BF2E83"/>
    <w:rsid w:val="00BF50EA"/>
    <w:rsid w:val="00BF6C2A"/>
    <w:rsid w:val="00BF7BC5"/>
    <w:rsid w:val="00C01465"/>
    <w:rsid w:val="00C01824"/>
    <w:rsid w:val="00C024D2"/>
    <w:rsid w:val="00C06DFF"/>
    <w:rsid w:val="00C11FFC"/>
    <w:rsid w:val="00C12287"/>
    <w:rsid w:val="00C123F5"/>
    <w:rsid w:val="00C12CBE"/>
    <w:rsid w:val="00C12CC3"/>
    <w:rsid w:val="00C15644"/>
    <w:rsid w:val="00C164E7"/>
    <w:rsid w:val="00C169F1"/>
    <w:rsid w:val="00C22741"/>
    <w:rsid w:val="00C25D94"/>
    <w:rsid w:val="00C27921"/>
    <w:rsid w:val="00C27FC6"/>
    <w:rsid w:val="00C3280F"/>
    <w:rsid w:val="00C33C59"/>
    <w:rsid w:val="00C402AA"/>
    <w:rsid w:val="00C4249B"/>
    <w:rsid w:val="00C426DE"/>
    <w:rsid w:val="00C42E30"/>
    <w:rsid w:val="00C42EF2"/>
    <w:rsid w:val="00C45CF4"/>
    <w:rsid w:val="00C50413"/>
    <w:rsid w:val="00C53542"/>
    <w:rsid w:val="00C54132"/>
    <w:rsid w:val="00C550BA"/>
    <w:rsid w:val="00C627B9"/>
    <w:rsid w:val="00C64DB9"/>
    <w:rsid w:val="00C6533B"/>
    <w:rsid w:val="00C662E3"/>
    <w:rsid w:val="00C6760D"/>
    <w:rsid w:val="00C701CB"/>
    <w:rsid w:val="00C72521"/>
    <w:rsid w:val="00C739AB"/>
    <w:rsid w:val="00C739C7"/>
    <w:rsid w:val="00C73C41"/>
    <w:rsid w:val="00C745B2"/>
    <w:rsid w:val="00C747A7"/>
    <w:rsid w:val="00C747DF"/>
    <w:rsid w:val="00C74ADB"/>
    <w:rsid w:val="00C75A6E"/>
    <w:rsid w:val="00C76A25"/>
    <w:rsid w:val="00C80A1E"/>
    <w:rsid w:val="00C80E95"/>
    <w:rsid w:val="00C815A1"/>
    <w:rsid w:val="00C8187A"/>
    <w:rsid w:val="00C82C09"/>
    <w:rsid w:val="00C87B6D"/>
    <w:rsid w:val="00C91709"/>
    <w:rsid w:val="00C94DFD"/>
    <w:rsid w:val="00C94F11"/>
    <w:rsid w:val="00CA0544"/>
    <w:rsid w:val="00CA198F"/>
    <w:rsid w:val="00CA21B0"/>
    <w:rsid w:val="00CA3FD5"/>
    <w:rsid w:val="00CA3FFB"/>
    <w:rsid w:val="00CA51C1"/>
    <w:rsid w:val="00CA5CA8"/>
    <w:rsid w:val="00CA5F87"/>
    <w:rsid w:val="00CA618C"/>
    <w:rsid w:val="00CB330F"/>
    <w:rsid w:val="00CB476A"/>
    <w:rsid w:val="00CB5838"/>
    <w:rsid w:val="00CB69BA"/>
    <w:rsid w:val="00CC3324"/>
    <w:rsid w:val="00CC34AB"/>
    <w:rsid w:val="00CC35F7"/>
    <w:rsid w:val="00CC3B1B"/>
    <w:rsid w:val="00CC5DD5"/>
    <w:rsid w:val="00CC6EFF"/>
    <w:rsid w:val="00CD0377"/>
    <w:rsid w:val="00CD17A8"/>
    <w:rsid w:val="00CD3368"/>
    <w:rsid w:val="00CD3859"/>
    <w:rsid w:val="00CD3C36"/>
    <w:rsid w:val="00CD3F74"/>
    <w:rsid w:val="00CD6DD2"/>
    <w:rsid w:val="00CD6E8D"/>
    <w:rsid w:val="00CD78DD"/>
    <w:rsid w:val="00CD7BBC"/>
    <w:rsid w:val="00CE0198"/>
    <w:rsid w:val="00CE163A"/>
    <w:rsid w:val="00CE19C2"/>
    <w:rsid w:val="00CE352A"/>
    <w:rsid w:val="00CE5EE5"/>
    <w:rsid w:val="00CE5F37"/>
    <w:rsid w:val="00CF03D1"/>
    <w:rsid w:val="00CF08B5"/>
    <w:rsid w:val="00CF1202"/>
    <w:rsid w:val="00CF2C52"/>
    <w:rsid w:val="00CF4226"/>
    <w:rsid w:val="00CF447A"/>
    <w:rsid w:val="00CF4A64"/>
    <w:rsid w:val="00CF67D7"/>
    <w:rsid w:val="00CF7060"/>
    <w:rsid w:val="00CF7616"/>
    <w:rsid w:val="00D00664"/>
    <w:rsid w:val="00D0175E"/>
    <w:rsid w:val="00D02272"/>
    <w:rsid w:val="00D03F4A"/>
    <w:rsid w:val="00D044E5"/>
    <w:rsid w:val="00D05E35"/>
    <w:rsid w:val="00D102DD"/>
    <w:rsid w:val="00D10AEC"/>
    <w:rsid w:val="00D14EDB"/>
    <w:rsid w:val="00D2052D"/>
    <w:rsid w:val="00D23E8B"/>
    <w:rsid w:val="00D24504"/>
    <w:rsid w:val="00D24727"/>
    <w:rsid w:val="00D24A1E"/>
    <w:rsid w:val="00D258CE"/>
    <w:rsid w:val="00D26E2D"/>
    <w:rsid w:val="00D316C8"/>
    <w:rsid w:val="00D32ED8"/>
    <w:rsid w:val="00D341AC"/>
    <w:rsid w:val="00D35E70"/>
    <w:rsid w:val="00D36AF7"/>
    <w:rsid w:val="00D37BD3"/>
    <w:rsid w:val="00D42178"/>
    <w:rsid w:val="00D44373"/>
    <w:rsid w:val="00D44A01"/>
    <w:rsid w:val="00D47089"/>
    <w:rsid w:val="00D474F6"/>
    <w:rsid w:val="00D525D3"/>
    <w:rsid w:val="00D52ACC"/>
    <w:rsid w:val="00D540BF"/>
    <w:rsid w:val="00D54FE8"/>
    <w:rsid w:val="00D55ED8"/>
    <w:rsid w:val="00D56941"/>
    <w:rsid w:val="00D57977"/>
    <w:rsid w:val="00D57D6F"/>
    <w:rsid w:val="00D605B6"/>
    <w:rsid w:val="00D61150"/>
    <w:rsid w:val="00D61C91"/>
    <w:rsid w:val="00D621C2"/>
    <w:rsid w:val="00D62505"/>
    <w:rsid w:val="00D6251C"/>
    <w:rsid w:val="00D631F6"/>
    <w:rsid w:val="00D64004"/>
    <w:rsid w:val="00D652AB"/>
    <w:rsid w:val="00D655CC"/>
    <w:rsid w:val="00D70093"/>
    <w:rsid w:val="00D72999"/>
    <w:rsid w:val="00D74040"/>
    <w:rsid w:val="00D7670F"/>
    <w:rsid w:val="00D76FB7"/>
    <w:rsid w:val="00D76FCB"/>
    <w:rsid w:val="00D81507"/>
    <w:rsid w:val="00D824FF"/>
    <w:rsid w:val="00D82923"/>
    <w:rsid w:val="00D83319"/>
    <w:rsid w:val="00D84643"/>
    <w:rsid w:val="00D85D0C"/>
    <w:rsid w:val="00D86291"/>
    <w:rsid w:val="00D90110"/>
    <w:rsid w:val="00D9039C"/>
    <w:rsid w:val="00D94119"/>
    <w:rsid w:val="00D96E39"/>
    <w:rsid w:val="00DA0770"/>
    <w:rsid w:val="00DA0835"/>
    <w:rsid w:val="00DA162A"/>
    <w:rsid w:val="00DA2031"/>
    <w:rsid w:val="00DA214F"/>
    <w:rsid w:val="00DA22B6"/>
    <w:rsid w:val="00DA3C66"/>
    <w:rsid w:val="00DA4A34"/>
    <w:rsid w:val="00DA4CE9"/>
    <w:rsid w:val="00DB090D"/>
    <w:rsid w:val="00DB15D7"/>
    <w:rsid w:val="00DB1E81"/>
    <w:rsid w:val="00DB2B30"/>
    <w:rsid w:val="00DB3E01"/>
    <w:rsid w:val="00DC08AE"/>
    <w:rsid w:val="00DC3540"/>
    <w:rsid w:val="00DC3564"/>
    <w:rsid w:val="00DC3C7C"/>
    <w:rsid w:val="00DC4FE0"/>
    <w:rsid w:val="00DC6D23"/>
    <w:rsid w:val="00DC73ED"/>
    <w:rsid w:val="00DC7CFC"/>
    <w:rsid w:val="00DD04B8"/>
    <w:rsid w:val="00DD152A"/>
    <w:rsid w:val="00DD36A5"/>
    <w:rsid w:val="00DD68B4"/>
    <w:rsid w:val="00DD7181"/>
    <w:rsid w:val="00DE1681"/>
    <w:rsid w:val="00DE34D6"/>
    <w:rsid w:val="00DE3FAF"/>
    <w:rsid w:val="00DE583D"/>
    <w:rsid w:val="00DE5DE6"/>
    <w:rsid w:val="00DE69A4"/>
    <w:rsid w:val="00DE77EB"/>
    <w:rsid w:val="00DE791C"/>
    <w:rsid w:val="00DE7AAE"/>
    <w:rsid w:val="00DF60F0"/>
    <w:rsid w:val="00E02106"/>
    <w:rsid w:val="00E033CA"/>
    <w:rsid w:val="00E05540"/>
    <w:rsid w:val="00E06A90"/>
    <w:rsid w:val="00E11E0B"/>
    <w:rsid w:val="00E13067"/>
    <w:rsid w:val="00E138E5"/>
    <w:rsid w:val="00E14002"/>
    <w:rsid w:val="00E14435"/>
    <w:rsid w:val="00E14B05"/>
    <w:rsid w:val="00E15086"/>
    <w:rsid w:val="00E15140"/>
    <w:rsid w:val="00E16E1D"/>
    <w:rsid w:val="00E225CA"/>
    <w:rsid w:val="00E24B44"/>
    <w:rsid w:val="00E25167"/>
    <w:rsid w:val="00E25893"/>
    <w:rsid w:val="00E25B55"/>
    <w:rsid w:val="00E273B7"/>
    <w:rsid w:val="00E32DE7"/>
    <w:rsid w:val="00E35AC7"/>
    <w:rsid w:val="00E36430"/>
    <w:rsid w:val="00E40A93"/>
    <w:rsid w:val="00E466E8"/>
    <w:rsid w:val="00E46CF6"/>
    <w:rsid w:val="00E477E2"/>
    <w:rsid w:val="00E5003F"/>
    <w:rsid w:val="00E50F9A"/>
    <w:rsid w:val="00E51412"/>
    <w:rsid w:val="00E518F3"/>
    <w:rsid w:val="00E526DE"/>
    <w:rsid w:val="00E54160"/>
    <w:rsid w:val="00E54A32"/>
    <w:rsid w:val="00E551DD"/>
    <w:rsid w:val="00E575FB"/>
    <w:rsid w:val="00E6041D"/>
    <w:rsid w:val="00E62F04"/>
    <w:rsid w:val="00E63910"/>
    <w:rsid w:val="00E647E8"/>
    <w:rsid w:val="00E65F4E"/>
    <w:rsid w:val="00E662F1"/>
    <w:rsid w:val="00E66338"/>
    <w:rsid w:val="00E71508"/>
    <w:rsid w:val="00E71545"/>
    <w:rsid w:val="00E74880"/>
    <w:rsid w:val="00E77A38"/>
    <w:rsid w:val="00E8194A"/>
    <w:rsid w:val="00E820AA"/>
    <w:rsid w:val="00E8290C"/>
    <w:rsid w:val="00E830A5"/>
    <w:rsid w:val="00E84688"/>
    <w:rsid w:val="00E8475B"/>
    <w:rsid w:val="00E86B99"/>
    <w:rsid w:val="00E87AD8"/>
    <w:rsid w:val="00E87BCF"/>
    <w:rsid w:val="00E90149"/>
    <w:rsid w:val="00E9359E"/>
    <w:rsid w:val="00E93E81"/>
    <w:rsid w:val="00E94EA2"/>
    <w:rsid w:val="00EA5382"/>
    <w:rsid w:val="00EA657D"/>
    <w:rsid w:val="00EA68C8"/>
    <w:rsid w:val="00EA78B2"/>
    <w:rsid w:val="00EB0111"/>
    <w:rsid w:val="00EB3049"/>
    <w:rsid w:val="00EB4453"/>
    <w:rsid w:val="00EB44C3"/>
    <w:rsid w:val="00EB4561"/>
    <w:rsid w:val="00EB4819"/>
    <w:rsid w:val="00EB57C3"/>
    <w:rsid w:val="00EB694B"/>
    <w:rsid w:val="00EB7C67"/>
    <w:rsid w:val="00EC14D9"/>
    <w:rsid w:val="00EC1A3F"/>
    <w:rsid w:val="00EC48E2"/>
    <w:rsid w:val="00EC5390"/>
    <w:rsid w:val="00EC549E"/>
    <w:rsid w:val="00EC736D"/>
    <w:rsid w:val="00EC78BB"/>
    <w:rsid w:val="00EC7C1B"/>
    <w:rsid w:val="00ED0B9A"/>
    <w:rsid w:val="00ED1654"/>
    <w:rsid w:val="00ED17A5"/>
    <w:rsid w:val="00ED19D2"/>
    <w:rsid w:val="00ED1C67"/>
    <w:rsid w:val="00ED2B4D"/>
    <w:rsid w:val="00ED2D2A"/>
    <w:rsid w:val="00ED2F1C"/>
    <w:rsid w:val="00ED409D"/>
    <w:rsid w:val="00ED4411"/>
    <w:rsid w:val="00ED45C5"/>
    <w:rsid w:val="00ED557E"/>
    <w:rsid w:val="00ED6F38"/>
    <w:rsid w:val="00EE083F"/>
    <w:rsid w:val="00EE11F2"/>
    <w:rsid w:val="00EE36E5"/>
    <w:rsid w:val="00EE38DC"/>
    <w:rsid w:val="00EE3E6D"/>
    <w:rsid w:val="00EE4178"/>
    <w:rsid w:val="00EE62B1"/>
    <w:rsid w:val="00EF153C"/>
    <w:rsid w:val="00EF357F"/>
    <w:rsid w:val="00EF378F"/>
    <w:rsid w:val="00EF3A8A"/>
    <w:rsid w:val="00EF51BE"/>
    <w:rsid w:val="00EF6FA3"/>
    <w:rsid w:val="00EF71F1"/>
    <w:rsid w:val="00F00B2A"/>
    <w:rsid w:val="00F035C1"/>
    <w:rsid w:val="00F101F7"/>
    <w:rsid w:val="00F11A0C"/>
    <w:rsid w:val="00F1376C"/>
    <w:rsid w:val="00F20331"/>
    <w:rsid w:val="00F21F10"/>
    <w:rsid w:val="00F224AF"/>
    <w:rsid w:val="00F24704"/>
    <w:rsid w:val="00F25F21"/>
    <w:rsid w:val="00F2668E"/>
    <w:rsid w:val="00F2736A"/>
    <w:rsid w:val="00F30182"/>
    <w:rsid w:val="00F30C91"/>
    <w:rsid w:val="00F31078"/>
    <w:rsid w:val="00F33A00"/>
    <w:rsid w:val="00F36065"/>
    <w:rsid w:val="00F465D1"/>
    <w:rsid w:val="00F4703D"/>
    <w:rsid w:val="00F47494"/>
    <w:rsid w:val="00F502C8"/>
    <w:rsid w:val="00F51676"/>
    <w:rsid w:val="00F545AC"/>
    <w:rsid w:val="00F54921"/>
    <w:rsid w:val="00F55083"/>
    <w:rsid w:val="00F566E5"/>
    <w:rsid w:val="00F56996"/>
    <w:rsid w:val="00F5759F"/>
    <w:rsid w:val="00F57675"/>
    <w:rsid w:val="00F60821"/>
    <w:rsid w:val="00F61943"/>
    <w:rsid w:val="00F61A5E"/>
    <w:rsid w:val="00F62F8E"/>
    <w:rsid w:val="00F64FB4"/>
    <w:rsid w:val="00F66700"/>
    <w:rsid w:val="00F66B84"/>
    <w:rsid w:val="00F673F5"/>
    <w:rsid w:val="00F7053B"/>
    <w:rsid w:val="00F70A91"/>
    <w:rsid w:val="00F71CB9"/>
    <w:rsid w:val="00F73C20"/>
    <w:rsid w:val="00F81513"/>
    <w:rsid w:val="00F817CB"/>
    <w:rsid w:val="00F81F40"/>
    <w:rsid w:val="00F82276"/>
    <w:rsid w:val="00F82F64"/>
    <w:rsid w:val="00F8449A"/>
    <w:rsid w:val="00F86157"/>
    <w:rsid w:val="00F863CB"/>
    <w:rsid w:val="00F87B51"/>
    <w:rsid w:val="00F90E69"/>
    <w:rsid w:val="00F9144B"/>
    <w:rsid w:val="00F91ADE"/>
    <w:rsid w:val="00F91E51"/>
    <w:rsid w:val="00F92464"/>
    <w:rsid w:val="00F9387D"/>
    <w:rsid w:val="00F9417D"/>
    <w:rsid w:val="00F94390"/>
    <w:rsid w:val="00F94A08"/>
    <w:rsid w:val="00F94B01"/>
    <w:rsid w:val="00F9500F"/>
    <w:rsid w:val="00FA2780"/>
    <w:rsid w:val="00FA3C9B"/>
    <w:rsid w:val="00FA597C"/>
    <w:rsid w:val="00FA5B59"/>
    <w:rsid w:val="00FA7A4C"/>
    <w:rsid w:val="00FB05AA"/>
    <w:rsid w:val="00FB2329"/>
    <w:rsid w:val="00FB2B55"/>
    <w:rsid w:val="00FB4FAC"/>
    <w:rsid w:val="00FB6662"/>
    <w:rsid w:val="00FB6D3F"/>
    <w:rsid w:val="00FC12A8"/>
    <w:rsid w:val="00FC160F"/>
    <w:rsid w:val="00FC17E5"/>
    <w:rsid w:val="00FC344F"/>
    <w:rsid w:val="00FC347E"/>
    <w:rsid w:val="00FC5348"/>
    <w:rsid w:val="00FC6848"/>
    <w:rsid w:val="00FD26BE"/>
    <w:rsid w:val="00FD3539"/>
    <w:rsid w:val="00FD3C71"/>
    <w:rsid w:val="00FD5DAC"/>
    <w:rsid w:val="00FD61AE"/>
    <w:rsid w:val="00FD7FC8"/>
    <w:rsid w:val="00FE0D7E"/>
    <w:rsid w:val="00FE170A"/>
    <w:rsid w:val="00FE1C79"/>
    <w:rsid w:val="00FE2BB2"/>
    <w:rsid w:val="00FE4AFF"/>
    <w:rsid w:val="00FF1724"/>
    <w:rsid w:val="00FF38E0"/>
    <w:rsid w:val="00FF509B"/>
    <w:rsid w:val="00FF5F1B"/>
    <w:rsid w:val="00FF7C20"/>
    <w:rsid w:val="00FF7D51"/>
    <w:rsid w:val="021D6607"/>
    <w:rsid w:val="05B97F7C"/>
    <w:rsid w:val="10027B23"/>
    <w:rsid w:val="136F41B7"/>
    <w:rsid w:val="16A04098"/>
    <w:rsid w:val="1FF6743F"/>
    <w:rsid w:val="494C3BC8"/>
    <w:rsid w:val="5F763395"/>
    <w:rsid w:val="7D642F6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iPriority="5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ru-RU" w:eastAsia="ru-RU" w:bidi="ar-SA"/>
    </w:rPr>
  </w:style>
  <w:style w:type="paragraph" w:styleId="2">
    <w:name w:val="heading 3"/>
    <w:basedOn w:val="1"/>
    <w:next w:val="1"/>
    <w:link w:val="28"/>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3">
    <w:name w:val="heading 6"/>
    <w:basedOn w:val="1"/>
    <w:next w:val="1"/>
    <w:link w:val="15"/>
    <w:qFormat/>
    <w:uiPriority w:val="0"/>
    <w:pPr>
      <w:keepNext/>
      <w:spacing w:before="60" w:after="0" w:line="240" w:lineRule="auto"/>
      <w:jc w:val="center"/>
      <w:outlineLvl w:val="5"/>
    </w:pPr>
    <w:rPr>
      <w:rFonts w:ascii="Times New Roman" w:hAnsi="Times New Roman" w:eastAsia="Times New Roman" w:cs="Times New Roman"/>
      <w:b/>
      <w:sz w:val="32"/>
      <w:szCs w:val="20"/>
      <w:lang w:val="uk-U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34"/>
    <w:unhideWhenUsed/>
    <w:qFormat/>
    <w:uiPriority w:val="99"/>
    <w:pPr>
      <w:spacing w:after="0" w:line="240" w:lineRule="auto"/>
    </w:pPr>
    <w:rPr>
      <w:rFonts w:ascii="Segoe UI" w:hAnsi="Segoe UI" w:cs="Segoe UI"/>
      <w:sz w:val="18"/>
      <w:szCs w:val="18"/>
    </w:rPr>
  </w:style>
  <w:style w:type="paragraph" w:styleId="7">
    <w:name w:val="Body Text 2"/>
    <w:basedOn w:val="1"/>
    <w:link w:val="17"/>
    <w:qFormat/>
    <w:uiPriority w:val="0"/>
    <w:pPr>
      <w:spacing w:after="0" w:line="240" w:lineRule="auto"/>
      <w:jc w:val="center"/>
    </w:pPr>
    <w:rPr>
      <w:rFonts w:ascii="Times New Roman" w:hAnsi="Times New Roman" w:eastAsia="Times New Roman" w:cs="Times New Roman"/>
      <w:b/>
      <w:sz w:val="24"/>
      <w:szCs w:val="20"/>
      <w:lang w:val="uk-UA"/>
    </w:rPr>
  </w:style>
  <w:style w:type="character" w:styleId="8">
    <w:name w:val="footnote reference"/>
    <w:semiHidden/>
    <w:unhideWhenUsed/>
    <w:qFormat/>
    <w:uiPriority w:val="99"/>
    <w:rPr>
      <w:vertAlign w:val="superscript"/>
    </w:rPr>
  </w:style>
  <w:style w:type="paragraph" w:styleId="9">
    <w:name w:val="footnote text"/>
    <w:basedOn w:val="1"/>
    <w:link w:val="33"/>
    <w:semiHidden/>
    <w:unhideWhenUsed/>
    <w:qFormat/>
    <w:uiPriority w:val="99"/>
    <w:rPr>
      <w:rFonts w:ascii="Calibri" w:hAnsi="Calibri" w:eastAsia="Calibri" w:cs="Times New Roman"/>
      <w:sz w:val="20"/>
      <w:szCs w:val="20"/>
      <w:lang w:eastAsia="en-US"/>
    </w:rPr>
  </w:style>
  <w:style w:type="character" w:styleId="10">
    <w:name w:val="Hyperlink"/>
    <w:basedOn w:val="4"/>
    <w:unhideWhenUsed/>
    <w:qFormat/>
    <w:uiPriority w:val="99"/>
    <w:rPr>
      <w:color w:val="0000FF"/>
      <w:u w:val="single"/>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2">
    <w:name w:val="Subtitle"/>
    <w:basedOn w:val="1"/>
    <w:link w:val="18"/>
    <w:qFormat/>
    <w:uiPriority w:val="0"/>
    <w:pPr>
      <w:spacing w:after="0" w:line="360" w:lineRule="auto"/>
      <w:jc w:val="center"/>
    </w:pPr>
    <w:rPr>
      <w:rFonts w:ascii="Times New Roman" w:hAnsi="Times New Roman" w:eastAsia="Times New Roman" w:cs="Times New Roman"/>
      <w:b/>
      <w:sz w:val="24"/>
      <w:szCs w:val="24"/>
      <w:lang w:val="en-GB"/>
    </w:rPr>
  </w:style>
  <w:style w:type="paragraph" w:styleId="13">
    <w:name w:val="Title"/>
    <w:basedOn w:val="1"/>
    <w:next w:val="1"/>
    <w:link w:val="21"/>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14">
    <w:name w:val="apple-tab-span"/>
    <w:basedOn w:val="4"/>
    <w:qFormat/>
    <w:uiPriority w:val="0"/>
  </w:style>
  <w:style w:type="character" w:customStyle="1" w:styleId="15">
    <w:name w:val="Заголовок 6 Знак"/>
    <w:basedOn w:val="4"/>
    <w:link w:val="3"/>
    <w:qFormat/>
    <w:uiPriority w:val="0"/>
    <w:rPr>
      <w:rFonts w:ascii="Times New Roman" w:hAnsi="Times New Roman" w:eastAsia="Times New Roman" w:cs="Times New Roman"/>
      <w:b/>
      <w:sz w:val="32"/>
      <w:szCs w:val="20"/>
      <w:lang w:val="uk-UA" w:eastAsia="ru-RU"/>
    </w:rPr>
  </w:style>
  <w:style w:type="paragraph" w:customStyle="1" w:styleId="16">
    <w:name w:val="_Style 9"/>
    <w:basedOn w:val="1"/>
    <w:next w:val="13"/>
    <w:link w:val="20"/>
    <w:qFormat/>
    <w:uiPriority w:val="0"/>
    <w:pPr>
      <w:widowControl w:val="0"/>
      <w:spacing w:after="0" w:line="240" w:lineRule="auto"/>
      <w:ind w:left="320"/>
      <w:jc w:val="center"/>
    </w:pPr>
    <w:rPr>
      <w:rFonts w:ascii="Arial" w:hAnsi="Arial"/>
      <w:b/>
      <w:snapToGrid w:val="0"/>
      <w:sz w:val="18"/>
      <w:lang w:val="uk-UA"/>
    </w:rPr>
  </w:style>
  <w:style w:type="character" w:customStyle="1" w:styleId="17">
    <w:name w:val="Основной текст 2 Знак"/>
    <w:basedOn w:val="4"/>
    <w:link w:val="7"/>
    <w:qFormat/>
    <w:uiPriority w:val="0"/>
    <w:rPr>
      <w:rFonts w:ascii="Times New Roman" w:hAnsi="Times New Roman" w:eastAsia="Times New Roman" w:cs="Times New Roman"/>
      <w:b/>
      <w:sz w:val="24"/>
      <w:szCs w:val="20"/>
      <w:lang w:val="uk-UA" w:eastAsia="ru-RU"/>
    </w:rPr>
  </w:style>
  <w:style w:type="character" w:customStyle="1" w:styleId="18">
    <w:name w:val="Подзаголовок Знак"/>
    <w:basedOn w:val="4"/>
    <w:link w:val="12"/>
    <w:qFormat/>
    <w:uiPriority w:val="0"/>
    <w:rPr>
      <w:rFonts w:ascii="Times New Roman" w:hAnsi="Times New Roman" w:eastAsia="Times New Roman" w:cs="Times New Roman"/>
      <w:b/>
      <w:sz w:val="24"/>
      <w:szCs w:val="24"/>
      <w:lang w:val="en-GB"/>
    </w:rPr>
  </w:style>
  <w:style w:type="paragraph" w:styleId="19">
    <w:name w:val="No Spacing"/>
    <w:qFormat/>
    <w:uiPriority w:val="1"/>
    <w:pPr>
      <w:spacing w:after="0" w:line="240" w:lineRule="auto"/>
    </w:pPr>
    <w:rPr>
      <w:rFonts w:ascii="Calibri" w:hAnsi="Calibri" w:eastAsia="Calibri" w:cs="Times New Roman"/>
      <w:sz w:val="22"/>
      <w:szCs w:val="22"/>
      <w:lang w:val="uk-UA" w:eastAsia="ru-RU" w:bidi="ar-SA"/>
    </w:rPr>
  </w:style>
  <w:style w:type="character" w:customStyle="1" w:styleId="20">
    <w:name w:val="Название Знак"/>
    <w:link w:val="16"/>
    <w:qFormat/>
    <w:uiPriority w:val="0"/>
    <w:rPr>
      <w:rFonts w:ascii="Arial" w:hAnsi="Arial"/>
      <w:b/>
      <w:snapToGrid w:val="0"/>
      <w:sz w:val="18"/>
      <w:lang w:val="uk-UA"/>
    </w:rPr>
  </w:style>
  <w:style w:type="character" w:customStyle="1" w:styleId="21">
    <w:name w:val="Заголовок Знак"/>
    <w:basedOn w:val="4"/>
    <w:link w:val="13"/>
    <w:qFormat/>
    <w:uiPriority w:val="10"/>
    <w:rPr>
      <w:rFonts w:asciiTheme="majorHAnsi" w:hAnsiTheme="majorHAnsi" w:eastAsiaTheme="majorEastAsia" w:cstheme="majorBidi"/>
      <w:spacing w:val="-10"/>
      <w:kern w:val="28"/>
      <w:sz w:val="56"/>
      <w:szCs w:val="56"/>
    </w:rPr>
  </w:style>
  <w:style w:type="paragraph" w:customStyle="1" w:styleId="22">
    <w:name w:val="Обычный1"/>
    <w:qFormat/>
    <w:uiPriority w:val="0"/>
    <w:pPr>
      <w:spacing w:after="0" w:line="276" w:lineRule="auto"/>
    </w:pPr>
    <w:rPr>
      <w:rFonts w:ascii="Arial" w:hAnsi="Arial" w:eastAsia="Arial" w:cs="Arial"/>
      <w:color w:val="000000"/>
      <w:sz w:val="22"/>
      <w:szCs w:val="22"/>
      <w:lang w:val="ru-RU" w:eastAsia="ru-RU" w:bidi="ar-SA"/>
    </w:rPr>
  </w:style>
  <w:style w:type="paragraph" w:customStyle="1" w:styleId="23">
    <w:name w:val="LO-normal"/>
    <w:qFormat/>
    <w:uiPriority w:val="0"/>
    <w:pPr>
      <w:spacing w:after="0" w:line="276" w:lineRule="auto"/>
    </w:pPr>
    <w:rPr>
      <w:rFonts w:ascii="Arial" w:hAnsi="Arial" w:eastAsia="Arial" w:cs="Arial"/>
      <w:color w:val="000000"/>
      <w:sz w:val="22"/>
      <w:szCs w:val="22"/>
      <w:lang w:val="ru-RU" w:eastAsia="zh-CN" w:bidi="ar-SA"/>
    </w:rPr>
  </w:style>
  <w:style w:type="paragraph" w:customStyle="1" w:styleId="24">
    <w:name w:val="Абзац списка1"/>
    <w:basedOn w:val="1"/>
    <w:qFormat/>
    <w:uiPriority w:val="0"/>
    <w:pPr>
      <w:ind w:left="720"/>
    </w:pPr>
    <w:rPr>
      <w:rFonts w:ascii="Calibri" w:hAnsi="Calibri" w:eastAsia="Times New Roman" w:cs="Calibri"/>
    </w:rPr>
  </w:style>
  <w:style w:type="paragraph" w:customStyle="1" w:styleId="25">
    <w:name w:val="rvps2"/>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uk-UA" w:eastAsia="uk-UA"/>
    </w:rPr>
  </w:style>
  <w:style w:type="character" w:customStyle="1" w:styleId="26">
    <w:name w:val="apple-converted-space"/>
    <w:qFormat/>
    <w:uiPriority w:val="99"/>
    <w:rPr>
      <w:rFonts w:hint="default" w:ascii="Times New Roman" w:hAnsi="Times New Roman" w:cs="Times New Roman"/>
    </w:rPr>
  </w:style>
  <w:style w:type="character" w:customStyle="1" w:styleId="27">
    <w:name w:val="rvts0"/>
    <w:qFormat/>
    <w:uiPriority w:val="99"/>
    <w:rPr>
      <w:rFonts w:cs="Times New Roman"/>
    </w:rPr>
  </w:style>
  <w:style w:type="character" w:customStyle="1" w:styleId="28">
    <w:name w:val="Заголовок 3 Знак"/>
    <w:basedOn w:val="4"/>
    <w:link w:val="2"/>
    <w:semiHidden/>
    <w:qFormat/>
    <w:uiPriority w:val="9"/>
    <w:rPr>
      <w:rFonts w:asciiTheme="majorHAnsi" w:hAnsiTheme="majorHAnsi" w:eastAsiaTheme="majorEastAsia" w:cstheme="majorBidi"/>
      <w:color w:val="254061" w:themeColor="accent1" w:themeShade="80"/>
      <w:sz w:val="24"/>
      <w:szCs w:val="24"/>
    </w:rPr>
  </w:style>
  <w:style w:type="paragraph" w:customStyle="1" w:styleId="29">
    <w:name w:val="Table Paragraph"/>
    <w:basedOn w:val="1"/>
    <w:qFormat/>
    <w:uiPriority w:val="1"/>
    <w:pPr>
      <w:widowControl w:val="0"/>
      <w:autoSpaceDE w:val="0"/>
      <w:autoSpaceDN w:val="0"/>
      <w:spacing w:after="0" w:line="240" w:lineRule="auto"/>
    </w:pPr>
    <w:rPr>
      <w:rFonts w:ascii="Times New Roman" w:hAnsi="Times New Roman" w:eastAsia="Times New Roman" w:cs="Times New Roman"/>
      <w:lang w:val="uk-UA" w:eastAsia="en-US"/>
    </w:rPr>
  </w:style>
  <w:style w:type="paragraph" w:customStyle="1" w:styleId="30">
    <w:name w:val="Шапка документу"/>
    <w:basedOn w:val="1"/>
    <w:qFormat/>
    <w:uiPriority w:val="0"/>
    <w:pPr>
      <w:keepNext/>
      <w:keepLines/>
      <w:spacing w:after="240" w:line="240" w:lineRule="auto"/>
      <w:ind w:left="4536"/>
      <w:jc w:val="center"/>
    </w:pPr>
    <w:rPr>
      <w:rFonts w:ascii="Antiqua" w:hAnsi="Antiqua" w:eastAsia="Times New Roman" w:cs="Times New Roman"/>
      <w:sz w:val="26"/>
      <w:szCs w:val="20"/>
      <w:lang w:val="uk-UA"/>
    </w:rPr>
  </w:style>
  <w:style w:type="paragraph" w:styleId="31">
    <w:name w:val="List Paragraph"/>
    <w:basedOn w:val="1"/>
    <w:qFormat/>
    <w:uiPriority w:val="34"/>
    <w:pPr>
      <w:ind w:left="720"/>
      <w:contextualSpacing/>
    </w:pPr>
  </w:style>
  <w:style w:type="paragraph" w:customStyle="1" w:styleId="32">
    <w:name w:val="Обычный2"/>
    <w:qFormat/>
    <w:uiPriority w:val="0"/>
    <w:pPr>
      <w:spacing w:after="0" w:line="276" w:lineRule="auto"/>
    </w:pPr>
    <w:rPr>
      <w:rFonts w:ascii="Arial" w:hAnsi="Arial" w:eastAsia="Arial" w:cs="Arial"/>
      <w:color w:val="000000"/>
      <w:sz w:val="22"/>
      <w:szCs w:val="22"/>
      <w:lang w:val="ru-RU" w:eastAsia="ru-RU" w:bidi="ar-SA"/>
    </w:rPr>
  </w:style>
  <w:style w:type="character" w:customStyle="1" w:styleId="33">
    <w:name w:val="Текст сноски Знак"/>
    <w:basedOn w:val="4"/>
    <w:link w:val="9"/>
    <w:semiHidden/>
    <w:qFormat/>
    <w:uiPriority w:val="99"/>
    <w:rPr>
      <w:rFonts w:ascii="Calibri" w:hAnsi="Calibri" w:eastAsia="Calibri" w:cs="Times New Roman"/>
      <w:sz w:val="20"/>
      <w:szCs w:val="20"/>
      <w:lang w:eastAsia="en-US"/>
    </w:rPr>
  </w:style>
  <w:style w:type="character" w:customStyle="1" w:styleId="34">
    <w:name w:val="Текст выноски Знак"/>
    <w:basedOn w:val="4"/>
    <w:link w:val="6"/>
    <w:semiHidden/>
    <w:qFormat/>
    <w:uiPriority w:val="99"/>
    <w:rPr>
      <w:rFonts w:ascii="Segoe UI" w:hAnsi="Segoe UI" w:cs="Segoe UI"/>
      <w:sz w:val="18"/>
      <w:szCs w:val="18"/>
    </w:rPr>
  </w:style>
  <w:style w:type="character" w:customStyle="1" w:styleId="35">
    <w:name w:val="Неразрешенное упоминание1"/>
    <w:basedOn w:val="4"/>
    <w:semiHidden/>
    <w:unhideWhenUsed/>
    <w:qFormat/>
    <w:uiPriority w:val="99"/>
    <w:rPr>
      <w:color w:val="605E5C"/>
      <w:shd w:val="clear" w:color="auto" w:fill="E1DFDD"/>
    </w:rPr>
  </w:style>
  <w:style w:type="table" w:customStyle="1" w:styleId="36">
    <w:name w:val="_Style 20"/>
    <w:basedOn w:val="37"/>
    <w:qFormat/>
    <w:uiPriority w:val="0"/>
    <w:tblPr>
      <w:tblCellMar>
        <w:top w:w="0" w:type="dxa"/>
        <w:left w:w="115" w:type="dxa"/>
        <w:bottom w:w="0" w:type="dxa"/>
        <w:right w:w="115" w:type="dxa"/>
      </w:tblCellMar>
    </w:tblPr>
  </w:style>
  <w:style w:type="table" w:customStyle="1" w:styleId="37">
    <w:name w:val="TableNormal"/>
    <w:qFormat/>
    <w:uiPriority w:val="0"/>
    <w:tblPr>
      <w:tblCellMar>
        <w:top w:w="100" w:type="dxa"/>
        <w:left w:w="100" w:type="dxa"/>
        <w:bottom w:w="100" w:type="dxa"/>
        <w:right w:w="100" w:type="dxa"/>
      </w:tblCellMar>
    </w:tblPr>
  </w:style>
  <w:style w:type="table" w:customStyle="1" w:styleId="38">
    <w:name w:val="_Style 36"/>
    <w:basedOn w:val="39"/>
    <w:qFormat/>
    <w:uiPriority w:val="0"/>
    <w:pPr>
      <w:spacing w:after="0" w:line="240" w:lineRule="auto"/>
    </w:pPr>
    <w:tblPr>
      <w:tblCellMar>
        <w:left w:w="108" w:type="dxa"/>
        <w:right w:w="108" w:type="dxa"/>
      </w:tblCellMar>
    </w:tblPr>
  </w:style>
  <w:style w:type="table" w:customStyle="1" w:styleId="39">
    <w:name w:val="Table Normal2"/>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Reanimator Extreme Edition</Company>
  <Pages>21</Pages>
  <Words>11021</Words>
  <Characters>62826</Characters>
  <Lines>523</Lines>
  <Paragraphs>147</Paragraphs>
  <TotalTime>23</TotalTime>
  <ScaleCrop>false</ScaleCrop>
  <LinksUpToDate>false</LinksUpToDate>
  <CharactersWithSpaces>73700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2022-01-26T07:01:00Z</dcterms:created>
  <dc:creator>User</dc:creator>
  <cp:lastModifiedBy>2023</cp:lastModifiedBy>
  <dcterms:modified xsi:type="dcterms:W3CDTF">2026-05-28T12:21:06Z</dcterms:modified>
  <cp:revision>1311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852B2D9DD39A4ACF9C8F0254ED86B4F6_12</vt:lpwstr>
  </property>
</Properties>
</file>