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9CC0A">
      <w:pPr>
        <w:shd w:val="clear" w:color="auto" w:fill="FFFFFF" w:themeFill="background1"/>
        <w:tabs>
          <w:tab w:val="left" w:pos="6030"/>
          <w:tab w:val="right" w:pos="14570"/>
        </w:tabs>
        <w:jc w:val="center"/>
        <w:rPr>
          <w:b/>
          <w:lang w:val="uk-UA"/>
        </w:rPr>
      </w:pPr>
    </w:p>
    <w:p w14:paraId="5DF55241">
      <w:pPr>
        <w:shd w:val="clear" w:color="auto" w:fill="FFFFFF" w:themeFill="background1"/>
        <w:tabs>
          <w:tab w:val="left" w:pos="6030"/>
          <w:tab w:val="right" w:pos="14570"/>
        </w:tabs>
        <w:jc w:val="center"/>
        <w:rPr>
          <w:b/>
          <w:lang w:val="uk-UA"/>
        </w:rPr>
      </w:pPr>
    </w:p>
    <w:p w14:paraId="2761716A">
      <w:pPr>
        <w:pStyle w:val="28"/>
        <w:jc w:val="right"/>
        <w:rPr>
          <w:rFonts w:ascii="Times New Roman" w:hAnsi="Times New Roman" w:cs="Times New Roman"/>
          <w:b/>
          <w:sz w:val="24"/>
          <w:szCs w:val="24"/>
        </w:rPr>
      </w:pPr>
      <w:r>
        <w:rPr>
          <w:rFonts w:ascii="Times New Roman" w:hAnsi="Times New Roman" w:cs="Times New Roman"/>
          <w:b/>
          <w:sz w:val="24"/>
          <w:szCs w:val="24"/>
        </w:rPr>
        <w:t>Додаток 5</w:t>
      </w:r>
    </w:p>
    <w:p w14:paraId="6048B544">
      <w:pPr>
        <w:pStyle w:val="28"/>
        <w:jc w:val="right"/>
        <w:rPr>
          <w:rFonts w:ascii="Times New Roman" w:hAnsi="Times New Roman" w:cs="Times New Roman"/>
          <w:b/>
          <w:sz w:val="24"/>
          <w:szCs w:val="24"/>
        </w:rPr>
      </w:pPr>
      <w:r>
        <w:rPr>
          <w:rFonts w:ascii="Times New Roman" w:hAnsi="Times New Roman" w:cs="Times New Roman"/>
          <w:b/>
          <w:sz w:val="24"/>
          <w:szCs w:val="24"/>
        </w:rPr>
        <w:t>до тендерної документації</w:t>
      </w:r>
    </w:p>
    <w:p w14:paraId="605ECFA9">
      <w:pPr>
        <w:jc w:val="right"/>
        <w:rPr>
          <w:lang w:val="uk-UA"/>
        </w:rPr>
      </w:pPr>
    </w:p>
    <w:p w14:paraId="30517E0E">
      <w:pPr>
        <w:pStyle w:val="7"/>
        <w:tabs>
          <w:tab w:val="left" w:pos="709"/>
        </w:tabs>
        <w:jc w:val="center"/>
        <w:rPr>
          <w:rFonts w:cs="Times New Roman"/>
          <w:b/>
          <w:bCs/>
          <w:caps/>
          <w:sz w:val="24"/>
          <w:lang w:val="uk-UA"/>
        </w:rPr>
      </w:pPr>
    </w:p>
    <w:p w14:paraId="415DBBFF">
      <w:pPr>
        <w:pStyle w:val="7"/>
        <w:ind w:firstLine="426"/>
        <w:jc w:val="center"/>
        <w:rPr>
          <w:rFonts w:cs="Times New Roman"/>
          <w:b/>
          <w:bCs/>
          <w:caps/>
          <w:sz w:val="24"/>
          <w:lang w:val="uk-UA"/>
        </w:rPr>
      </w:pPr>
      <w:r>
        <w:rPr>
          <w:rFonts w:cs="Times New Roman"/>
          <w:b/>
          <w:bCs/>
          <w:caps/>
          <w:sz w:val="24"/>
          <w:lang w:val="uk-UA"/>
        </w:rPr>
        <w:t>ІНФОРМАЦІЯ ПРО НЕОБХІДНІ ТЕХНІЧНІ, ЯКІСНІ ТА КІЛЬКІСНІ ХАРАКТЕРИСТИКИ ПРЕДМЕТА ЗАКУПІВЛІ – ТЕХНІЧНІ ВИМОГИ ДО ПРЕДМЕТА ЗАКУПІВЛІ</w:t>
      </w:r>
    </w:p>
    <w:p w14:paraId="44020878">
      <w:pPr>
        <w:pStyle w:val="7"/>
        <w:ind w:firstLine="426"/>
        <w:jc w:val="center"/>
        <w:rPr>
          <w:rFonts w:hint="default" w:ascii="Times New Roman Bold" w:hAnsi="Times New Roman Bold" w:cs="Times New Roman Bold"/>
          <w:b/>
          <w:bCs/>
          <w:caps/>
          <w:sz w:val="24"/>
          <w:lang w:val="uk-UA"/>
        </w:rPr>
      </w:pPr>
    </w:p>
    <w:p w14:paraId="181D7025">
      <w:pPr>
        <w:tabs>
          <w:tab w:val="left" w:pos="8130"/>
        </w:tabs>
        <w:jc w:val="center"/>
        <w:rPr>
          <w:rFonts w:hint="default" w:ascii="Times New Roman" w:hAnsi="Times New Roman" w:eastAsia="Times New Roman" w:cs="Times New Roman"/>
          <w:b w:val="0"/>
          <w:bCs w:val="0"/>
          <w:color w:val="000000"/>
          <w:sz w:val="24"/>
          <w:szCs w:val="24"/>
          <w:lang w:val="uk-UA"/>
        </w:rPr>
      </w:pPr>
      <w:r>
        <w:rPr>
          <w:rFonts w:hint="default" w:ascii="Times New Roman Bold" w:hAnsi="Times New Roman Bold" w:eastAsia="Times New Roman" w:cs="Times New Roman Bold"/>
          <w:b/>
          <w:bCs/>
          <w:color w:val="000000" w:themeColor="text1"/>
          <w:sz w:val="24"/>
          <w:szCs w:val="24"/>
          <w:lang w:val="uk-UA"/>
          <w14:textFill>
            <w14:solidFill>
              <w14:schemeClr w14:val="tx1"/>
            </w14:solidFill>
          </w14:textFill>
        </w:rPr>
        <w:t>34630000-2 Частини залізничних або трамвайних локомотивів чи рейкового рухомого складу; обладнання для контролю залізничного руху (34631400-3 Колісні осі та бандажі й інші частини локомотивів чи рейкового рухомого складу (Осі колісних пар трамвайного вагону типу М29)</w:t>
      </w:r>
      <w:r>
        <w:rPr>
          <w:rFonts w:ascii="Times New Roman" w:hAnsi="Times New Roman" w:eastAsia="Times New Roman" w:cs="Times New Roman"/>
          <w:b w:val="0"/>
          <w:bCs w:val="0"/>
          <w:color w:val="000000" w:themeColor="text1"/>
          <w:sz w:val="24"/>
          <w:szCs w:val="24"/>
          <w:lang w:val="uk-UA"/>
          <w14:textFill>
            <w14:solidFill>
              <w14:schemeClr w14:val="tx1"/>
            </w14:solidFill>
          </w14:textFill>
        </w:rPr>
        <w:t xml:space="preserve"> </w:t>
      </w:r>
      <w:r>
        <w:rPr>
          <w:rFonts w:hint="default" w:ascii="Times New Roman" w:hAnsi="Times New Roman" w:eastAsia="Times New Roman" w:cs="Times New Roman"/>
          <w:b w:val="0"/>
          <w:bCs w:val="0"/>
          <w:color w:val="000000"/>
          <w:sz w:val="24"/>
          <w:szCs w:val="24"/>
          <w:lang w:val="uk-UA"/>
        </w:rPr>
        <w:t xml:space="preserve"> </w:t>
      </w:r>
    </w:p>
    <w:p w14:paraId="57B75EF2">
      <w:pPr>
        <w:tabs>
          <w:tab w:val="left" w:pos="8130"/>
        </w:tabs>
        <w:jc w:val="center"/>
        <w:rPr>
          <w:b/>
        </w:rPr>
      </w:pPr>
      <w:r>
        <w:rPr>
          <w:b/>
          <w:bCs/>
          <w:iCs/>
          <w:shd w:val="clear" w:color="auto" w:fill="FFFFFF"/>
          <w:lang w:val="uk-UA"/>
        </w:rPr>
        <w:t xml:space="preserve">ТЕХНІЧНА СПЕЦИФІКАЦІЯ </w:t>
      </w:r>
      <w:r>
        <w:rPr>
          <w:b/>
          <w:lang w:val="uk-UA"/>
        </w:rPr>
        <w:t>(ТЕХНІЧНІ ВИМОГИ)</w:t>
      </w:r>
      <w:r>
        <w:rPr>
          <w:rFonts w:ascii="Times New Roman" w:hAnsi="Times New Roman" w:eastAsia="Times New Roman" w:cs="Times New Roman"/>
          <w:color w:val="000000" w:themeColor="text1"/>
          <w:sz w:val="28"/>
          <w:szCs w:val="28"/>
          <w:lang w:val="uk-UA"/>
          <w14:textFill>
            <w14:solidFill>
              <w14:schemeClr w14:val="tx1"/>
            </w14:solidFill>
          </w14:textFill>
        </w:rPr>
        <w:br w:type="textWrapping" w:clear="all"/>
      </w:r>
    </w:p>
    <w:tbl>
      <w:tblPr>
        <w:tblStyle w:val="5"/>
        <w:tblW w:w="9749" w:type="dxa"/>
        <w:tblInd w:w="108" w:type="dxa"/>
        <w:tblLayout w:type="autofit"/>
        <w:tblCellMar>
          <w:top w:w="0" w:type="dxa"/>
          <w:left w:w="108" w:type="dxa"/>
          <w:bottom w:w="0" w:type="dxa"/>
          <w:right w:w="108" w:type="dxa"/>
        </w:tblCellMar>
      </w:tblPr>
      <w:tblGrid>
        <w:gridCol w:w="601"/>
        <w:gridCol w:w="3227"/>
        <w:gridCol w:w="3515"/>
        <w:gridCol w:w="1294"/>
        <w:gridCol w:w="1112"/>
      </w:tblGrid>
      <w:tr w14:paraId="4BCA2523">
        <w:trPr>
          <w:trHeight w:val="308" w:hRule="atLeast"/>
        </w:trPr>
        <w:tc>
          <w:tcPr>
            <w:tcW w:w="6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9CA5884">
            <w:pPr>
              <w:spacing w:line="240" w:lineRule="auto"/>
              <w:jc w:val="center"/>
              <w:rPr>
                <w:rFonts w:ascii="Times New Roman" w:hAnsi="Times New Roman" w:eastAsia="Times New Roman" w:cs="Times New Roman"/>
                <w:b/>
                <w:color w:val="000000"/>
                <w:sz w:val="24"/>
                <w:szCs w:val="24"/>
                <w:lang w:val="uk-UA"/>
              </w:rPr>
            </w:pPr>
            <w:r>
              <w:rPr>
                <w:rFonts w:ascii="Times New Roman" w:hAnsi="Times New Roman" w:eastAsia="Times New Roman" w:cs="Times New Roman"/>
                <w:b/>
                <w:color w:val="000000"/>
                <w:sz w:val="24"/>
                <w:szCs w:val="24"/>
                <w:lang w:val="uk-UA"/>
              </w:rPr>
              <w:t>№ з/п</w:t>
            </w:r>
          </w:p>
        </w:tc>
        <w:tc>
          <w:tcPr>
            <w:tcW w:w="32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2B2B9C9">
            <w:pPr>
              <w:spacing w:line="240" w:lineRule="auto"/>
              <w:jc w:val="center"/>
              <w:rPr>
                <w:rFonts w:ascii="Times New Roman" w:hAnsi="Times New Roman" w:eastAsia="Times New Roman" w:cs="Times New Roman"/>
                <w:b/>
                <w:color w:val="000000"/>
                <w:sz w:val="24"/>
                <w:szCs w:val="24"/>
                <w:lang w:val="uk-UA"/>
              </w:rPr>
            </w:pPr>
            <w:r>
              <w:rPr>
                <w:rFonts w:ascii="Times New Roman" w:hAnsi="Times New Roman" w:eastAsia="Times New Roman" w:cs="Times New Roman"/>
                <w:b/>
                <w:color w:val="000000"/>
                <w:sz w:val="24"/>
                <w:szCs w:val="24"/>
                <w:lang w:val="uk-UA"/>
              </w:rPr>
              <w:t>Найменування</w:t>
            </w:r>
          </w:p>
        </w:tc>
        <w:tc>
          <w:tcPr>
            <w:tcW w:w="3515" w:type="dxa"/>
            <w:tcBorders>
              <w:top w:val="single" w:color="auto" w:sz="4" w:space="0"/>
              <w:left w:val="single" w:color="auto" w:sz="4" w:space="0"/>
              <w:bottom w:val="single" w:color="auto" w:sz="4" w:space="0"/>
              <w:right w:val="single" w:color="auto" w:sz="4" w:space="0"/>
            </w:tcBorders>
            <w:vAlign w:val="center"/>
          </w:tcPr>
          <w:p w14:paraId="527E0B99">
            <w:pPr>
              <w:spacing w:line="240" w:lineRule="auto"/>
              <w:jc w:val="center"/>
              <w:rPr>
                <w:rFonts w:ascii="Times New Roman" w:hAnsi="Times New Roman" w:eastAsia="Times New Roman" w:cs="Times New Roman"/>
                <w:b/>
                <w:color w:val="000000"/>
                <w:sz w:val="24"/>
                <w:szCs w:val="24"/>
                <w:lang w:val="uk-UA"/>
              </w:rPr>
            </w:pPr>
            <w:r>
              <w:rPr>
                <w:rFonts w:ascii="Times New Roman" w:hAnsi="Times New Roman" w:eastAsia="Times New Roman" w:cs="Times New Roman"/>
                <w:b/>
                <w:color w:val="000000"/>
                <w:sz w:val="24"/>
                <w:szCs w:val="24"/>
                <w:lang w:val="uk-UA"/>
              </w:rPr>
              <w:t>Технічні характеристики</w:t>
            </w:r>
          </w:p>
        </w:tc>
        <w:tc>
          <w:tcPr>
            <w:tcW w:w="129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8E3B58">
            <w:pPr>
              <w:spacing w:line="240" w:lineRule="auto"/>
              <w:jc w:val="center"/>
              <w:rPr>
                <w:rFonts w:ascii="Times New Roman" w:hAnsi="Times New Roman" w:eastAsia="Times New Roman" w:cs="Times New Roman"/>
                <w:b/>
                <w:color w:val="000000"/>
                <w:sz w:val="24"/>
                <w:szCs w:val="24"/>
                <w:lang w:val="uk-UA"/>
              </w:rPr>
            </w:pPr>
            <w:r>
              <w:rPr>
                <w:rFonts w:ascii="Times New Roman" w:hAnsi="Times New Roman" w:eastAsia="Times New Roman" w:cs="Times New Roman"/>
                <w:b/>
                <w:color w:val="000000"/>
                <w:sz w:val="24"/>
                <w:szCs w:val="24"/>
                <w:lang w:val="uk-UA"/>
              </w:rPr>
              <w:t>Од.</w:t>
            </w:r>
          </w:p>
          <w:p w14:paraId="54878B50">
            <w:pPr>
              <w:spacing w:line="240" w:lineRule="auto"/>
              <w:jc w:val="center"/>
              <w:rPr>
                <w:rFonts w:ascii="Times New Roman" w:hAnsi="Times New Roman" w:eastAsia="Times New Roman" w:cs="Times New Roman"/>
                <w:b/>
                <w:color w:val="000000"/>
                <w:sz w:val="24"/>
                <w:szCs w:val="24"/>
                <w:lang w:val="uk-UA"/>
              </w:rPr>
            </w:pPr>
            <w:r>
              <w:rPr>
                <w:rFonts w:ascii="Times New Roman" w:hAnsi="Times New Roman" w:eastAsia="Times New Roman" w:cs="Times New Roman"/>
                <w:b/>
                <w:color w:val="000000"/>
                <w:sz w:val="24"/>
                <w:szCs w:val="24"/>
                <w:lang w:val="uk-UA"/>
              </w:rPr>
              <w:t>виміру</w:t>
            </w:r>
          </w:p>
        </w:tc>
        <w:tc>
          <w:tcPr>
            <w:tcW w:w="11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F86F13">
            <w:pPr>
              <w:spacing w:line="240" w:lineRule="auto"/>
              <w:jc w:val="center"/>
              <w:rPr>
                <w:rFonts w:ascii="Times New Roman" w:hAnsi="Times New Roman" w:eastAsia="Times New Roman" w:cs="Times New Roman"/>
                <w:b/>
                <w:color w:val="000000"/>
                <w:sz w:val="24"/>
                <w:szCs w:val="24"/>
                <w:lang w:val="uk-UA"/>
              </w:rPr>
            </w:pPr>
            <w:r>
              <w:rPr>
                <w:rFonts w:ascii="Times New Roman" w:hAnsi="Times New Roman" w:eastAsia="Times New Roman" w:cs="Times New Roman"/>
                <w:b/>
                <w:color w:val="000000"/>
                <w:sz w:val="24"/>
                <w:szCs w:val="24"/>
                <w:lang w:val="uk-UA"/>
              </w:rPr>
              <w:t>Кіл-кість</w:t>
            </w:r>
          </w:p>
        </w:tc>
      </w:tr>
      <w:tr w14:paraId="3B427774">
        <w:trPr>
          <w:trHeight w:val="308" w:hRule="atLeast"/>
        </w:trPr>
        <w:tc>
          <w:tcPr>
            <w:tcW w:w="6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9E0C8AB">
            <w:pPr>
              <w:spacing w:line="240" w:lineRule="auto"/>
              <w:jc w:val="center"/>
              <w:rPr>
                <w:rFonts w:ascii="Times New Roman" w:hAnsi="Times New Roman" w:eastAsia="Times New Roman" w:cs="Times New Roman"/>
                <w:color w:val="000000"/>
                <w:sz w:val="24"/>
                <w:szCs w:val="24"/>
                <w:lang w:val="uk-UA"/>
              </w:rPr>
            </w:pPr>
            <w:r>
              <w:rPr>
                <w:rFonts w:ascii="Times New Roman" w:hAnsi="Times New Roman" w:eastAsia="Times New Roman" w:cs="Times New Roman"/>
                <w:color w:val="000000"/>
                <w:sz w:val="24"/>
                <w:szCs w:val="24"/>
                <w:lang w:val="uk-UA"/>
              </w:rPr>
              <w:t>1</w:t>
            </w:r>
          </w:p>
        </w:tc>
        <w:tc>
          <w:tcPr>
            <w:tcW w:w="32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7F1047">
            <w:pPr>
              <w:spacing w:line="240" w:lineRule="auto"/>
              <w:rPr>
                <w:rFonts w:ascii="Times New Roman" w:hAnsi="Times New Roman" w:eastAsia="Times New Roman" w:cs="Times New Roman"/>
                <w:color w:val="000000"/>
                <w:sz w:val="24"/>
                <w:szCs w:val="24"/>
                <w:lang w:val="uk-UA"/>
              </w:rPr>
            </w:pPr>
            <w:r>
              <w:rPr>
                <w:rFonts w:ascii="Times New Roman" w:hAnsi="Times New Roman" w:eastAsia="Times New Roman" w:cs="Times New Roman"/>
                <w:color w:val="000000"/>
                <w:sz w:val="24"/>
                <w:szCs w:val="24"/>
                <w:lang w:val="uk-UA"/>
              </w:rPr>
              <w:t>Осі колісних пар трамвайного вагону типу М29</w:t>
            </w:r>
          </w:p>
        </w:tc>
        <w:tc>
          <w:tcPr>
            <w:tcW w:w="3515" w:type="dxa"/>
            <w:tcBorders>
              <w:top w:val="single" w:color="auto" w:sz="4" w:space="0"/>
              <w:left w:val="single" w:color="auto" w:sz="4" w:space="0"/>
              <w:bottom w:val="single" w:color="auto" w:sz="4" w:space="0"/>
              <w:right w:val="single" w:color="auto" w:sz="4" w:space="0"/>
            </w:tcBorders>
          </w:tcPr>
          <w:p w14:paraId="5C15D07D">
            <w:pPr>
              <w:spacing w:line="240" w:lineRule="auto"/>
              <w:rPr>
                <w:rFonts w:ascii="Times New Roman" w:hAnsi="Times New Roman" w:eastAsia="Times New Roman" w:cs="Times New Roman"/>
                <w:color w:val="000000"/>
                <w:sz w:val="24"/>
                <w:szCs w:val="24"/>
                <w:lang w:val="uk-UA"/>
              </w:rPr>
            </w:pPr>
            <w:r>
              <w:rPr>
                <w:rFonts w:ascii="Times New Roman" w:hAnsi="Times New Roman" w:eastAsia="Times New Roman" w:cs="Times New Roman"/>
                <w:color w:val="000000"/>
                <w:sz w:val="24"/>
                <w:szCs w:val="24"/>
                <w:lang w:val="uk-UA"/>
              </w:rPr>
              <w:t>Тип: На колісні пари трамвайного вагону</w:t>
            </w:r>
          </w:p>
          <w:p w14:paraId="31CD267A">
            <w:pPr>
              <w:spacing w:line="240" w:lineRule="auto"/>
              <w:rPr>
                <w:rFonts w:ascii="Times New Roman" w:hAnsi="Times New Roman" w:eastAsia="Times New Roman" w:cs="Times New Roman"/>
                <w:color w:val="000000"/>
                <w:sz w:val="24"/>
                <w:szCs w:val="24"/>
                <w:lang w:val="uk-UA"/>
              </w:rPr>
            </w:pPr>
            <w:r>
              <w:rPr>
                <w:rFonts w:ascii="Times New Roman" w:hAnsi="Times New Roman" w:eastAsia="Times New Roman" w:cs="Times New Roman"/>
                <w:color w:val="000000"/>
                <w:sz w:val="24"/>
                <w:szCs w:val="24"/>
                <w:lang w:val="uk-UA"/>
              </w:rPr>
              <w:t>Розміри: Довжина осі 1935мм.</w:t>
            </w:r>
          </w:p>
          <w:p w14:paraId="029862E6">
            <w:pPr>
              <w:spacing w:line="240" w:lineRule="auto"/>
              <w:rPr>
                <w:rFonts w:ascii="Times New Roman" w:hAnsi="Times New Roman" w:eastAsia="Times New Roman" w:cs="Times New Roman"/>
                <w:color w:val="000000"/>
                <w:sz w:val="24"/>
                <w:szCs w:val="24"/>
                <w:lang w:val="uk-UA"/>
              </w:rPr>
            </w:pPr>
            <w:r>
              <w:rPr>
                <w:rFonts w:ascii="Times New Roman" w:hAnsi="Times New Roman" w:eastAsia="Times New Roman" w:cs="Times New Roman"/>
                <w:color w:val="000000"/>
                <w:sz w:val="24"/>
                <w:szCs w:val="24"/>
                <w:lang w:val="uk-UA"/>
              </w:rPr>
              <w:t>Матеріал: Сталь 34</w:t>
            </w:r>
            <w:r>
              <w:rPr>
                <w:rFonts w:ascii="Times New Roman" w:hAnsi="Times New Roman" w:eastAsia="Times New Roman" w:cs="Times New Roman"/>
                <w:color w:val="000000"/>
                <w:sz w:val="24"/>
                <w:szCs w:val="24"/>
                <w:lang w:val="en-US"/>
              </w:rPr>
              <w:t>CrNi</w:t>
            </w:r>
            <w:r>
              <w:rPr>
                <w:rFonts w:ascii="Times New Roman" w:hAnsi="Times New Roman" w:eastAsia="Times New Roman" w:cs="Times New Roman"/>
                <w:color w:val="000000"/>
                <w:sz w:val="24"/>
                <w:szCs w:val="24"/>
                <w:lang w:val="uk-UA"/>
              </w:rPr>
              <w:t>Моб+</w:t>
            </w:r>
            <w:r>
              <w:rPr>
                <w:rFonts w:ascii="Times New Roman" w:hAnsi="Times New Roman" w:eastAsia="Times New Roman" w:cs="Times New Roman"/>
                <w:color w:val="000000"/>
                <w:sz w:val="24"/>
                <w:szCs w:val="24"/>
                <w:lang w:val="en-US"/>
              </w:rPr>
              <w:t>QT</w:t>
            </w:r>
            <w:r>
              <w:rPr>
                <w:rFonts w:ascii="Times New Roman" w:hAnsi="Times New Roman" w:eastAsia="Times New Roman" w:cs="Times New Roman"/>
                <w:color w:val="000000"/>
                <w:sz w:val="24"/>
                <w:szCs w:val="24"/>
                <w:lang w:val="uk-UA"/>
              </w:rPr>
              <w:t xml:space="preserve"> згідно з </w:t>
            </w:r>
            <w:r>
              <w:rPr>
                <w:rFonts w:ascii="Times New Roman" w:hAnsi="Times New Roman" w:eastAsia="Times New Roman" w:cs="Times New Roman"/>
                <w:color w:val="000000"/>
                <w:sz w:val="24"/>
                <w:szCs w:val="24"/>
                <w:lang w:val="en-US"/>
              </w:rPr>
              <w:t>EN</w:t>
            </w:r>
            <w:r>
              <w:rPr>
                <w:rFonts w:ascii="Times New Roman" w:hAnsi="Times New Roman" w:eastAsia="Times New Roman" w:cs="Times New Roman"/>
                <w:color w:val="000000"/>
                <w:sz w:val="24"/>
                <w:szCs w:val="24"/>
                <w:lang w:val="uk-UA"/>
              </w:rPr>
              <w:t xml:space="preserve"> </w:t>
            </w:r>
            <w:r>
              <w:rPr>
                <w:rFonts w:ascii="Times New Roman" w:hAnsi="Times New Roman" w:eastAsia="Times New Roman" w:cs="Times New Roman"/>
                <w:color w:val="000000"/>
                <w:sz w:val="24"/>
                <w:szCs w:val="24"/>
                <w:lang w:val="en-US"/>
              </w:rPr>
              <w:t>ISO</w:t>
            </w:r>
            <w:r>
              <w:rPr>
                <w:rFonts w:ascii="Times New Roman" w:hAnsi="Times New Roman" w:eastAsia="Times New Roman" w:cs="Times New Roman"/>
                <w:color w:val="000000"/>
                <w:sz w:val="24"/>
                <w:szCs w:val="24"/>
                <w:lang w:val="uk-UA"/>
              </w:rPr>
              <w:t xml:space="preserve"> 683-2</w:t>
            </w:r>
          </w:p>
          <w:p w14:paraId="38A04A90">
            <w:pPr>
              <w:spacing w:line="240" w:lineRule="auto"/>
              <w:rPr>
                <w:rFonts w:ascii="Times New Roman" w:hAnsi="Times New Roman" w:eastAsia="Times New Roman" w:cs="Times New Roman"/>
                <w:color w:val="000000"/>
                <w:sz w:val="24"/>
                <w:szCs w:val="24"/>
                <w:lang w:val="uk-UA"/>
              </w:rPr>
            </w:pPr>
            <w:r>
              <w:rPr>
                <w:rFonts w:ascii="Times New Roman" w:hAnsi="Times New Roman" w:eastAsia="Times New Roman" w:cs="Times New Roman"/>
                <w:color w:val="000000"/>
                <w:sz w:val="24"/>
                <w:szCs w:val="24"/>
                <w:lang w:val="uk-UA"/>
              </w:rPr>
              <w:t>Згідно креслення №1802074 зі змінами</w:t>
            </w:r>
          </w:p>
        </w:tc>
        <w:tc>
          <w:tcPr>
            <w:tcW w:w="129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5936D3">
            <w:pPr>
              <w:spacing w:line="240" w:lineRule="auto"/>
              <w:jc w:val="center"/>
              <w:rPr>
                <w:rFonts w:ascii="Times New Roman" w:hAnsi="Times New Roman" w:eastAsia="Times New Roman" w:cs="Times New Roman"/>
                <w:color w:val="000000"/>
                <w:sz w:val="24"/>
                <w:szCs w:val="24"/>
                <w:lang w:val="uk-UA"/>
              </w:rPr>
            </w:pPr>
            <w:r>
              <w:rPr>
                <w:rFonts w:ascii="Times New Roman" w:hAnsi="Times New Roman" w:eastAsia="Times New Roman" w:cs="Times New Roman"/>
                <w:color w:val="000000"/>
                <w:sz w:val="24"/>
                <w:szCs w:val="24"/>
                <w:lang w:val="uk-UA"/>
              </w:rPr>
              <w:t>шт.</w:t>
            </w:r>
          </w:p>
        </w:tc>
        <w:tc>
          <w:tcPr>
            <w:tcW w:w="11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199258E">
            <w:pPr>
              <w:spacing w:line="240" w:lineRule="auto"/>
              <w:jc w:val="center"/>
              <w:rPr>
                <w:rFonts w:ascii="Times New Roman" w:hAnsi="Times New Roman" w:eastAsia="Times New Roman" w:cs="Times New Roman"/>
                <w:color w:val="000000"/>
                <w:sz w:val="24"/>
                <w:szCs w:val="24"/>
                <w:lang w:val="uk-UA"/>
              </w:rPr>
            </w:pPr>
            <w:r>
              <w:rPr>
                <w:rFonts w:ascii="Times New Roman" w:hAnsi="Times New Roman" w:eastAsia="Times New Roman" w:cs="Times New Roman"/>
                <w:color w:val="000000"/>
                <w:sz w:val="24"/>
                <w:szCs w:val="24"/>
                <w:lang w:val="uk-UA"/>
              </w:rPr>
              <w:t>40</w:t>
            </w:r>
          </w:p>
        </w:tc>
      </w:tr>
    </w:tbl>
    <w:p w14:paraId="38C4162A">
      <w:pPr>
        <w:pStyle w:val="19"/>
        <w:keepNext/>
        <w:ind w:left="0"/>
        <w:jc w:val="both"/>
        <w:rPr>
          <w:b/>
        </w:rPr>
      </w:pPr>
    </w:p>
    <w:p w14:paraId="0CA90DC7">
      <w:pPr>
        <w:pStyle w:val="19"/>
        <w:keepNext/>
        <w:ind w:left="0"/>
        <w:jc w:val="both"/>
        <w:rPr>
          <w:b/>
          <w:color w:val="000000"/>
          <w:szCs w:val="27"/>
        </w:rPr>
      </w:pPr>
      <w:r>
        <w:rPr>
          <w:b/>
        </w:rPr>
        <w:t xml:space="preserve">Учасник повинен надати документи, що підтверджують відповідність запропонованого товару технічним та якісним характеристиками предмету закупівлі, а саме: </w:t>
      </w:r>
    </w:p>
    <w:p w14:paraId="4C823600">
      <w:pPr>
        <w:pStyle w:val="19"/>
        <w:keepNext/>
        <w:ind w:left="0"/>
        <w:jc w:val="both"/>
        <w:rPr>
          <w:color w:val="000000"/>
          <w:szCs w:val="27"/>
        </w:rPr>
      </w:pPr>
      <w:r>
        <w:rPr>
          <w:color w:val="000000"/>
          <w:szCs w:val="27"/>
        </w:rPr>
        <w:t xml:space="preserve">- або копії сертифікату відповідності (з додатками у разі наявності); </w:t>
      </w:r>
    </w:p>
    <w:p w14:paraId="3A5E8C5F">
      <w:pPr>
        <w:pStyle w:val="19"/>
        <w:keepNext/>
        <w:ind w:left="0"/>
        <w:jc w:val="both"/>
        <w:rPr>
          <w:color w:val="000000"/>
          <w:szCs w:val="27"/>
        </w:rPr>
      </w:pPr>
      <w:r>
        <w:rPr>
          <w:color w:val="000000"/>
          <w:szCs w:val="27"/>
        </w:rPr>
        <w:t xml:space="preserve">- або пасопрт якості виробника; </w:t>
      </w:r>
    </w:p>
    <w:p w14:paraId="583BE157">
      <w:pPr>
        <w:pStyle w:val="19"/>
        <w:keepNext/>
        <w:ind w:left="0"/>
        <w:jc w:val="both"/>
        <w:rPr>
          <w:color w:val="000000"/>
          <w:szCs w:val="27"/>
        </w:rPr>
      </w:pPr>
      <w:r>
        <w:rPr>
          <w:color w:val="000000"/>
          <w:szCs w:val="27"/>
        </w:rPr>
        <w:t>- або сертифікат якості;</w:t>
      </w:r>
    </w:p>
    <w:p w14:paraId="0C40B5BA">
      <w:pPr>
        <w:pStyle w:val="19"/>
        <w:keepNext/>
        <w:ind w:left="0"/>
        <w:jc w:val="both"/>
        <w:rPr>
          <w:color w:val="000000"/>
          <w:szCs w:val="27"/>
        </w:rPr>
      </w:pPr>
      <w:r>
        <w:rPr>
          <w:color w:val="000000"/>
          <w:szCs w:val="27"/>
        </w:rPr>
        <w:t xml:space="preserve">- або декларацію про відповідність технічним регаментам (у разі, якщо продукція підлягає оцінці відповідності вимогам технічних регламентів); </w:t>
      </w:r>
    </w:p>
    <w:p w14:paraId="2988625C">
      <w:pPr>
        <w:pStyle w:val="19"/>
        <w:keepNext/>
        <w:ind w:left="0"/>
        <w:jc w:val="both"/>
        <w:rPr>
          <w:color w:val="000000"/>
          <w:szCs w:val="27"/>
        </w:rPr>
      </w:pPr>
      <w:r>
        <w:rPr>
          <w:color w:val="000000"/>
          <w:szCs w:val="27"/>
        </w:rPr>
        <w:t xml:space="preserve">- або технічний паспорт (у разі, якщо учасник не має відповідних маркувань, протоколів випробувань чи сертифікатів не має можливості отримати їх до кінцевого строку подання тендерних пропозицій із причин, від нього не залежних); </w:t>
      </w:r>
    </w:p>
    <w:p w14:paraId="70322954">
      <w:pPr>
        <w:pStyle w:val="19"/>
        <w:keepNext/>
        <w:ind w:left="0"/>
        <w:jc w:val="both"/>
        <w:rPr>
          <w:color w:val="000000"/>
          <w:szCs w:val="27"/>
          <w:lang w:val="uk-UA"/>
        </w:rPr>
      </w:pPr>
      <w:r>
        <w:rPr>
          <w:color w:val="000000"/>
          <w:szCs w:val="27"/>
        </w:rPr>
        <w:t>- або декларацію відповідності від учасника/постачальника (згідно ISO ЕІС 17050-1</w:t>
      </w:r>
      <w:r>
        <w:rPr>
          <w:rFonts w:hint="default"/>
          <w:color w:val="000000"/>
          <w:szCs w:val="27"/>
          <w:lang w:val="uk-UA"/>
        </w:rPr>
        <w:t>:2006</w:t>
      </w:r>
      <w:r>
        <w:rPr>
          <w:color w:val="000000"/>
          <w:szCs w:val="27"/>
        </w:rPr>
        <w:t xml:space="preserve">), в якій Учасник від свого імені підтверджує </w:t>
      </w:r>
      <w:r>
        <w:rPr>
          <w:b/>
          <w:bCs/>
          <w:color w:val="000000"/>
          <w:szCs w:val="27"/>
          <w:u w:val="single"/>
        </w:rPr>
        <w:t xml:space="preserve">якість товару, відповідність </w:t>
      </w:r>
      <w:r>
        <w:rPr>
          <w:b/>
          <w:bCs/>
          <w:color w:val="000000"/>
          <w:szCs w:val="27"/>
          <w:u w:val="single"/>
          <w:lang w:val="uk-UA"/>
        </w:rPr>
        <w:t>технічним вимогам</w:t>
      </w:r>
      <w:r>
        <w:rPr>
          <w:b/>
          <w:bCs/>
          <w:color w:val="000000"/>
          <w:szCs w:val="27"/>
          <w:u w:val="single"/>
        </w:rPr>
        <w:t xml:space="preserve"> та встановлює гарантійний строк експлуатації товару</w:t>
      </w:r>
      <w:r>
        <w:rPr>
          <w:color w:val="000000"/>
          <w:szCs w:val="27"/>
          <w:lang w:val="uk-UA"/>
        </w:rPr>
        <w:t>.</w:t>
      </w:r>
    </w:p>
    <w:p w14:paraId="6D92FF11">
      <w:pPr>
        <w:keepLines/>
        <w:widowControl w:val="0"/>
        <w:shd w:val="clear" w:color="auto" w:fill="FFFFFF"/>
        <w:ind w:firstLine="720"/>
        <w:jc w:val="both"/>
        <w:rPr>
          <w:bCs/>
          <w:lang w:val="uk-UA"/>
        </w:rPr>
      </w:pPr>
      <w:r>
        <w:rPr>
          <w:bCs/>
          <w:lang w:val="uk-UA"/>
        </w:rPr>
        <w:t>Якість товару повинна відповідати вимогам відповідних діючих нормативних документів (ДСТУ, ГОСТ, ТУ).</w:t>
      </w:r>
    </w:p>
    <w:p w14:paraId="3B7253A9">
      <w:pPr>
        <w:bidi w:val="0"/>
        <w:ind w:left="0" w:leftChars="0" w:firstLine="720" w:firstLineChars="300"/>
        <w:jc w:val="both"/>
      </w:pPr>
      <w:r>
        <w:t>У разі якщо у документах, наданих учасником на підтвердження якості товару (сертифікатах, паспортах якості, деклараціях, технічних умовах, протоколах випробувань тощо), містяться посилання на нормативні документи (ДСТУ, ГОСТ, ГСТУ, ТУ або інші стандарти), що втратили чинність на території України, такі документи можуть бути прийняті Замовником до розгляду виключно за умови надання учасником додаткового документального підтвердження відповідності запропонованого товару вимогам закупівлі.</w:t>
      </w:r>
    </w:p>
    <w:p w14:paraId="67C1FAD6">
      <w:pPr>
        <w:bidi w:val="0"/>
        <w:ind w:left="0" w:leftChars="0" w:firstLine="720" w:firstLineChars="300"/>
        <w:jc w:val="both"/>
      </w:pPr>
      <w:r>
        <w:t>Таким підтвердженням може бути:</w:t>
      </w:r>
    </w:p>
    <w:p w14:paraId="25A0C903">
      <w:pPr>
        <w:bidi w:val="0"/>
        <w:ind w:left="0" w:leftChars="0" w:firstLine="720" w:firstLineChars="300"/>
        <w:jc w:val="both"/>
      </w:pPr>
      <w:r>
        <w:rPr>
          <w:rFonts w:hint="default"/>
          <w:lang w:val="ru-RU"/>
        </w:rPr>
        <w:t xml:space="preserve">- </w:t>
      </w:r>
      <w:r>
        <w:t>порівняльна таблиця відповідності (еквівалентності) між нормативним документом, що втратив чинність, та чинним нормативним документом (ДСТУ, ДСТУ EN, ДСТУ ISO, EN, ISO або іншим чинним нормативним документом), що регулює аналогічні технічні вимоги до продукції; або</w:t>
      </w:r>
    </w:p>
    <w:p w14:paraId="4B40A8F9">
      <w:pPr>
        <w:bidi w:val="0"/>
        <w:ind w:left="0" w:leftChars="0" w:firstLine="720" w:firstLineChars="300"/>
        <w:jc w:val="both"/>
      </w:pPr>
      <w:r>
        <w:rPr>
          <w:rFonts w:hint="default"/>
          <w:lang w:val="ru-RU"/>
        </w:rPr>
        <w:t xml:space="preserve">- </w:t>
      </w:r>
      <w:r>
        <w:t>технічна документація виробника (технічні характеристики, технічний опис, паспорт виробу, каталог, специфікація тощо), яка містить технічні характеристики товару в обсязі, достатньому для перевірки його відповідності вимогам Замовника, зокрема найменування показників, їх значення, одиниці виміру та інші характеристики, передбачені технічною специфікацією або необхідні для порівняння з технічними, якісними та функціональними вимогами, встановленими тендерною документацією.</w:t>
      </w:r>
    </w:p>
    <w:p w14:paraId="44F8C065">
      <w:pPr>
        <w:bidi w:val="0"/>
        <w:ind w:left="0" w:leftChars="0" w:firstLine="720" w:firstLineChars="300"/>
        <w:jc w:val="both"/>
      </w:pPr>
    </w:p>
    <w:p w14:paraId="44B1460D">
      <w:pPr>
        <w:bidi w:val="0"/>
        <w:jc w:val="both"/>
      </w:pPr>
      <w:r>
        <w:rPr>
          <w:rFonts w:ascii="-webkit-standard" w:hAnsi="-webkit-standard" w:eastAsia="-webkit-standard" w:cs="-webkit-standard"/>
          <w:i w:val="0"/>
          <w:iCs w:val="0"/>
          <w:caps w:val="0"/>
          <w:color w:val="FFFFFF"/>
          <w:spacing w:val="0"/>
          <w:kern w:val="0"/>
          <w:szCs w:val="27"/>
          <w:u w:val="none"/>
          <w:lang w:val="en-US" w:eastAsia="zh-CN" w:bidi="ar"/>
        </w:rPr>
        <w:t>У</w:t>
      </w:r>
      <w:r>
        <w:rPr>
          <w:lang w:val="en-US" w:eastAsia="zh-CN"/>
        </w:rPr>
        <w:t xml:space="preserve"> </w:t>
      </w:r>
      <w:r>
        <w:rPr>
          <w:lang w:val="ru-RU" w:eastAsia="zh-CN"/>
        </w:rPr>
        <w:t>У</w:t>
      </w:r>
      <w:r>
        <w:rPr>
          <w:rFonts w:hint="default"/>
          <w:lang w:val="ru-RU" w:eastAsia="zh-CN"/>
        </w:rPr>
        <w:t xml:space="preserve"> </w:t>
      </w:r>
      <w:r>
        <w:rPr>
          <w:lang w:val="en-US" w:eastAsia="zh-CN"/>
        </w:rPr>
        <w:t>разі ненадання такого додаткового підтвердження або неможливості на підставі наданих документів встановити відповідність запропонованого товару вимогам тендерної документації, учасник вважається таким, що не підтвердив відповідність запропонованого товару</w:t>
      </w:r>
      <w:r>
        <w:rPr>
          <w:rFonts w:hint="default"/>
          <w:lang w:val="ru-RU" w:eastAsia="zh-CN"/>
        </w:rPr>
        <w:t xml:space="preserve"> технічним</w:t>
      </w:r>
      <w:bookmarkStart w:id="0" w:name="_GoBack"/>
      <w:bookmarkEnd w:id="0"/>
      <w:r>
        <w:rPr>
          <w:lang w:val="en-US" w:eastAsia="zh-CN"/>
        </w:rPr>
        <w:t xml:space="preserve"> вимогам закупівлі.</w:t>
      </w:r>
    </w:p>
    <w:p w14:paraId="434E28AD">
      <w:pPr>
        <w:bidi w:val="0"/>
        <w:jc w:val="both"/>
        <w:rPr>
          <w:lang w:val="uk-UA"/>
        </w:rPr>
      </w:pPr>
    </w:p>
    <w:p w14:paraId="6A1049CB">
      <w:pPr>
        <w:pStyle w:val="26"/>
        <w:jc w:val="both"/>
        <w:rPr>
          <w:u w:val="single"/>
        </w:rPr>
      </w:pPr>
      <w:r>
        <w:rPr>
          <w:u w:val="single"/>
        </w:rPr>
        <w:t>Учасники у разі, коли вони пропонують еквівалент, повинні надати порівняльну таблицю відповідності запропонованого товару технічним вимогам Замовника (обов‘язково зазначається виробник та модель (артикул) для можливості перевірки запропонованого обладнання технічним вимогам Замовника). Усі характеристики еквіваленту мають бути не гіршими, ніж ті, що наведені в цьому додатку.</w:t>
      </w:r>
    </w:p>
    <w:p w14:paraId="4714C280">
      <w:pPr>
        <w:pStyle w:val="26"/>
        <w:jc w:val="both"/>
        <w:rPr>
          <w:color w:val="000000" w:themeColor="text1"/>
          <w14:textFill>
            <w14:solidFill>
              <w14:schemeClr w14:val="tx1"/>
            </w14:solidFill>
          </w14:textFill>
        </w:rPr>
      </w:pPr>
    </w:p>
    <w:p w14:paraId="02768A36">
      <w:pPr>
        <w:pStyle w:val="26"/>
        <w:jc w:val="both"/>
        <w:rPr>
          <w:b/>
        </w:rPr>
      </w:pPr>
      <w:r>
        <w:rPr>
          <w:b/>
        </w:rPr>
        <w:t xml:space="preserve">До ціни пропозиції включаються наступні витрати: </w:t>
      </w:r>
    </w:p>
    <w:p w14:paraId="18A0E7B3">
      <w:pPr>
        <w:pStyle w:val="26"/>
        <w:jc w:val="both"/>
      </w:pPr>
      <w:r>
        <w:t xml:space="preserve">- податки і збори, обов’язкові платежі, що сплачуються або мають бути сплачені згідно з чинним законодавством; </w:t>
      </w:r>
    </w:p>
    <w:p w14:paraId="6FE58CB4">
      <w:pPr>
        <w:pStyle w:val="26"/>
        <w:jc w:val="both"/>
      </w:pPr>
      <w:r>
        <w:t xml:space="preserve">- витрати на доставку товару; </w:t>
      </w:r>
    </w:p>
    <w:p w14:paraId="5453BB98">
      <w:pPr>
        <w:pStyle w:val="26"/>
        <w:jc w:val="both"/>
      </w:pPr>
      <w:r>
        <w:t xml:space="preserve">- інші витрати, передбачені для товару даного виду згідно з чинним законодавством та умовами тендерної документації. </w:t>
      </w:r>
    </w:p>
    <w:p w14:paraId="2B5086C5">
      <w:pPr>
        <w:pStyle w:val="26"/>
        <w:jc w:val="both"/>
      </w:pPr>
      <w:r>
        <w:t xml:space="preserve">У якості згоди з Технічним завданням і гарантії його виконання Учасники у складі пропозиції надає підписане Технічне завдання. </w:t>
      </w:r>
    </w:p>
    <w:p w14:paraId="2E867136">
      <w:pPr>
        <w:pStyle w:val="26"/>
        <w:jc w:val="both"/>
      </w:pPr>
    </w:p>
    <w:p w14:paraId="76B1EABF">
      <w:pPr>
        <w:widowControl w:val="0"/>
        <w:tabs>
          <w:tab w:val="left" w:pos="426"/>
        </w:tabs>
        <w:suppressAutoHyphens/>
        <w:jc w:val="both"/>
        <w:rPr>
          <w:b/>
          <w:bCs/>
          <w:lang w:val="uk-UA"/>
        </w:rPr>
      </w:pPr>
      <w:r>
        <w:rPr>
          <w:bCs/>
          <w:iCs/>
          <w:lang w:val="uk-UA"/>
        </w:rPr>
        <w:t xml:space="preserve">*Примітка: </w:t>
      </w:r>
      <w:r>
        <w:rPr>
          <w:iCs/>
          <w:lang w:val="uk-UA"/>
        </w:rPr>
        <w:t>всі посилання на конкретну марку, виробника, фірму, патент, конструкцію або тип предмета закупівлі, джерело його походження або виробника, слід читати та інтерпретувати з виразом «або еквівалент». Це використовується для зручності наведення характеристик і не є вимогою постачання даної конкретної моделі. Усі показники та функціональні можливості еквіваленту мають бути не гіршими, ніж у зазначеного товару.</w:t>
      </w:r>
    </w:p>
    <w:p w14:paraId="4865EE91">
      <w:pPr>
        <w:jc w:val="both"/>
        <w:rPr>
          <w:bCs/>
          <w:lang w:val="uk-UA"/>
        </w:rPr>
      </w:pPr>
    </w:p>
    <w:p w14:paraId="650C606B">
      <w:pPr>
        <w:jc w:val="both"/>
        <w:rPr>
          <w:bCs/>
          <w:lang w:val="uk-UA"/>
        </w:rPr>
      </w:pPr>
      <w:r>
        <w:rPr>
          <w:bCs/>
          <w:lang w:val="uk-UA"/>
        </w:rPr>
        <w:t xml:space="preserve">        Учасник, при поставці партій Товару надає документи, які засвідчують якісні, конструктивні, технічні характеристики товару, його походження;  сертифікатів відповідності; паспортів якості (заводських посвідчень); технічного паспорту, санітарно-епідеміологічних та гігієнічних висновків, декларацій про відповідність, свідоцтв про визнання та/або інших відповідних документів передбачених законодавством для товарів даного виду.</w:t>
      </w:r>
    </w:p>
    <w:p w14:paraId="4304F749">
      <w:pPr>
        <w:jc w:val="both"/>
        <w:rPr>
          <w:bCs/>
          <w:lang w:val="uk-UA"/>
        </w:rPr>
      </w:pPr>
    </w:p>
    <w:p w14:paraId="52C15396">
      <w:pPr>
        <w:jc w:val="both"/>
        <w:rPr>
          <w:lang w:val="uk-UA"/>
        </w:rPr>
      </w:pPr>
    </w:p>
    <w:sectPr>
      <w:pgSz w:w="11906" w:h="16838"/>
      <w:pgMar w:top="567" w:right="851" w:bottom="284" w:left="1418"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Lucida Sans Unicode">
    <w:altName w:val="Hiragino Sans"/>
    <w:panose1 w:val="020B0602030504020204"/>
    <w:charset w:val="CC"/>
    <w:family w:val="swiss"/>
    <w:pitch w:val="default"/>
    <w:sig w:usb0="00000000" w:usb1="00000000" w:usb2="00000000" w:usb3="00000000" w:csb0="000000BF" w:csb1="00000000"/>
  </w:font>
  <w:font w:name="Tahoma">
    <w:panose1 w:val="020B0804030504040204"/>
    <w:charset w:val="CC"/>
    <w:family w:val="swiss"/>
    <w:pitch w:val="default"/>
    <w:sig w:usb0="E1002AFF" w:usb1="C000605B" w:usb2="00000029" w:usb3="00000000" w:csb0="200101FF" w:csb1="20280000"/>
  </w:font>
  <w:font w:name="Malgun Gothic">
    <w:altName w:val="Apple SD Gothic Neo"/>
    <w:panose1 w:val="00000000000000000000"/>
    <w:charset w:val="00"/>
    <w:family w:val="auto"/>
    <w:pitch w:val="default"/>
    <w:sig w:usb0="00000000" w:usb1="00000000" w:usb2="00000000" w:usb3="00000000" w:csb0="00000000" w:csb1="00000000"/>
  </w:font>
  <w:font w:name="Liberation Serif">
    <w:altName w:val="苹方-简"/>
    <w:panose1 w:val="00000000000000000000"/>
    <w:charset w:val="00"/>
    <w:family w:val="roman"/>
    <w:pitch w:val="default"/>
    <w:sig w:usb0="00000000" w:usb1="00000000" w:usb2="00000000" w:usb3="00000000" w:csb0="00000000" w:csb1="00000000"/>
  </w:font>
  <w:font w:name="NSimSun">
    <w:altName w:val="方正书宋_GBK"/>
    <w:panose1 w:val="02010609030101010101"/>
    <w:charset w:val="86"/>
    <w:family w:val="modern"/>
    <w:pitch w:val="default"/>
    <w:sig w:usb0="00000000" w:usb1="00000000" w:usb2="00000016" w:usb3="00000000" w:csb0="00040001" w:csb1="00000000"/>
  </w:font>
  <w:font w:name="Times New Roman Bold">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Hiragino Sans">
    <w:panose1 w:val="020B0700000000000000"/>
    <w:charset w:val="80"/>
    <w:family w:val="auto"/>
    <w:pitch w:val="default"/>
    <w:sig w:usb0="800002CF" w:usb1="6AC7FCFC" w:usb2="00000012" w:usb3="00000000" w:csb0="0002000D" w:csb1="00000000"/>
  </w:font>
  <w:font w:name="Apple SD Gothic Neo">
    <w:panose1 w:val="02000300000000000000"/>
    <w:charset w:val="81"/>
    <w:family w:val="auto"/>
    <w:pitch w:val="default"/>
    <w:sig w:usb0="00000203" w:usb1="21D12C10" w:usb2="00000010" w:usb3="00000000" w:csb0="00280005" w:csb1="00000000"/>
  </w:font>
  <w:font w:name="苹方-简">
    <w:altName w:val="Times New Roman"/>
    <w:panose1 w:val="020B0600000000000000"/>
    <w:charset w:val="00"/>
    <w:family w:val="auto"/>
    <w:pitch w:val="default"/>
    <w:sig w:usb0="A00002FF" w:usb1="7ACFFDFB" w:usb2="00000017" w:usb3="00000000" w:csb0="00040001" w:csb1="00000000"/>
  </w:font>
  <w:font w:name="方正书宋_GBK">
    <w:panose1 w:val="02000000000000000000"/>
    <w:charset w:val="86"/>
    <w:family w:val="auto"/>
    <w:pitch w:val="default"/>
    <w:sig w:usb0="A00002BF" w:usb1="38CF7CFA" w:usb2="00082016" w:usb3="00000000" w:csb0="00040001" w:csb1="00000000"/>
  </w:font>
  <w:font w:name="SimSun">
    <w:altName w:val="宋体-简"/>
    <w:panose1 w:val="02010600030101010101"/>
    <w:charset w:val="86"/>
    <w:family w:val="roman"/>
    <w:pitch w:val="variable"/>
    <w:sig w:usb0="00000003" w:usb1="288F0000" w:usb2="00000016" w:usb3="00000000" w:csb0="00040001" w:csb1="00000000"/>
  </w:font>
  <w:font w:name="-webkit-standard">
    <w:altName w:val="苹方-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none"/>
      <w:pStyle w:val="2"/>
      <w:suff w:val="nothing"/>
      <w:lvlText w:val=""/>
      <w:lvlJc w:val="left"/>
      <w:pPr>
        <w:tabs>
          <w:tab w:val="left" w:pos="1416"/>
        </w:tabs>
        <w:ind w:left="1416" w:firstLine="0"/>
      </w:pPr>
    </w:lvl>
    <w:lvl w:ilvl="1" w:tentative="0">
      <w:start w:val="1"/>
      <w:numFmt w:val="none"/>
      <w:pStyle w:val="3"/>
      <w:suff w:val="nothing"/>
      <w:lvlText w:val=""/>
      <w:lvlJc w:val="left"/>
      <w:pPr>
        <w:tabs>
          <w:tab w:val="left" w:pos="1416"/>
        </w:tabs>
        <w:ind w:left="1416" w:firstLine="0"/>
      </w:pPr>
    </w:lvl>
    <w:lvl w:ilvl="2" w:tentative="0">
      <w:start w:val="1"/>
      <w:numFmt w:val="none"/>
      <w:suff w:val="nothing"/>
      <w:lvlText w:val=""/>
      <w:lvlJc w:val="left"/>
      <w:pPr>
        <w:tabs>
          <w:tab w:val="left" w:pos="1416"/>
        </w:tabs>
        <w:ind w:left="1416" w:firstLine="0"/>
      </w:pPr>
    </w:lvl>
    <w:lvl w:ilvl="3" w:tentative="0">
      <w:start w:val="1"/>
      <w:numFmt w:val="none"/>
      <w:suff w:val="nothing"/>
      <w:lvlText w:val=""/>
      <w:lvlJc w:val="left"/>
      <w:pPr>
        <w:tabs>
          <w:tab w:val="left" w:pos="1416"/>
        </w:tabs>
        <w:ind w:left="1416" w:firstLine="0"/>
      </w:pPr>
    </w:lvl>
    <w:lvl w:ilvl="4" w:tentative="0">
      <w:start w:val="1"/>
      <w:numFmt w:val="none"/>
      <w:suff w:val="nothing"/>
      <w:lvlText w:val=""/>
      <w:lvlJc w:val="left"/>
      <w:pPr>
        <w:tabs>
          <w:tab w:val="left" w:pos="1416"/>
        </w:tabs>
        <w:ind w:left="1416" w:firstLine="0"/>
      </w:pPr>
    </w:lvl>
    <w:lvl w:ilvl="5" w:tentative="0">
      <w:start w:val="1"/>
      <w:numFmt w:val="none"/>
      <w:suff w:val="nothing"/>
      <w:lvlText w:val=""/>
      <w:lvlJc w:val="left"/>
      <w:pPr>
        <w:tabs>
          <w:tab w:val="left" w:pos="1416"/>
        </w:tabs>
        <w:ind w:left="1416" w:firstLine="0"/>
      </w:pPr>
    </w:lvl>
    <w:lvl w:ilvl="6" w:tentative="0">
      <w:start w:val="1"/>
      <w:numFmt w:val="none"/>
      <w:suff w:val="nothing"/>
      <w:lvlText w:val=""/>
      <w:lvlJc w:val="left"/>
      <w:pPr>
        <w:tabs>
          <w:tab w:val="left" w:pos="1416"/>
        </w:tabs>
        <w:ind w:left="1416" w:firstLine="0"/>
      </w:pPr>
    </w:lvl>
    <w:lvl w:ilvl="7" w:tentative="0">
      <w:start w:val="1"/>
      <w:numFmt w:val="none"/>
      <w:suff w:val="nothing"/>
      <w:lvlText w:val=""/>
      <w:lvlJc w:val="left"/>
      <w:pPr>
        <w:tabs>
          <w:tab w:val="left" w:pos="1416"/>
        </w:tabs>
        <w:ind w:left="1416" w:firstLine="0"/>
      </w:pPr>
    </w:lvl>
    <w:lvl w:ilvl="8" w:tentative="0">
      <w:start w:val="1"/>
      <w:numFmt w:val="none"/>
      <w:suff w:val="nothing"/>
      <w:lvlText w:val=""/>
      <w:lvlJc w:val="left"/>
      <w:pPr>
        <w:tabs>
          <w:tab w:val="left" w:pos="1416"/>
        </w:tabs>
        <w:ind w:left="1416" w:firstLine="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14E"/>
    <w:rsid w:val="0000634E"/>
    <w:rsid w:val="00011973"/>
    <w:rsid w:val="00012980"/>
    <w:rsid w:val="00014F98"/>
    <w:rsid w:val="00015040"/>
    <w:rsid w:val="000166FF"/>
    <w:rsid w:val="00036CF0"/>
    <w:rsid w:val="0004153D"/>
    <w:rsid w:val="000477B5"/>
    <w:rsid w:val="0005056A"/>
    <w:rsid w:val="0006080D"/>
    <w:rsid w:val="00062555"/>
    <w:rsid w:val="000631F2"/>
    <w:rsid w:val="00065ABB"/>
    <w:rsid w:val="00074B60"/>
    <w:rsid w:val="00085307"/>
    <w:rsid w:val="000A343C"/>
    <w:rsid w:val="000A5E48"/>
    <w:rsid w:val="000A6DBF"/>
    <w:rsid w:val="000B18FA"/>
    <w:rsid w:val="000B5F64"/>
    <w:rsid w:val="000C1038"/>
    <w:rsid w:val="000C15E7"/>
    <w:rsid w:val="000C2D89"/>
    <w:rsid w:val="000C36E6"/>
    <w:rsid w:val="000C73AE"/>
    <w:rsid w:val="000E118B"/>
    <w:rsid w:val="000E70DF"/>
    <w:rsid w:val="000E7BED"/>
    <w:rsid w:val="000F38BA"/>
    <w:rsid w:val="0012441D"/>
    <w:rsid w:val="00126442"/>
    <w:rsid w:val="0012767B"/>
    <w:rsid w:val="00130ED9"/>
    <w:rsid w:val="001400AB"/>
    <w:rsid w:val="00146960"/>
    <w:rsid w:val="00160977"/>
    <w:rsid w:val="00176ED0"/>
    <w:rsid w:val="00181CAE"/>
    <w:rsid w:val="00183FDF"/>
    <w:rsid w:val="00190A9F"/>
    <w:rsid w:val="00195C31"/>
    <w:rsid w:val="00196C40"/>
    <w:rsid w:val="001A1681"/>
    <w:rsid w:val="001A1895"/>
    <w:rsid w:val="001A199A"/>
    <w:rsid w:val="001A292D"/>
    <w:rsid w:val="001A2DEA"/>
    <w:rsid w:val="001A6EDF"/>
    <w:rsid w:val="001B3FBD"/>
    <w:rsid w:val="001B44D5"/>
    <w:rsid w:val="001B49D2"/>
    <w:rsid w:val="001B72FD"/>
    <w:rsid w:val="001B798C"/>
    <w:rsid w:val="001B7F41"/>
    <w:rsid w:val="001D22CD"/>
    <w:rsid w:val="001D46C7"/>
    <w:rsid w:val="001D74D6"/>
    <w:rsid w:val="001E44A1"/>
    <w:rsid w:val="001E5CED"/>
    <w:rsid w:val="001F1F99"/>
    <w:rsid w:val="001F396F"/>
    <w:rsid w:val="001F7EFC"/>
    <w:rsid w:val="001F7FDB"/>
    <w:rsid w:val="00211699"/>
    <w:rsid w:val="00213944"/>
    <w:rsid w:val="0021432A"/>
    <w:rsid w:val="00215B9B"/>
    <w:rsid w:val="00224221"/>
    <w:rsid w:val="0023555E"/>
    <w:rsid w:val="002429B5"/>
    <w:rsid w:val="00246E57"/>
    <w:rsid w:val="0024774F"/>
    <w:rsid w:val="002477C4"/>
    <w:rsid w:val="0025584A"/>
    <w:rsid w:val="002618C3"/>
    <w:rsid w:val="00267E44"/>
    <w:rsid w:val="0027180E"/>
    <w:rsid w:val="00275714"/>
    <w:rsid w:val="0027576E"/>
    <w:rsid w:val="002925AC"/>
    <w:rsid w:val="00292F54"/>
    <w:rsid w:val="002A215F"/>
    <w:rsid w:val="002A26A3"/>
    <w:rsid w:val="002A454E"/>
    <w:rsid w:val="002B00DF"/>
    <w:rsid w:val="002B2E87"/>
    <w:rsid w:val="002B7156"/>
    <w:rsid w:val="002C225F"/>
    <w:rsid w:val="002C3418"/>
    <w:rsid w:val="002C5DAE"/>
    <w:rsid w:val="002C7968"/>
    <w:rsid w:val="002D1C9E"/>
    <w:rsid w:val="002D71A4"/>
    <w:rsid w:val="002D7E54"/>
    <w:rsid w:val="003134B6"/>
    <w:rsid w:val="00321DBF"/>
    <w:rsid w:val="00322D90"/>
    <w:rsid w:val="00323A4C"/>
    <w:rsid w:val="00337022"/>
    <w:rsid w:val="00345704"/>
    <w:rsid w:val="0034597D"/>
    <w:rsid w:val="0035355C"/>
    <w:rsid w:val="00353C55"/>
    <w:rsid w:val="00354369"/>
    <w:rsid w:val="00364739"/>
    <w:rsid w:val="003729FE"/>
    <w:rsid w:val="0037315C"/>
    <w:rsid w:val="003740B8"/>
    <w:rsid w:val="003813E6"/>
    <w:rsid w:val="003841A6"/>
    <w:rsid w:val="003933A5"/>
    <w:rsid w:val="003A1D2F"/>
    <w:rsid w:val="003A3F13"/>
    <w:rsid w:val="003A42A6"/>
    <w:rsid w:val="003A7943"/>
    <w:rsid w:val="003B1124"/>
    <w:rsid w:val="003B605C"/>
    <w:rsid w:val="003C0F01"/>
    <w:rsid w:val="003C2128"/>
    <w:rsid w:val="003C4950"/>
    <w:rsid w:val="003C5381"/>
    <w:rsid w:val="003C5406"/>
    <w:rsid w:val="003D07BF"/>
    <w:rsid w:val="003D40AE"/>
    <w:rsid w:val="003D70B7"/>
    <w:rsid w:val="003E4C44"/>
    <w:rsid w:val="003F2341"/>
    <w:rsid w:val="003F56B5"/>
    <w:rsid w:val="00407E17"/>
    <w:rsid w:val="00413CD5"/>
    <w:rsid w:val="00416292"/>
    <w:rsid w:val="00421445"/>
    <w:rsid w:val="004235AF"/>
    <w:rsid w:val="00426D15"/>
    <w:rsid w:val="00430E33"/>
    <w:rsid w:val="00447D9B"/>
    <w:rsid w:val="00450212"/>
    <w:rsid w:val="00460411"/>
    <w:rsid w:val="0046506C"/>
    <w:rsid w:val="0047146B"/>
    <w:rsid w:val="00472403"/>
    <w:rsid w:val="00472F31"/>
    <w:rsid w:val="00483B95"/>
    <w:rsid w:val="00486185"/>
    <w:rsid w:val="00491C16"/>
    <w:rsid w:val="00493EC6"/>
    <w:rsid w:val="004B13ED"/>
    <w:rsid w:val="004B35BD"/>
    <w:rsid w:val="004B4464"/>
    <w:rsid w:val="004B53BA"/>
    <w:rsid w:val="004D3B62"/>
    <w:rsid w:val="004D466B"/>
    <w:rsid w:val="004E2C28"/>
    <w:rsid w:val="004F1341"/>
    <w:rsid w:val="004F4821"/>
    <w:rsid w:val="00511F67"/>
    <w:rsid w:val="005167B9"/>
    <w:rsid w:val="00531C30"/>
    <w:rsid w:val="00533EC7"/>
    <w:rsid w:val="00534CCF"/>
    <w:rsid w:val="00536C61"/>
    <w:rsid w:val="00537617"/>
    <w:rsid w:val="00540721"/>
    <w:rsid w:val="00552557"/>
    <w:rsid w:val="00554422"/>
    <w:rsid w:val="0055598A"/>
    <w:rsid w:val="00572275"/>
    <w:rsid w:val="005724BF"/>
    <w:rsid w:val="0057405E"/>
    <w:rsid w:val="00575ADD"/>
    <w:rsid w:val="00577108"/>
    <w:rsid w:val="00587E2B"/>
    <w:rsid w:val="00593FC8"/>
    <w:rsid w:val="00594A5A"/>
    <w:rsid w:val="00596A9B"/>
    <w:rsid w:val="005A17AB"/>
    <w:rsid w:val="005B6062"/>
    <w:rsid w:val="005B6F3A"/>
    <w:rsid w:val="005B75E5"/>
    <w:rsid w:val="005C1F81"/>
    <w:rsid w:val="005C2442"/>
    <w:rsid w:val="005C3A38"/>
    <w:rsid w:val="005C4580"/>
    <w:rsid w:val="005D05FC"/>
    <w:rsid w:val="005D08AC"/>
    <w:rsid w:val="005D4069"/>
    <w:rsid w:val="005D67B8"/>
    <w:rsid w:val="005E0BF4"/>
    <w:rsid w:val="005E3116"/>
    <w:rsid w:val="005E4A8B"/>
    <w:rsid w:val="005F00E9"/>
    <w:rsid w:val="005F2A2B"/>
    <w:rsid w:val="005F2CAF"/>
    <w:rsid w:val="005F3060"/>
    <w:rsid w:val="005F633D"/>
    <w:rsid w:val="005F6DB1"/>
    <w:rsid w:val="006013A8"/>
    <w:rsid w:val="006160B5"/>
    <w:rsid w:val="00620374"/>
    <w:rsid w:val="00621590"/>
    <w:rsid w:val="00623491"/>
    <w:rsid w:val="006277F1"/>
    <w:rsid w:val="00630C57"/>
    <w:rsid w:val="00633547"/>
    <w:rsid w:val="00642C62"/>
    <w:rsid w:val="00642D30"/>
    <w:rsid w:val="00651245"/>
    <w:rsid w:val="00661B6F"/>
    <w:rsid w:val="0067114E"/>
    <w:rsid w:val="00675DD6"/>
    <w:rsid w:val="0067777F"/>
    <w:rsid w:val="00683709"/>
    <w:rsid w:val="00695B66"/>
    <w:rsid w:val="00695DB7"/>
    <w:rsid w:val="006975F1"/>
    <w:rsid w:val="0069780A"/>
    <w:rsid w:val="006A27C7"/>
    <w:rsid w:val="006A5D91"/>
    <w:rsid w:val="006B1509"/>
    <w:rsid w:val="006B25C6"/>
    <w:rsid w:val="006C4853"/>
    <w:rsid w:val="006D3004"/>
    <w:rsid w:val="006D4EF2"/>
    <w:rsid w:val="006D6A20"/>
    <w:rsid w:val="006E1AA1"/>
    <w:rsid w:val="006E5441"/>
    <w:rsid w:val="006F4546"/>
    <w:rsid w:val="006F62FC"/>
    <w:rsid w:val="006F6931"/>
    <w:rsid w:val="006F714D"/>
    <w:rsid w:val="00703783"/>
    <w:rsid w:val="00704821"/>
    <w:rsid w:val="00706CF6"/>
    <w:rsid w:val="0071572D"/>
    <w:rsid w:val="00717377"/>
    <w:rsid w:val="00720F34"/>
    <w:rsid w:val="00724FF9"/>
    <w:rsid w:val="007301B7"/>
    <w:rsid w:val="00731BF5"/>
    <w:rsid w:val="00737010"/>
    <w:rsid w:val="00742DFC"/>
    <w:rsid w:val="00744D09"/>
    <w:rsid w:val="00751A9C"/>
    <w:rsid w:val="0075470A"/>
    <w:rsid w:val="007616DD"/>
    <w:rsid w:val="0076558D"/>
    <w:rsid w:val="00770E7F"/>
    <w:rsid w:val="007752B6"/>
    <w:rsid w:val="00782A15"/>
    <w:rsid w:val="007A090E"/>
    <w:rsid w:val="007B7585"/>
    <w:rsid w:val="007C09E5"/>
    <w:rsid w:val="007D02AB"/>
    <w:rsid w:val="007D2AA2"/>
    <w:rsid w:val="007D51A8"/>
    <w:rsid w:val="007D54D2"/>
    <w:rsid w:val="007D5D57"/>
    <w:rsid w:val="007E1F3A"/>
    <w:rsid w:val="007E3F83"/>
    <w:rsid w:val="007E5DDD"/>
    <w:rsid w:val="007E627C"/>
    <w:rsid w:val="007E664A"/>
    <w:rsid w:val="00802376"/>
    <w:rsid w:val="00820318"/>
    <w:rsid w:val="0082267E"/>
    <w:rsid w:val="0083072B"/>
    <w:rsid w:val="00833E65"/>
    <w:rsid w:val="008340DB"/>
    <w:rsid w:val="008363E9"/>
    <w:rsid w:val="00837256"/>
    <w:rsid w:val="008379FC"/>
    <w:rsid w:val="008400AE"/>
    <w:rsid w:val="00845D57"/>
    <w:rsid w:val="00846DDD"/>
    <w:rsid w:val="008506BD"/>
    <w:rsid w:val="0086329E"/>
    <w:rsid w:val="00864A32"/>
    <w:rsid w:val="00867AE0"/>
    <w:rsid w:val="00871149"/>
    <w:rsid w:val="00885D6C"/>
    <w:rsid w:val="0088749C"/>
    <w:rsid w:val="008927B0"/>
    <w:rsid w:val="0089456C"/>
    <w:rsid w:val="00896FD0"/>
    <w:rsid w:val="008A0755"/>
    <w:rsid w:val="008A26B9"/>
    <w:rsid w:val="008A4139"/>
    <w:rsid w:val="008A70F4"/>
    <w:rsid w:val="008B2082"/>
    <w:rsid w:val="008C58CC"/>
    <w:rsid w:val="008D01C3"/>
    <w:rsid w:val="008D0BC4"/>
    <w:rsid w:val="008D1B3F"/>
    <w:rsid w:val="008D5D84"/>
    <w:rsid w:val="008D7878"/>
    <w:rsid w:val="008E029D"/>
    <w:rsid w:val="008E13ED"/>
    <w:rsid w:val="008E24F4"/>
    <w:rsid w:val="008F15D0"/>
    <w:rsid w:val="008F5F24"/>
    <w:rsid w:val="00902CA5"/>
    <w:rsid w:val="009133E4"/>
    <w:rsid w:val="0091697C"/>
    <w:rsid w:val="00943DB7"/>
    <w:rsid w:val="009458F0"/>
    <w:rsid w:val="00946B12"/>
    <w:rsid w:val="00955BDF"/>
    <w:rsid w:val="00957EC6"/>
    <w:rsid w:val="00964E24"/>
    <w:rsid w:val="00972B32"/>
    <w:rsid w:val="009730A7"/>
    <w:rsid w:val="00973263"/>
    <w:rsid w:val="00974A58"/>
    <w:rsid w:val="00975F2D"/>
    <w:rsid w:val="00982F36"/>
    <w:rsid w:val="0098368F"/>
    <w:rsid w:val="009839B0"/>
    <w:rsid w:val="00983AE0"/>
    <w:rsid w:val="00986EFB"/>
    <w:rsid w:val="009918EB"/>
    <w:rsid w:val="00992B7B"/>
    <w:rsid w:val="00994734"/>
    <w:rsid w:val="00996FA3"/>
    <w:rsid w:val="00997A90"/>
    <w:rsid w:val="009A0611"/>
    <w:rsid w:val="009A3967"/>
    <w:rsid w:val="009B04CB"/>
    <w:rsid w:val="009B7E05"/>
    <w:rsid w:val="009C2041"/>
    <w:rsid w:val="009C3B24"/>
    <w:rsid w:val="009C47E4"/>
    <w:rsid w:val="009C6999"/>
    <w:rsid w:val="009D1CA3"/>
    <w:rsid w:val="009D36AD"/>
    <w:rsid w:val="009D53E4"/>
    <w:rsid w:val="009D5D7D"/>
    <w:rsid w:val="009E26BF"/>
    <w:rsid w:val="009E76B9"/>
    <w:rsid w:val="009F4559"/>
    <w:rsid w:val="009F6265"/>
    <w:rsid w:val="00A0241B"/>
    <w:rsid w:val="00A02AAF"/>
    <w:rsid w:val="00A14B0A"/>
    <w:rsid w:val="00A16B0F"/>
    <w:rsid w:val="00A16EA2"/>
    <w:rsid w:val="00A50DF7"/>
    <w:rsid w:val="00A52E53"/>
    <w:rsid w:val="00A53E86"/>
    <w:rsid w:val="00A65985"/>
    <w:rsid w:val="00A72A45"/>
    <w:rsid w:val="00A73425"/>
    <w:rsid w:val="00A80EDD"/>
    <w:rsid w:val="00A87F6C"/>
    <w:rsid w:val="00A907CA"/>
    <w:rsid w:val="00A9194D"/>
    <w:rsid w:val="00A9362F"/>
    <w:rsid w:val="00AB1B32"/>
    <w:rsid w:val="00AB3C3B"/>
    <w:rsid w:val="00AC36A9"/>
    <w:rsid w:val="00AD2251"/>
    <w:rsid w:val="00AD6619"/>
    <w:rsid w:val="00AD6808"/>
    <w:rsid w:val="00AD7538"/>
    <w:rsid w:val="00AD777C"/>
    <w:rsid w:val="00AE742B"/>
    <w:rsid w:val="00AF1959"/>
    <w:rsid w:val="00AF76A1"/>
    <w:rsid w:val="00B0332F"/>
    <w:rsid w:val="00B079AD"/>
    <w:rsid w:val="00B07EC9"/>
    <w:rsid w:val="00B15155"/>
    <w:rsid w:val="00B20FAA"/>
    <w:rsid w:val="00B21146"/>
    <w:rsid w:val="00B21DD8"/>
    <w:rsid w:val="00B37EB1"/>
    <w:rsid w:val="00B40534"/>
    <w:rsid w:val="00B4078E"/>
    <w:rsid w:val="00B52EA9"/>
    <w:rsid w:val="00B57050"/>
    <w:rsid w:val="00B701D5"/>
    <w:rsid w:val="00B732F4"/>
    <w:rsid w:val="00B75544"/>
    <w:rsid w:val="00B76203"/>
    <w:rsid w:val="00B7627C"/>
    <w:rsid w:val="00B9323B"/>
    <w:rsid w:val="00B95861"/>
    <w:rsid w:val="00B973D6"/>
    <w:rsid w:val="00BA311B"/>
    <w:rsid w:val="00BB0E86"/>
    <w:rsid w:val="00BB28B8"/>
    <w:rsid w:val="00BB4EED"/>
    <w:rsid w:val="00BB5B64"/>
    <w:rsid w:val="00BB743A"/>
    <w:rsid w:val="00BC1364"/>
    <w:rsid w:val="00BC1E59"/>
    <w:rsid w:val="00BF28E7"/>
    <w:rsid w:val="00BF3824"/>
    <w:rsid w:val="00BF4502"/>
    <w:rsid w:val="00C10B72"/>
    <w:rsid w:val="00C1517D"/>
    <w:rsid w:val="00C250D2"/>
    <w:rsid w:val="00C3005F"/>
    <w:rsid w:val="00C3191D"/>
    <w:rsid w:val="00C31BA3"/>
    <w:rsid w:val="00C41CD1"/>
    <w:rsid w:val="00C44AB9"/>
    <w:rsid w:val="00C46579"/>
    <w:rsid w:val="00C6581A"/>
    <w:rsid w:val="00C66733"/>
    <w:rsid w:val="00C71097"/>
    <w:rsid w:val="00C756E6"/>
    <w:rsid w:val="00C8273C"/>
    <w:rsid w:val="00C967D4"/>
    <w:rsid w:val="00CA485B"/>
    <w:rsid w:val="00CA6453"/>
    <w:rsid w:val="00CB4890"/>
    <w:rsid w:val="00CB4BAF"/>
    <w:rsid w:val="00CC6E44"/>
    <w:rsid w:val="00CC7A77"/>
    <w:rsid w:val="00CE1D0A"/>
    <w:rsid w:val="00CF095A"/>
    <w:rsid w:val="00D0012E"/>
    <w:rsid w:val="00D01C7B"/>
    <w:rsid w:val="00D07C05"/>
    <w:rsid w:val="00D14022"/>
    <w:rsid w:val="00D140EC"/>
    <w:rsid w:val="00D21A4B"/>
    <w:rsid w:val="00D21EC6"/>
    <w:rsid w:val="00D22025"/>
    <w:rsid w:val="00D25A6F"/>
    <w:rsid w:val="00D44E70"/>
    <w:rsid w:val="00D5280C"/>
    <w:rsid w:val="00D55196"/>
    <w:rsid w:val="00D62F7F"/>
    <w:rsid w:val="00D638C3"/>
    <w:rsid w:val="00D65D41"/>
    <w:rsid w:val="00D72AD2"/>
    <w:rsid w:val="00D72F10"/>
    <w:rsid w:val="00D735DE"/>
    <w:rsid w:val="00D75AC0"/>
    <w:rsid w:val="00D75C5E"/>
    <w:rsid w:val="00D81274"/>
    <w:rsid w:val="00D8399D"/>
    <w:rsid w:val="00D86FA5"/>
    <w:rsid w:val="00D90C8B"/>
    <w:rsid w:val="00D91921"/>
    <w:rsid w:val="00D94B4F"/>
    <w:rsid w:val="00DA3D44"/>
    <w:rsid w:val="00DA4293"/>
    <w:rsid w:val="00DA4932"/>
    <w:rsid w:val="00DB1408"/>
    <w:rsid w:val="00DB176F"/>
    <w:rsid w:val="00DB1CE2"/>
    <w:rsid w:val="00DB1D33"/>
    <w:rsid w:val="00DB2540"/>
    <w:rsid w:val="00DB3859"/>
    <w:rsid w:val="00DC01E3"/>
    <w:rsid w:val="00DC2AEA"/>
    <w:rsid w:val="00DC361A"/>
    <w:rsid w:val="00DC638E"/>
    <w:rsid w:val="00DD6A5F"/>
    <w:rsid w:val="00DE41F1"/>
    <w:rsid w:val="00DE5EFE"/>
    <w:rsid w:val="00DF6454"/>
    <w:rsid w:val="00E21112"/>
    <w:rsid w:val="00E21D71"/>
    <w:rsid w:val="00E26809"/>
    <w:rsid w:val="00E33DB6"/>
    <w:rsid w:val="00E40CCB"/>
    <w:rsid w:val="00E4340D"/>
    <w:rsid w:val="00E43620"/>
    <w:rsid w:val="00E44CE7"/>
    <w:rsid w:val="00E53719"/>
    <w:rsid w:val="00E62598"/>
    <w:rsid w:val="00E66629"/>
    <w:rsid w:val="00E80186"/>
    <w:rsid w:val="00E809BE"/>
    <w:rsid w:val="00E847CA"/>
    <w:rsid w:val="00E90CFC"/>
    <w:rsid w:val="00E91B48"/>
    <w:rsid w:val="00E91DDF"/>
    <w:rsid w:val="00E91FC1"/>
    <w:rsid w:val="00EA576E"/>
    <w:rsid w:val="00EB02AE"/>
    <w:rsid w:val="00EB0BCC"/>
    <w:rsid w:val="00EB52E9"/>
    <w:rsid w:val="00EB77AF"/>
    <w:rsid w:val="00ED6007"/>
    <w:rsid w:val="00EE4E72"/>
    <w:rsid w:val="00F11E84"/>
    <w:rsid w:val="00F21C15"/>
    <w:rsid w:val="00F2337C"/>
    <w:rsid w:val="00F25E03"/>
    <w:rsid w:val="00F30B35"/>
    <w:rsid w:val="00F33B27"/>
    <w:rsid w:val="00F4013A"/>
    <w:rsid w:val="00F425CE"/>
    <w:rsid w:val="00F43EA9"/>
    <w:rsid w:val="00F44C0F"/>
    <w:rsid w:val="00F463F6"/>
    <w:rsid w:val="00F50380"/>
    <w:rsid w:val="00F51A09"/>
    <w:rsid w:val="00F53BC1"/>
    <w:rsid w:val="00F5661D"/>
    <w:rsid w:val="00F73A29"/>
    <w:rsid w:val="00F75BCF"/>
    <w:rsid w:val="00F87292"/>
    <w:rsid w:val="00FB7DEF"/>
    <w:rsid w:val="00FC0656"/>
    <w:rsid w:val="00FC090A"/>
    <w:rsid w:val="00FC10DF"/>
    <w:rsid w:val="00FD2170"/>
    <w:rsid w:val="00FD7B02"/>
    <w:rsid w:val="00FF202A"/>
    <w:rsid w:val="00FF3739"/>
    <w:rsid w:val="00FF4151"/>
    <w:rsid w:val="00FF41EE"/>
    <w:rsid w:val="00FF4443"/>
    <w:rsid w:val="00FF47AE"/>
    <w:rsid w:val="1BF72B2F"/>
    <w:rsid w:val="79ECA5B2"/>
    <w:rsid w:val="EBF1A692"/>
    <w:rsid w:val="F7B61571"/>
    <w:rsid w:val="FBF72917"/>
    <w:rsid w:val="FF7B65E6"/>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ru-RU" w:eastAsia="ru-RU" w:bidi="ar-SA"/>
    </w:rPr>
  </w:style>
  <w:style w:type="paragraph" w:styleId="2">
    <w:name w:val="heading 1"/>
    <w:basedOn w:val="1"/>
    <w:next w:val="1"/>
    <w:link w:val="17"/>
    <w:qFormat/>
    <w:uiPriority w:val="99"/>
    <w:pPr>
      <w:keepNext/>
      <w:numPr>
        <w:ilvl w:val="0"/>
        <w:numId w:val="1"/>
      </w:numPr>
      <w:suppressAutoHyphens/>
      <w:ind w:left="0"/>
      <w:jc w:val="right"/>
      <w:outlineLvl w:val="0"/>
    </w:pPr>
    <w:rPr>
      <w:rFonts w:cs="Lucida Sans Unicode"/>
      <w:color w:val="0000FF"/>
      <w:sz w:val="28"/>
      <w:lang w:eastAsia="ar-SA"/>
    </w:rPr>
  </w:style>
  <w:style w:type="paragraph" w:styleId="3">
    <w:name w:val="heading 2"/>
    <w:basedOn w:val="1"/>
    <w:next w:val="1"/>
    <w:link w:val="18"/>
    <w:unhideWhenUsed/>
    <w:qFormat/>
    <w:uiPriority w:val="99"/>
    <w:pPr>
      <w:keepNext/>
      <w:numPr>
        <w:ilvl w:val="1"/>
        <w:numId w:val="1"/>
      </w:numPr>
      <w:suppressAutoHyphens/>
      <w:ind w:left="0"/>
      <w:jc w:val="center"/>
      <w:outlineLvl w:val="1"/>
    </w:pPr>
    <w:rPr>
      <w:rFonts w:cs="Lucida Sans Unicode"/>
      <w:sz w:val="28"/>
      <w:lang w:eastAsia="ar-SA"/>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semiHidden/>
    <w:uiPriority w:val="0"/>
    <w:rPr>
      <w:rFonts w:ascii="Tahoma" w:hAnsi="Tahoma" w:cs="Tahoma"/>
      <w:sz w:val="16"/>
      <w:szCs w:val="16"/>
    </w:rPr>
  </w:style>
  <w:style w:type="paragraph" w:styleId="7">
    <w:name w:val="Body Text"/>
    <w:basedOn w:val="1"/>
    <w:link w:val="16"/>
    <w:uiPriority w:val="0"/>
    <w:pPr>
      <w:suppressAutoHyphens/>
      <w:jc w:val="both"/>
    </w:pPr>
    <w:rPr>
      <w:rFonts w:eastAsia="Calibri" w:cs="Lucida Sans Unicode"/>
      <w:sz w:val="28"/>
      <w:lang w:eastAsia="ar-SA"/>
    </w:rPr>
  </w:style>
  <w:style w:type="paragraph" w:styleId="8">
    <w:name w:val="Body Text 2"/>
    <w:basedOn w:val="1"/>
    <w:link w:val="23"/>
    <w:semiHidden/>
    <w:unhideWhenUsed/>
    <w:uiPriority w:val="99"/>
    <w:pPr>
      <w:spacing w:after="120" w:line="480" w:lineRule="auto"/>
    </w:pPr>
  </w:style>
  <w:style w:type="character" w:styleId="9">
    <w:name w:val="Emphasis"/>
    <w:qFormat/>
    <w:uiPriority w:val="99"/>
    <w:rPr>
      <w:rFonts w:cs="Times New Roman"/>
      <w:i/>
    </w:rPr>
  </w:style>
  <w:style w:type="paragraph" w:styleId="10">
    <w:name w:val="footer"/>
    <w:basedOn w:val="1"/>
    <w:link w:val="30"/>
    <w:unhideWhenUsed/>
    <w:uiPriority w:val="99"/>
    <w:pPr>
      <w:tabs>
        <w:tab w:val="center" w:pos="4677"/>
        <w:tab w:val="right" w:pos="9355"/>
      </w:tabs>
    </w:pPr>
  </w:style>
  <w:style w:type="paragraph" w:styleId="11">
    <w:name w:val="header"/>
    <w:basedOn w:val="1"/>
    <w:link w:val="29"/>
    <w:unhideWhenUsed/>
    <w:uiPriority w:val="99"/>
    <w:pPr>
      <w:tabs>
        <w:tab w:val="center" w:pos="4677"/>
        <w:tab w:val="right" w:pos="9355"/>
      </w:tabs>
    </w:pPr>
  </w:style>
  <w:style w:type="paragraph" w:styleId="12">
    <w:name w:val="HTML Preformatted"/>
    <w:basedOn w:val="1"/>
    <w:link w:val="24"/>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13">
    <w:name w:val="Hyperlink"/>
    <w:basedOn w:val="4"/>
    <w:uiPriority w:val="0"/>
    <w:rPr>
      <w:color w:val="0000FF"/>
      <w:u w:val="single"/>
    </w:rPr>
  </w:style>
  <w:style w:type="paragraph" w:styleId="14">
    <w:name w:val="Normal (Web)"/>
    <w:basedOn w:val="1"/>
    <w:semiHidden/>
    <w:unhideWhenUsed/>
    <w:uiPriority w:val="99"/>
    <w:pPr>
      <w:spacing w:before="100" w:beforeAutospacing="1" w:after="100" w:afterAutospacing="1"/>
    </w:pPr>
    <w:rPr>
      <w:rFonts w:eastAsiaTheme="minorEastAsia"/>
    </w:rPr>
  </w:style>
  <w:style w:type="table" w:styleId="15">
    <w:name w:val="Table Grid"/>
    <w:basedOn w:val="5"/>
    <w:uiPriority w:val="3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6">
    <w:name w:val="Основний текст Знак"/>
    <w:basedOn w:val="4"/>
    <w:link w:val="7"/>
    <w:uiPriority w:val="0"/>
    <w:rPr>
      <w:rFonts w:eastAsia="Calibri" w:cs="Lucida Sans Unicode"/>
      <w:sz w:val="28"/>
      <w:szCs w:val="24"/>
      <w:lang w:val="ru-RU" w:eastAsia="ar-SA"/>
    </w:rPr>
  </w:style>
  <w:style w:type="character" w:customStyle="1" w:styleId="17">
    <w:name w:val="Заголовок 1 Знак"/>
    <w:basedOn w:val="4"/>
    <w:link w:val="2"/>
    <w:uiPriority w:val="99"/>
    <w:rPr>
      <w:rFonts w:cs="Lucida Sans Unicode"/>
      <w:color w:val="0000FF"/>
      <w:sz w:val="28"/>
      <w:szCs w:val="24"/>
      <w:lang w:val="ru-RU" w:eastAsia="ar-SA"/>
    </w:rPr>
  </w:style>
  <w:style w:type="character" w:customStyle="1" w:styleId="18">
    <w:name w:val="Заголовок 2 Знак"/>
    <w:basedOn w:val="4"/>
    <w:link w:val="3"/>
    <w:qFormat/>
    <w:uiPriority w:val="0"/>
    <w:rPr>
      <w:rFonts w:cs="Lucida Sans Unicode"/>
      <w:sz w:val="28"/>
      <w:szCs w:val="24"/>
      <w:lang w:val="ru-RU" w:eastAsia="ar-SA"/>
    </w:rPr>
  </w:style>
  <w:style w:type="paragraph" w:styleId="19">
    <w:name w:val="List Paragraph"/>
    <w:basedOn w:val="1"/>
    <w:qFormat/>
    <w:uiPriority w:val="99"/>
    <w:pPr>
      <w:suppressAutoHyphens/>
      <w:ind w:left="720"/>
      <w:contextualSpacing/>
    </w:pPr>
    <w:rPr>
      <w:rFonts w:cs="Lucida Sans Unicode"/>
      <w:lang w:eastAsia="ar-SA"/>
    </w:rPr>
  </w:style>
  <w:style w:type="character" w:customStyle="1" w:styleId="20">
    <w:name w:val="hps"/>
    <w:basedOn w:val="4"/>
    <w:qFormat/>
    <w:uiPriority w:val="0"/>
  </w:style>
  <w:style w:type="paragraph" w:customStyle="1" w:styleId="21">
    <w:name w:val="rtejustify"/>
    <w:basedOn w:val="1"/>
    <w:uiPriority w:val="0"/>
    <w:pPr>
      <w:spacing w:before="100" w:beforeAutospacing="1" w:after="100" w:afterAutospacing="1"/>
    </w:pPr>
  </w:style>
  <w:style w:type="character" w:customStyle="1" w:styleId="22">
    <w:name w:val="js-apiid"/>
    <w:basedOn w:val="4"/>
    <w:uiPriority w:val="0"/>
  </w:style>
  <w:style w:type="character" w:customStyle="1" w:styleId="23">
    <w:name w:val="Основний текст 2 Знак"/>
    <w:basedOn w:val="4"/>
    <w:link w:val="8"/>
    <w:semiHidden/>
    <w:uiPriority w:val="99"/>
    <w:rPr>
      <w:sz w:val="24"/>
      <w:szCs w:val="24"/>
      <w:lang w:val="ru-RU" w:eastAsia="ru-RU"/>
    </w:rPr>
  </w:style>
  <w:style w:type="character" w:customStyle="1" w:styleId="24">
    <w:name w:val="Стандартний HTML Знак"/>
    <w:basedOn w:val="4"/>
    <w:link w:val="12"/>
    <w:uiPriority w:val="99"/>
    <w:rPr>
      <w:rFonts w:ascii="Courier New" w:hAnsi="Courier New" w:cs="Courier New"/>
      <w:lang w:val="ru-RU" w:eastAsia="ru-RU"/>
    </w:rPr>
  </w:style>
  <w:style w:type="paragraph" w:customStyle="1" w:styleId="25">
    <w:name w:val="Standard"/>
    <w:uiPriority w:val="0"/>
    <w:pPr>
      <w:suppressAutoHyphens/>
      <w:autoSpaceDN w:val="0"/>
      <w:textAlignment w:val="baseline"/>
    </w:pPr>
    <w:rPr>
      <w:rFonts w:ascii="Liberation Serif" w:hAnsi="Liberation Serif" w:eastAsia="NSimSun" w:cs="Arial"/>
      <w:kern w:val="3"/>
      <w:sz w:val="24"/>
      <w:szCs w:val="24"/>
      <w:lang w:val="uk-UA" w:eastAsia="zh-CN" w:bidi="hi-IN"/>
    </w:rPr>
  </w:style>
  <w:style w:type="paragraph" w:customStyle="1" w:styleId="26">
    <w:name w:val="Default"/>
    <w:uiPriority w:val="0"/>
    <w:pPr>
      <w:autoSpaceDE w:val="0"/>
      <w:autoSpaceDN w:val="0"/>
      <w:adjustRightInd w:val="0"/>
    </w:pPr>
    <w:rPr>
      <w:rFonts w:ascii="Times New Roman" w:hAnsi="Times New Roman" w:eastAsia="Times New Roman" w:cs="Times New Roman"/>
      <w:color w:val="000000"/>
      <w:sz w:val="24"/>
      <w:szCs w:val="24"/>
      <w:lang w:val="uk-UA" w:eastAsia="uk-UA" w:bidi="ar-SA"/>
    </w:rPr>
  </w:style>
  <w:style w:type="character" w:customStyle="1" w:styleId="27">
    <w:name w:val="xfm_33853377"/>
    <w:basedOn w:val="4"/>
    <w:uiPriority w:val="0"/>
  </w:style>
  <w:style w:type="paragraph" w:styleId="28">
    <w:name w:val="No Spacing"/>
    <w:link w:val="32"/>
    <w:qFormat/>
    <w:uiPriority w:val="1"/>
    <w:rPr>
      <w:rFonts w:ascii="Calibri" w:hAnsi="Calibri" w:eastAsia="Times New Roman" w:cs="Calibri"/>
      <w:sz w:val="22"/>
      <w:szCs w:val="22"/>
      <w:lang w:val="uk-UA" w:eastAsia="en-US" w:bidi="ar-SA"/>
    </w:rPr>
  </w:style>
  <w:style w:type="character" w:customStyle="1" w:styleId="29">
    <w:name w:val="Верхній колонтитул Знак"/>
    <w:basedOn w:val="4"/>
    <w:link w:val="11"/>
    <w:uiPriority w:val="99"/>
    <w:rPr>
      <w:sz w:val="24"/>
      <w:szCs w:val="24"/>
      <w:lang w:val="ru-RU" w:eastAsia="ru-RU"/>
    </w:rPr>
  </w:style>
  <w:style w:type="character" w:customStyle="1" w:styleId="30">
    <w:name w:val="Нижній колонтитул Знак"/>
    <w:basedOn w:val="4"/>
    <w:link w:val="10"/>
    <w:uiPriority w:val="99"/>
    <w:rPr>
      <w:sz w:val="24"/>
      <w:szCs w:val="24"/>
      <w:lang w:val="ru-RU" w:eastAsia="ru-RU"/>
    </w:rPr>
  </w:style>
  <w:style w:type="paragraph" w:customStyle="1" w:styleId="31">
    <w:name w:val="Основной текст1"/>
    <w:basedOn w:val="1"/>
    <w:uiPriority w:val="0"/>
    <w:pPr>
      <w:shd w:val="clear" w:color="auto" w:fill="FFFFFF"/>
      <w:spacing w:line="284" w:lineRule="exact"/>
    </w:pPr>
    <w:rPr>
      <w:sz w:val="25"/>
      <w:szCs w:val="25"/>
    </w:rPr>
  </w:style>
  <w:style w:type="character" w:customStyle="1" w:styleId="32">
    <w:name w:val="Без інтервалів Знак"/>
    <w:link w:val="28"/>
    <w:qFormat/>
    <w:locked/>
    <w:uiPriority w:val="1"/>
    <w:rPr>
      <w:rFonts w:ascii="Calibri" w:hAnsi="Calibri" w:cs="Calibri"/>
      <w:sz w:val="22"/>
      <w:szCs w:val="22"/>
      <w:lang w:eastAsia="en-US"/>
    </w:rPr>
  </w:style>
  <w:style w:type="paragraph" w:customStyle="1" w:styleId="33">
    <w:name w:val="Без интервала2"/>
    <w:link w:val="34"/>
    <w:qFormat/>
    <w:uiPriority w:val="0"/>
    <w:pPr>
      <w:suppressAutoHyphens/>
    </w:pPr>
    <w:rPr>
      <w:rFonts w:ascii="Calibri" w:hAnsi="Calibri" w:eastAsia="Times New Roman" w:cs="Times New Roman"/>
      <w:sz w:val="24"/>
      <w:szCs w:val="22"/>
      <w:lang w:val="ru-RU" w:eastAsia="zh-CN" w:bidi="ar-SA"/>
    </w:rPr>
  </w:style>
  <w:style w:type="character" w:customStyle="1" w:styleId="34">
    <w:name w:val="No Spacing Char1"/>
    <w:link w:val="33"/>
    <w:locked/>
    <w:uiPriority w:val="0"/>
    <w:rPr>
      <w:rFonts w:ascii="Calibri" w:hAnsi="Calibri"/>
      <w:sz w:val="24"/>
      <w:szCs w:val="22"/>
      <w:lang w:val="ru-RU" w:eastAsia="zh-CN"/>
    </w:rPr>
  </w:style>
  <w:style w:type="table" w:customStyle="1" w:styleId="35">
    <w:name w:val="Сетка таблицы1"/>
    <w:basedOn w:val="5"/>
    <w:uiPriority w:val="39"/>
    <w:rPr>
      <w:sz w:val="22"/>
      <w:szCs w:val="22"/>
      <w:lang w:val="uk"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6">
    <w:name w:val="Другое_"/>
    <w:basedOn w:val="4"/>
    <w:link w:val="37"/>
    <w:uiPriority w:val="0"/>
    <w:rPr>
      <w:shd w:val="clear" w:color="auto" w:fill="FFFFFF"/>
    </w:rPr>
  </w:style>
  <w:style w:type="paragraph" w:customStyle="1" w:styleId="37">
    <w:name w:val="Другое"/>
    <w:basedOn w:val="1"/>
    <w:link w:val="36"/>
    <w:uiPriority w:val="0"/>
    <w:pPr>
      <w:widowControl w:val="0"/>
      <w:shd w:val="clear" w:color="auto" w:fill="FFFFFF"/>
    </w:pPr>
    <w:rPr>
      <w:sz w:val="20"/>
      <w:szCs w:val="20"/>
      <w:lang w:val="uk-UA" w:eastAsia="uk-UA"/>
    </w:rPr>
  </w:style>
  <w:style w:type="table" w:customStyle="1" w:styleId="38">
    <w:name w:val="Сетка таблицы12"/>
    <w:basedOn w:val="5"/>
    <w:uiPriority w:val="39"/>
    <w:pPr>
      <w:spacing w:line="240" w:lineRule="auto"/>
    </w:pPr>
    <w:rPr>
      <w:rFonts w:ascii="Times New Roman" w:hAnsi="Times New Roman" w:eastAsia="Times New Roman" w:cs="Times New Roman"/>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Home</Company>
  <Pages>2</Pages>
  <Words>3282</Words>
  <Characters>1871</Characters>
  <Lines>15</Lines>
  <Paragraphs>10</Paragraphs>
  <TotalTime>15</TotalTime>
  <ScaleCrop>false</ScaleCrop>
  <LinksUpToDate>false</LinksUpToDate>
  <CharactersWithSpaces>5143</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2023-02-13T07:33:00Z</dcterms:created>
  <dc:creator>Gans</dc:creator>
  <cp:lastModifiedBy>apple</cp:lastModifiedBy>
  <cp:lastPrinted>2025-03-28T07:26:00Z</cp:lastPrinted>
  <dcterms:modified xsi:type="dcterms:W3CDTF">2026-06-01T12:17:14Z</dcterms:modified>
  <cp:revision>146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1D83406858821EAEA54DB8694ADE5725_42</vt:lpwstr>
  </property>
</Properties>
</file>