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C87" w:rsidRPr="00151229" w:rsidRDefault="00743DC9" w:rsidP="005A2C87">
      <w:pPr>
        <w:spacing w:after="0" w:line="240" w:lineRule="auto"/>
        <w:ind w:left="5660" w:firstLine="700"/>
        <w:jc w:val="right"/>
        <w:rPr>
          <w:rFonts w:ascii="Times New Roman" w:eastAsia="Times New Roman" w:hAnsi="Times New Roman" w:cs="Times New Roman"/>
          <w:i/>
          <w:sz w:val="24"/>
          <w:szCs w:val="24"/>
        </w:rPr>
      </w:pPr>
      <w:r w:rsidRPr="00151229">
        <w:rPr>
          <w:rFonts w:ascii="Times New Roman" w:eastAsia="Times New Roman" w:hAnsi="Times New Roman" w:cs="Times New Roman"/>
          <w:i/>
          <w:color w:val="000000"/>
          <w:sz w:val="24"/>
          <w:szCs w:val="24"/>
        </w:rPr>
        <w:t>Додаток</w:t>
      </w:r>
      <w:r w:rsidR="005A2C87" w:rsidRPr="00151229">
        <w:rPr>
          <w:rFonts w:ascii="Times New Roman" w:eastAsia="Times New Roman" w:hAnsi="Times New Roman" w:cs="Times New Roman"/>
          <w:i/>
          <w:color w:val="000000"/>
          <w:sz w:val="24"/>
          <w:szCs w:val="24"/>
        </w:rPr>
        <w:t xml:space="preserve"> 2</w:t>
      </w:r>
    </w:p>
    <w:p w:rsidR="005A2C87" w:rsidRPr="00151229" w:rsidRDefault="005A2C87" w:rsidP="005A2C87">
      <w:pPr>
        <w:spacing w:after="0" w:line="240" w:lineRule="auto"/>
        <w:ind w:left="5660" w:firstLine="700"/>
        <w:jc w:val="right"/>
        <w:rPr>
          <w:rFonts w:ascii="Times New Roman" w:eastAsia="Times New Roman" w:hAnsi="Times New Roman" w:cs="Times New Roman"/>
          <w:i/>
          <w:sz w:val="24"/>
          <w:szCs w:val="24"/>
        </w:rPr>
      </w:pPr>
      <w:r w:rsidRPr="00151229">
        <w:rPr>
          <w:rFonts w:ascii="Times New Roman" w:eastAsia="Times New Roman" w:hAnsi="Times New Roman" w:cs="Times New Roman"/>
          <w:i/>
          <w:color w:val="000000"/>
          <w:sz w:val="24"/>
          <w:szCs w:val="24"/>
        </w:rPr>
        <w:t>до тендерної документації</w:t>
      </w:r>
    </w:p>
    <w:p w:rsidR="005A2C87" w:rsidRPr="00580FED" w:rsidRDefault="005A2C87" w:rsidP="005A2C87">
      <w:pPr>
        <w:spacing w:after="0" w:line="240" w:lineRule="auto"/>
        <w:jc w:val="center"/>
        <w:rPr>
          <w:rFonts w:ascii="Times New Roman" w:hAnsi="Times New Roman"/>
          <w:sz w:val="28"/>
          <w:szCs w:val="28"/>
        </w:rPr>
      </w:pPr>
    </w:p>
    <w:p w:rsidR="005B2F5E" w:rsidRPr="005B2F5E" w:rsidRDefault="005B2F5E" w:rsidP="005B2F5E">
      <w:pPr>
        <w:tabs>
          <w:tab w:val="left" w:pos="426"/>
        </w:tabs>
        <w:spacing w:after="0" w:line="240" w:lineRule="auto"/>
        <w:ind w:right="-142"/>
        <w:jc w:val="center"/>
        <w:rPr>
          <w:rFonts w:ascii="Times New Roman" w:hAnsi="Times New Roman" w:cs="Times New Roman"/>
          <w:b/>
          <w:bCs/>
          <w:sz w:val="24"/>
          <w:szCs w:val="24"/>
        </w:rPr>
      </w:pPr>
      <w:r w:rsidRPr="005B2F5E">
        <w:rPr>
          <w:rFonts w:ascii="Times New Roman" w:hAnsi="Times New Roman" w:cs="Times New Roman"/>
          <w:b/>
          <w:bCs/>
          <w:sz w:val="24"/>
          <w:szCs w:val="24"/>
        </w:rPr>
        <w:t xml:space="preserve">ІНФОРМАЦІЯ ПРО ТЕХНІЧНІ, ЯКІСНІ ТА КІЛЬКІСНІ ХАРАКТЕРИСТИКИ </w:t>
      </w:r>
    </w:p>
    <w:p w:rsidR="005B2F5E" w:rsidRDefault="00B72DA1" w:rsidP="005B2F5E">
      <w:pPr>
        <w:tabs>
          <w:tab w:val="left" w:pos="426"/>
        </w:tabs>
        <w:spacing w:after="0" w:line="240" w:lineRule="auto"/>
        <w:ind w:right="-142"/>
        <w:jc w:val="center"/>
        <w:rPr>
          <w:rFonts w:ascii="Times New Roman" w:hAnsi="Times New Roman" w:cs="Times New Roman"/>
          <w:b/>
          <w:bCs/>
          <w:sz w:val="24"/>
          <w:szCs w:val="24"/>
        </w:rPr>
      </w:pPr>
      <w:r>
        <w:rPr>
          <w:rFonts w:ascii="Times New Roman" w:hAnsi="Times New Roman" w:cs="Times New Roman"/>
          <w:b/>
          <w:bCs/>
          <w:sz w:val="24"/>
          <w:szCs w:val="24"/>
        </w:rPr>
        <w:t>ПРЕДМЕТА ЗАКУПІВЛІ</w:t>
      </w:r>
    </w:p>
    <w:p w:rsidR="00B72DA1" w:rsidRDefault="00B72DA1" w:rsidP="005B2F5E">
      <w:pPr>
        <w:tabs>
          <w:tab w:val="left" w:pos="426"/>
        </w:tabs>
        <w:spacing w:after="0" w:line="240" w:lineRule="auto"/>
        <w:ind w:right="-142"/>
        <w:jc w:val="center"/>
        <w:rPr>
          <w:rFonts w:ascii="Times New Roman" w:hAnsi="Times New Roman" w:cs="Times New Roman"/>
          <w:b/>
          <w:bCs/>
          <w:sz w:val="24"/>
          <w:szCs w:val="24"/>
        </w:rPr>
      </w:pPr>
    </w:p>
    <w:p w:rsidR="00B72DA1" w:rsidRPr="00B72DA1" w:rsidRDefault="00B72DA1" w:rsidP="00B72DA1">
      <w:pPr>
        <w:spacing w:after="0" w:line="240" w:lineRule="auto"/>
        <w:ind w:firstLine="284"/>
        <w:jc w:val="both"/>
        <w:rPr>
          <w:rFonts w:ascii="Times New Roman" w:hAnsi="Times New Roman" w:cs="Times New Roman"/>
          <w:sz w:val="24"/>
          <w:szCs w:val="24"/>
        </w:rPr>
      </w:pPr>
      <w:r w:rsidRPr="00B72DA1">
        <w:rPr>
          <w:rFonts w:ascii="Times New Roman" w:hAnsi="Times New Roman" w:cs="Times New Roman"/>
          <w:sz w:val="24"/>
          <w:szCs w:val="24"/>
        </w:rPr>
        <w:t>Для підтвердження відповідності тендерної пропозиції технічним, якісним та іншим вимогам замовника, Учасник у складі тендерної пропозиції повинен надати:</w:t>
      </w:r>
    </w:p>
    <w:p w:rsidR="00B72DA1" w:rsidRPr="00B72DA1" w:rsidRDefault="00B72DA1" w:rsidP="00B72DA1">
      <w:pPr>
        <w:spacing w:after="0" w:line="240" w:lineRule="auto"/>
        <w:ind w:firstLine="284"/>
        <w:jc w:val="both"/>
        <w:rPr>
          <w:rFonts w:ascii="Times New Roman" w:hAnsi="Times New Roman" w:cs="Times New Roman"/>
          <w:sz w:val="24"/>
          <w:szCs w:val="24"/>
        </w:rPr>
      </w:pPr>
    </w:p>
    <w:p w:rsidR="00B72DA1" w:rsidRPr="005B2F5E" w:rsidRDefault="00B72DA1" w:rsidP="005C2CEB">
      <w:pPr>
        <w:spacing w:after="0" w:line="240" w:lineRule="auto"/>
        <w:ind w:firstLine="284"/>
        <w:jc w:val="both"/>
        <w:rPr>
          <w:rFonts w:ascii="Times New Roman" w:hAnsi="Times New Roman" w:cs="Times New Roman"/>
          <w:b/>
          <w:bCs/>
          <w:sz w:val="24"/>
          <w:szCs w:val="24"/>
        </w:rPr>
      </w:pPr>
      <w:r w:rsidRPr="00B72DA1">
        <w:rPr>
          <w:rFonts w:ascii="Times New Roman" w:hAnsi="Times New Roman" w:cs="Times New Roman"/>
          <w:sz w:val="24"/>
          <w:szCs w:val="24"/>
        </w:rPr>
        <w:t>1. Відповідність  запропонованого Учасником товару згідно Таблиці</w:t>
      </w:r>
      <w:r>
        <w:rPr>
          <w:rFonts w:ascii="Times New Roman" w:hAnsi="Times New Roman" w:cs="Times New Roman"/>
          <w:sz w:val="24"/>
          <w:szCs w:val="24"/>
        </w:rPr>
        <w:t>:</w:t>
      </w:r>
    </w:p>
    <w:p w:rsidR="005B2F5E" w:rsidRPr="005B2F5E" w:rsidRDefault="005B2F5E" w:rsidP="005B2F5E">
      <w:pPr>
        <w:tabs>
          <w:tab w:val="left" w:pos="426"/>
        </w:tabs>
        <w:spacing w:after="0" w:line="240" w:lineRule="auto"/>
        <w:ind w:right="-142"/>
        <w:jc w:val="center"/>
        <w:rPr>
          <w:rFonts w:ascii="Times New Roman" w:hAnsi="Times New Roman" w:cs="Times New Roman"/>
          <w:b/>
          <w:bCs/>
          <w:sz w:val="24"/>
          <w:szCs w:val="24"/>
        </w:rPr>
      </w:pPr>
    </w:p>
    <w:tbl>
      <w:tblPr>
        <w:tblW w:w="10465" w:type="dxa"/>
        <w:tblInd w:w="-289" w:type="dxa"/>
        <w:tblLook w:val="01E0" w:firstRow="1" w:lastRow="1" w:firstColumn="1" w:lastColumn="1" w:noHBand="0" w:noVBand="0"/>
      </w:tblPr>
      <w:tblGrid>
        <w:gridCol w:w="650"/>
        <w:gridCol w:w="7120"/>
        <w:gridCol w:w="1420"/>
        <w:gridCol w:w="1275"/>
      </w:tblGrid>
      <w:tr w:rsidR="005B2F5E" w:rsidRPr="005B2F5E" w:rsidTr="00B65F11">
        <w:trPr>
          <w:trHeight w:val="492"/>
        </w:trPr>
        <w:tc>
          <w:tcPr>
            <w:tcW w:w="662" w:type="dxa"/>
            <w:tcBorders>
              <w:top w:val="single" w:sz="4" w:space="0" w:color="auto"/>
              <w:left w:val="single" w:sz="4" w:space="0" w:color="auto"/>
              <w:bottom w:val="single" w:sz="4" w:space="0" w:color="auto"/>
              <w:right w:val="single" w:sz="4" w:space="0" w:color="auto"/>
            </w:tcBorders>
            <w:shd w:val="clear" w:color="auto" w:fill="E6E6E6"/>
            <w:vAlign w:val="center"/>
          </w:tcPr>
          <w:p w:rsidR="005B2F5E" w:rsidRPr="005B2F5E" w:rsidRDefault="005B2F5E" w:rsidP="00E2523D">
            <w:pPr>
              <w:tabs>
                <w:tab w:val="left" w:pos="0"/>
              </w:tabs>
              <w:spacing w:line="228" w:lineRule="auto"/>
              <w:jc w:val="center"/>
              <w:rPr>
                <w:rFonts w:ascii="Times New Roman" w:hAnsi="Times New Roman" w:cs="Times New Roman"/>
                <w:b/>
                <w:sz w:val="24"/>
                <w:szCs w:val="24"/>
              </w:rPr>
            </w:pPr>
            <w:r w:rsidRPr="005B2F5E">
              <w:rPr>
                <w:rFonts w:ascii="Times New Roman" w:hAnsi="Times New Roman" w:cs="Times New Roman"/>
                <w:b/>
                <w:sz w:val="24"/>
                <w:szCs w:val="24"/>
              </w:rPr>
              <w:t>№ з/п</w:t>
            </w:r>
          </w:p>
        </w:tc>
        <w:tc>
          <w:tcPr>
            <w:tcW w:w="7560" w:type="dxa"/>
            <w:tcBorders>
              <w:top w:val="single" w:sz="4" w:space="0" w:color="auto"/>
              <w:left w:val="single" w:sz="4" w:space="0" w:color="auto"/>
              <w:bottom w:val="single" w:sz="4" w:space="0" w:color="auto"/>
              <w:right w:val="single" w:sz="4" w:space="0" w:color="auto"/>
            </w:tcBorders>
            <w:shd w:val="clear" w:color="auto" w:fill="E6E6E6"/>
            <w:vAlign w:val="center"/>
          </w:tcPr>
          <w:p w:rsidR="005B2F5E" w:rsidRPr="005B2F5E" w:rsidRDefault="005B2F5E" w:rsidP="00E2523D">
            <w:pPr>
              <w:tabs>
                <w:tab w:val="left" w:pos="0"/>
              </w:tabs>
              <w:spacing w:line="228" w:lineRule="auto"/>
              <w:jc w:val="center"/>
              <w:rPr>
                <w:rFonts w:ascii="Times New Roman" w:hAnsi="Times New Roman" w:cs="Times New Roman"/>
                <w:b/>
                <w:sz w:val="24"/>
                <w:szCs w:val="24"/>
              </w:rPr>
            </w:pPr>
            <w:r w:rsidRPr="005B2F5E">
              <w:rPr>
                <w:rFonts w:ascii="Times New Roman" w:hAnsi="Times New Roman" w:cs="Times New Roman"/>
                <w:b/>
                <w:sz w:val="24"/>
                <w:szCs w:val="24"/>
              </w:rPr>
              <w:t>Найменування товару та медико - технічні вимоги до товару, що закуповується</w:t>
            </w:r>
          </w:p>
        </w:tc>
        <w:tc>
          <w:tcPr>
            <w:tcW w:w="968" w:type="dxa"/>
            <w:tcBorders>
              <w:top w:val="single" w:sz="4" w:space="0" w:color="auto"/>
              <w:left w:val="single" w:sz="4" w:space="0" w:color="auto"/>
              <w:bottom w:val="single" w:sz="4" w:space="0" w:color="auto"/>
              <w:right w:val="single" w:sz="4" w:space="0" w:color="auto"/>
            </w:tcBorders>
            <w:shd w:val="clear" w:color="auto" w:fill="E6E6E6"/>
            <w:vAlign w:val="center"/>
          </w:tcPr>
          <w:p w:rsidR="005B2F5E" w:rsidRPr="005B2F5E" w:rsidRDefault="005B2F5E" w:rsidP="00E2523D">
            <w:pPr>
              <w:pStyle w:val="a9"/>
              <w:jc w:val="center"/>
              <w:rPr>
                <w:rFonts w:ascii="Times New Roman" w:hAnsi="Times New Roman"/>
                <w:b/>
                <w:sz w:val="24"/>
                <w:szCs w:val="24"/>
              </w:rPr>
            </w:pPr>
            <w:r w:rsidRPr="005B2F5E">
              <w:rPr>
                <w:rFonts w:ascii="Times New Roman" w:hAnsi="Times New Roman"/>
                <w:b/>
                <w:sz w:val="24"/>
                <w:szCs w:val="24"/>
              </w:rPr>
              <w:t>Од.</w:t>
            </w:r>
          </w:p>
          <w:p w:rsidR="005B2F5E" w:rsidRPr="005B2F5E" w:rsidRDefault="005B2F5E" w:rsidP="00E2523D">
            <w:pPr>
              <w:pStyle w:val="a9"/>
              <w:jc w:val="center"/>
              <w:rPr>
                <w:rFonts w:ascii="Times New Roman" w:hAnsi="Times New Roman"/>
                <w:sz w:val="24"/>
                <w:szCs w:val="24"/>
              </w:rPr>
            </w:pPr>
            <w:r w:rsidRPr="005B2F5E">
              <w:rPr>
                <w:rFonts w:ascii="Times New Roman" w:hAnsi="Times New Roman"/>
                <w:b/>
                <w:sz w:val="24"/>
                <w:szCs w:val="24"/>
              </w:rPr>
              <w:t>виміру</w:t>
            </w:r>
          </w:p>
        </w:tc>
        <w:tc>
          <w:tcPr>
            <w:tcW w:w="1275" w:type="dxa"/>
            <w:tcBorders>
              <w:top w:val="single" w:sz="4" w:space="0" w:color="auto"/>
              <w:left w:val="single" w:sz="4" w:space="0" w:color="auto"/>
              <w:bottom w:val="single" w:sz="4" w:space="0" w:color="auto"/>
              <w:right w:val="single" w:sz="4" w:space="0" w:color="auto"/>
            </w:tcBorders>
            <w:shd w:val="clear" w:color="auto" w:fill="E6E6E6"/>
            <w:vAlign w:val="center"/>
          </w:tcPr>
          <w:p w:rsidR="005B2F5E" w:rsidRPr="005B2F5E" w:rsidRDefault="005B2F5E" w:rsidP="00E2523D">
            <w:pPr>
              <w:tabs>
                <w:tab w:val="left" w:pos="0"/>
              </w:tabs>
              <w:spacing w:line="228" w:lineRule="auto"/>
              <w:jc w:val="center"/>
              <w:rPr>
                <w:rFonts w:ascii="Times New Roman" w:hAnsi="Times New Roman" w:cs="Times New Roman"/>
                <w:b/>
                <w:sz w:val="24"/>
                <w:szCs w:val="24"/>
              </w:rPr>
            </w:pPr>
            <w:r w:rsidRPr="005B2F5E">
              <w:rPr>
                <w:rFonts w:ascii="Times New Roman" w:hAnsi="Times New Roman" w:cs="Times New Roman"/>
                <w:b/>
                <w:sz w:val="24"/>
                <w:szCs w:val="24"/>
              </w:rPr>
              <w:t>Кількість</w:t>
            </w:r>
          </w:p>
        </w:tc>
      </w:tr>
      <w:tr w:rsidR="005B2F5E" w:rsidRPr="005B2F5E" w:rsidTr="00B65F11">
        <w:trPr>
          <w:trHeight w:val="870"/>
        </w:trPr>
        <w:tc>
          <w:tcPr>
            <w:tcW w:w="662" w:type="dxa"/>
            <w:tcBorders>
              <w:top w:val="single" w:sz="4" w:space="0" w:color="auto"/>
              <w:left w:val="single" w:sz="4" w:space="0" w:color="auto"/>
              <w:bottom w:val="single" w:sz="4" w:space="0" w:color="auto"/>
              <w:right w:val="single" w:sz="4" w:space="0" w:color="auto"/>
            </w:tcBorders>
          </w:tcPr>
          <w:p w:rsidR="005B2F5E" w:rsidRPr="005B2F5E" w:rsidRDefault="00E47B61" w:rsidP="00E2523D">
            <w:pPr>
              <w:tabs>
                <w:tab w:val="left" w:pos="0"/>
              </w:tabs>
              <w:spacing w:after="0" w:line="228"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t>1</w:t>
            </w:r>
          </w:p>
        </w:tc>
        <w:tc>
          <w:tcPr>
            <w:tcW w:w="7560" w:type="dxa"/>
            <w:tcBorders>
              <w:top w:val="single" w:sz="4" w:space="0" w:color="auto"/>
              <w:left w:val="single" w:sz="4" w:space="0" w:color="auto"/>
              <w:bottom w:val="single" w:sz="4" w:space="0" w:color="auto"/>
              <w:right w:val="single" w:sz="4" w:space="0" w:color="auto"/>
            </w:tcBorders>
          </w:tcPr>
          <w:p w:rsidR="00D81A39" w:rsidRDefault="00D81A39" w:rsidP="00D81A39">
            <w:pPr>
              <w:keepNext/>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right="142"/>
              <w:jc w:val="center"/>
              <w:outlineLvl w:val="3"/>
              <w:rPr>
                <w:rFonts w:ascii="Times New Roman" w:hAnsi="Times New Roman" w:cs="Times New Roman"/>
                <w:b/>
                <w:sz w:val="24"/>
                <w:szCs w:val="24"/>
                <w:lang w:val="en-US"/>
              </w:rPr>
            </w:pPr>
            <w:r w:rsidRPr="00D81A39">
              <w:rPr>
                <w:rFonts w:ascii="Times New Roman" w:hAnsi="Times New Roman" w:cs="Times New Roman"/>
                <w:b/>
                <w:color w:val="000000"/>
                <w:sz w:val="24"/>
                <w:szCs w:val="24"/>
              </w:rPr>
              <w:t>PKU Nutri 2 Concentrated</w:t>
            </w:r>
            <w:r>
              <w:rPr>
                <w:rFonts w:ascii="Times New Roman" w:hAnsi="Times New Roman" w:cs="Times New Roman"/>
                <w:b/>
                <w:color w:val="000000"/>
                <w:sz w:val="24"/>
                <w:szCs w:val="24"/>
              </w:rPr>
              <w:t xml:space="preserve"> </w:t>
            </w:r>
            <w:r w:rsidRPr="005B2F5E">
              <w:rPr>
                <w:rFonts w:ascii="Times New Roman" w:hAnsi="Times New Roman" w:cs="Times New Roman"/>
                <w:b/>
                <w:sz w:val="24"/>
                <w:szCs w:val="24"/>
              </w:rPr>
              <w:t xml:space="preserve"> </w:t>
            </w:r>
            <w:r w:rsidR="005B2F5E" w:rsidRPr="005B2F5E">
              <w:rPr>
                <w:rFonts w:ascii="Times New Roman" w:hAnsi="Times New Roman" w:cs="Times New Roman"/>
                <w:b/>
                <w:sz w:val="24"/>
                <w:szCs w:val="24"/>
              </w:rPr>
              <w:t xml:space="preserve">(або еквівалент), </w:t>
            </w:r>
            <w:r w:rsidR="007D39DD">
              <w:rPr>
                <w:rFonts w:ascii="Times New Roman" w:hAnsi="Times New Roman" w:cs="Times New Roman"/>
                <w:b/>
                <w:sz w:val="24"/>
                <w:szCs w:val="24"/>
              </w:rPr>
              <w:t xml:space="preserve">банка 500 </w:t>
            </w:r>
            <w:r w:rsidR="0028612A">
              <w:rPr>
                <w:rFonts w:ascii="Times New Roman" w:hAnsi="Times New Roman" w:cs="Times New Roman"/>
                <w:b/>
                <w:sz w:val="24"/>
                <w:szCs w:val="24"/>
                <w:lang w:val="en-US"/>
              </w:rPr>
              <w:t>g</w:t>
            </w:r>
          </w:p>
          <w:p w:rsidR="00D81A39" w:rsidRPr="00D81A39" w:rsidRDefault="00D81A39" w:rsidP="00D81A39">
            <w:pPr>
              <w:keepNext/>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line="240" w:lineRule="auto"/>
              <w:ind w:right="142"/>
              <w:contextualSpacing/>
              <w:jc w:val="both"/>
              <w:outlineLvl w:val="3"/>
              <w:rPr>
                <w:rFonts w:ascii="Times New Roman" w:hAnsi="Times New Roman" w:cs="Times New Roman"/>
                <w:b/>
                <w:sz w:val="24"/>
                <w:szCs w:val="24"/>
              </w:rPr>
            </w:pPr>
            <w:r w:rsidRPr="00D81A39">
              <w:rPr>
                <w:rFonts w:ascii="Times New Roman" w:hAnsi="Times New Roman" w:cs="Times New Roman"/>
                <w:color w:val="000000"/>
                <w:sz w:val="24"/>
                <w:szCs w:val="24"/>
              </w:rPr>
              <w:t>Концентрована суміш, адаптована до вікової категорії хворих, в значній мірі задовольняє потребу організму в білку без фенілаланіну. Не призводить до збільшення обсягу їжі, має низьку калорійність.</w:t>
            </w:r>
          </w:p>
          <w:p w:rsidR="00D81A39" w:rsidRDefault="00D81A39" w:rsidP="00D81A39">
            <w:pPr>
              <w:pStyle w:val="aa"/>
              <w:contextualSpacing/>
              <w:jc w:val="both"/>
              <w:rPr>
                <w:color w:val="000000"/>
                <w:lang w:val="uk-UA"/>
              </w:rPr>
            </w:pPr>
            <w:r>
              <w:rPr>
                <w:color w:val="000000"/>
                <w:lang w:val="uk-UA"/>
              </w:rPr>
              <w:t>1</w:t>
            </w:r>
            <w:r w:rsidRPr="0059096F">
              <w:rPr>
                <w:color w:val="000000"/>
                <w:lang w:val="uk-UA"/>
              </w:rPr>
              <w:t>. Призначений для дітей від 1 року.</w:t>
            </w:r>
          </w:p>
          <w:p w:rsidR="00D81A39" w:rsidRPr="006830CB" w:rsidRDefault="00D81A39" w:rsidP="00D81A39">
            <w:pPr>
              <w:pStyle w:val="aa"/>
              <w:contextualSpacing/>
              <w:jc w:val="both"/>
              <w:rPr>
                <w:color w:val="000000"/>
                <w:lang w:val="uk-UA"/>
              </w:rPr>
            </w:pPr>
            <w:r>
              <w:rPr>
                <w:color w:val="000000"/>
                <w:lang w:val="uk-UA"/>
              </w:rPr>
              <w:t>2</w:t>
            </w:r>
            <w:r w:rsidRPr="0059096F">
              <w:rPr>
                <w:color w:val="000000"/>
                <w:lang w:val="uk-UA"/>
              </w:rPr>
              <w:t xml:space="preserve">. Вміст білка (в еквіваленті) у 100 грамах сухого продукту </w:t>
            </w:r>
            <w:r>
              <w:rPr>
                <w:color w:val="000000"/>
                <w:lang w:val="uk-UA"/>
              </w:rPr>
              <w:t xml:space="preserve">- </w:t>
            </w:r>
            <w:r w:rsidRPr="006830CB">
              <w:rPr>
                <w:color w:val="000000"/>
                <w:lang w:val="uk-UA"/>
              </w:rPr>
              <w:t>не менше 60,0 та не більше 62,0 грам.</w:t>
            </w:r>
          </w:p>
          <w:p w:rsidR="00D81A39" w:rsidRPr="006830CB" w:rsidRDefault="00D81A39" w:rsidP="00D81A39">
            <w:pPr>
              <w:pStyle w:val="aa"/>
              <w:contextualSpacing/>
              <w:jc w:val="both"/>
              <w:rPr>
                <w:color w:val="000000"/>
                <w:lang w:val="uk-UA"/>
              </w:rPr>
            </w:pPr>
            <w:r>
              <w:rPr>
                <w:color w:val="000000"/>
                <w:lang w:val="uk-UA"/>
              </w:rPr>
              <w:t xml:space="preserve">3. Енергетична цінність в 100 грамах сухого продукту – </w:t>
            </w:r>
            <w:r w:rsidRPr="006830CB">
              <w:rPr>
                <w:color w:val="000000"/>
                <w:lang w:val="uk-UA"/>
              </w:rPr>
              <w:t>не більше 300 ккал.</w:t>
            </w:r>
          </w:p>
          <w:p w:rsidR="00D81A39" w:rsidRPr="006830CB" w:rsidRDefault="00D81A39" w:rsidP="00D81A39">
            <w:pPr>
              <w:pStyle w:val="aa"/>
              <w:contextualSpacing/>
              <w:jc w:val="both"/>
              <w:rPr>
                <w:color w:val="000000"/>
                <w:lang w:val="uk-UA"/>
              </w:rPr>
            </w:pPr>
            <w:r>
              <w:rPr>
                <w:color w:val="000000"/>
                <w:lang w:val="uk-UA"/>
              </w:rPr>
              <w:t>4</w:t>
            </w:r>
            <w:r w:rsidRPr="0059096F">
              <w:rPr>
                <w:color w:val="000000"/>
                <w:lang w:val="uk-UA"/>
              </w:rPr>
              <w:t>. Продукт повинен вміщувати загальну кількість амінокислот на 100 г суміші</w:t>
            </w:r>
            <w:r w:rsidRPr="009D7752">
              <w:rPr>
                <w:color w:val="000000"/>
                <w:lang w:val="uk-UA"/>
              </w:rPr>
              <w:t xml:space="preserve"> </w:t>
            </w:r>
            <w:r>
              <w:rPr>
                <w:color w:val="000000"/>
                <w:lang w:val="uk-UA"/>
              </w:rPr>
              <w:t>–</w:t>
            </w:r>
            <w:r w:rsidRPr="009D7752">
              <w:rPr>
                <w:color w:val="000000"/>
                <w:lang w:val="uk-UA"/>
              </w:rPr>
              <w:t xml:space="preserve"> </w:t>
            </w:r>
            <w:r w:rsidRPr="006830CB">
              <w:rPr>
                <w:color w:val="000000"/>
                <w:lang w:val="uk-UA"/>
              </w:rPr>
              <w:t>не менше 70,0 грам</w:t>
            </w:r>
            <w:r>
              <w:rPr>
                <w:color w:val="000000"/>
                <w:lang w:val="uk-UA"/>
              </w:rPr>
              <w:t>.</w:t>
            </w:r>
          </w:p>
          <w:p w:rsidR="00D81A39" w:rsidRDefault="00D81A39" w:rsidP="00D81A39">
            <w:pPr>
              <w:pStyle w:val="aa"/>
              <w:contextualSpacing/>
              <w:jc w:val="both"/>
              <w:rPr>
                <w:color w:val="000000"/>
                <w:lang w:val="uk-UA"/>
              </w:rPr>
            </w:pPr>
            <w:r>
              <w:rPr>
                <w:color w:val="000000"/>
                <w:lang w:val="uk-UA"/>
              </w:rPr>
              <w:t>5</w:t>
            </w:r>
            <w:r w:rsidRPr="0059096F">
              <w:rPr>
                <w:color w:val="000000"/>
                <w:lang w:val="uk-UA"/>
              </w:rPr>
              <w:t>. Вміст суми незамінних та напівзамінних амінокислот (г) в 100 г білка – оптимальний, що адаптований до вікової категорії хворого</w:t>
            </w:r>
            <w:r>
              <w:rPr>
                <w:color w:val="000000"/>
                <w:lang w:val="uk-UA"/>
              </w:rPr>
              <w:t>.</w:t>
            </w:r>
          </w:p>
          <w:p w:rsidR="00D81A39" w:rsidRPr="0059096F" w:rsidRDefault="00D81A39" w:rsidP="00D81A39">
            <w:pPr>
              <w:pStyle w:val="aa"/>
              <w:contextualSpacing/>
              <w:jc w:val="both"/>
              <w:rPr>
                <w:color w:val="000000"/>
                <w:lang w:val="uk-UA"/>
              </w:rPr>
            </w:pPr>
            <w:r>
              <w:rPr>
                <w:color w:val="000000"/>
                <w:lang w:val="uk-UA"/>
              </w:rPr>
              <w:t>6</w:t>
            </w:r>
            <w:r w:rsidRPr="0059096F">
              <w:rPr>
                <w:color w:val="000000"/>
                <w:lang w:val="uk-UA"/>
              </w:rPr>
              <w:t>. Вуглеводний комплекс забезпечено за рахунок моносахаридів та полісахаридів при мінімальному вмісті сахарози.</w:t>
            </w:r>
          </w:p>
          <w:p w:rsidR="00D81A39" w:rsidRDefault="00D81A39" w:rsidP="00D81A39">
            <w:pPr>
              <w:pStyle w:val="aa"/>
              <w:contextualSpacing/>
              <w:jc w:val="both"/>
              <w:rPr>
                <w:color w:val="000000"/>
                <w:lang w:val="uk-UA"/>
              </w:rPr>
            </w:pPr>
            <w:r>
              <w:rPr>
                <w:color w:val="000000"/>
                <w:lang w:val="uk-UA"/>
              </w:rPr>
              <w:t>7</w:t>
            </w:r>
            <w:r w:rsidRPr="0059096F">
              <w:rPr>
                <w:color w:val="000000"/>
                <w:lang w:val="uk-UA"/>
              </w:rPr>
              <w:t>. Присутність фенілаланіну допускається – згідно нормативів.</w:t>
            </w:r>
          </w:p>
          <w:p w:rsidR="00D81A39" w:rsidRDefault="00D81A39" w:rsidP="00D81A39">
            <w:pPr>
              <w:pStyle w:val="aa"/>
              <w:contextualSpacing/>
              <w:jc w:val="both"/>
              <w:rPr>
                <w:color w:val="000000"/>
                <w:lang w:val="uk-UA"/>
              </w:rPr>
            </w:pPr>
            <w:r>
              <w:rPr>
                <w:color w:val="000000"/>
                <w:lang w:val="uk-UA"/>
              </w:rPr>
              <w:t>8. Вміст жиру в 100 грамах сухого продукту – 0.</w:t>
            </w:r>
          </w:p>
          <w:p w:rsidR="00D81A39" w:rsidRPr="009D7752" w:rsidRDefault="00D81A39" w:rsidP="00D81A39">
            <w:pPr>
              <w:pStyle w:val="aa"/>
              <w:contextualSpacing/>
              <w:jc w:val="both"/>
              <w:rPr>
                <w:color w:val="000000"/>
                <w:lang w:val="uk-UA"/>
              </w:rPr>
            </w:pPr>
            <w:r>
              <w:rPr>
                <w:color w:val="000000"/>
                <w:lang w:val="uk-UA"/>
              </w:rPr>
              <w:t>9</w:t>
            </w:r>
            <w:r w:rsidRPr="009D7752">
              <w:rPr>
                <w:color w:val="000000"/>
                <w:lang w:val="uk-UA"/>
              </w:rPr>
              <w:t>. Вміст суми амінокислот, які вміщують сірку (метіонін та цистеїн), (г) в 100 г білка – оптимальний, що адаптований до вікової категорії хворого</w:t>
            </w:r>
            <w:r>
              <w:rPr>
                <w:color w:val="000000"/>
                <w:lang w:val="uk-UA"/>
              </w:rPr>
              <w:t>.</w:t>
            </w:r>
          </w:p>
          <w:p w:rsidR="00D81A39" w:rsidRPr="009D7752" w:rsidRDefault="00D81A39" w:rsidP="00D81A39">
            <w:pPr>
              <w:pStyle w:val="aa"/>
              <w:contextualSpacing/>
              <w:jc w:val="both"/>
              <w:rPr>
                <w:color w:val="000000"/>
                <w:lang w:val="uk-UA"/>
              </w:rPr>
            </w:pPr>
            <w:r>
              <w:rPr>
                <w:color w:val="000000"/>
                <w:lang w:val="uk-UA"/>
              </w:rPr>
              <w:t>10</w:t>
            </w:r>
            <w:r w:rsidRPr="0059096F">
              <w:rPr>
                <w:color w:val="000000"/>
                <w:lang w:val="uk-UA"/>
              </w:rPr>
              <w:t>. Вміст тирозину (г) в 100 г білка – оптимальний, що адаптований до вікової категорії хворого – не більше 3,9 г.</w:t>
            </w:r>
          </w:p>
          <w:p w:rsidR="00D81A39" w:rsidRPr="009D7752" w:rsidRDefault="00D81A39" w:rsidP="00D81A39">
            <w:pPr>
              <w:pStyle w:val="aa"/>
              <w:contextualSpacing/>
              <w:jc w:val="both"/>
              <w:rPr>
                <w:color w:val="000000"/>
                <w:lang w:val="uk-UA"/>
              </w:rPr>
            </w:pPr>
            <w:r>
              <w:rPr>
                <w:color w:val="000000"/>
                <w:lang w:val="uk-UA"/>
              </w:rPr>
              <w:t>11</w:t>
            </w:r>
            <w:r w:rsidRPr="009D7752">
              <w:rPr>
                <w:color w:val="000000"/>
                <w:lang w:val="uk-UA"/>
              </w:rPr>
              <w:t>. Наявність в суміші необхідних мінеральних речовин, мікроелементів і вітамінів у збалансованій кількості</w:t>
            </w:r>
            <w:r>
              <w:rPr>
                <w:color w:val="000000"/>
                <w:lang w:val="uk-UA"/>
              </w:rPr>
              <w:t xml:space="preserve"> згідно до норм вікової категорії.</w:t>
            </w:r>
          </w:p>
          <w:p w:rsidR="005B2F5E" w:rsidRPr="005B2F5E" w:rsidRDefault="00D81A39" w:rsidP="00D81A39">
            <w:pPr>
              <w:pStyle w:val="aa"/>
              <w:contextualSpacing/>
              <w:jc w:val="both"/>
              <w:rPr>
                <w:b/>
              </w:rPr>
            </w:pPr>
            <w:r w:rsidRPr="009D7752">
              <w:rPr>
                <w:color w:val="000000"/>
                <w:lang w:val="uk-UA"/>
              </w:rPr>
              <w:t>1</w:t>
            </w:r>
            <w:r>
              <w:rPr>
                <w:color w:val="000000"/>
                <w:lang w:val="uk-UA"/>
              </w:rPr>
              <w:t>2</w:t>
            </w:r>
            <w:r w:rsidRPr="009D7752">
              <w:rPr>
                <w:color w:val="000000"/>
                <w:lang w:val="uk-UA"/>
              </w:rPr>
              <w:t>. Продукт повинен бути вироблений з дотриманням умов належного виробництва та бути безпечним для використання.</w:t>
            </w:r>
          </w:p>
        </w:tc>
        <w:tc>
          <w:tcPr>
            <w:tcW w:w="968" w:type="dxa"/>
            <w:tcBorders>
              <w:top w:val="single" w:sz="4" w:space="0" w:color="auto"/>
              <w:left w:val="single" w:sz="4" w:space="0" w:color="auto"/>
              <w:bottom w:val="single" w:sz="4" w:space="0" w:color="auto"/>
              <w:right w:val="single" w:sz="4" w:space="0" w:color="auto"/>
            </w:tcBorders>
          </w:tcPr>
          <w:p w:rsidR="005B2F5E" w:rsidRPr="005B2F5E" w:rsidRDefault="005B2F5E" w:rsidP="00E2523D">
            <w:pPr>
              <w:jc w:val="center"/>
              <w:rPr>
                <w:rFonts w:ascii="Times New Roman" w:hAnsi="Times New Roman" w:cs="Times New Roman"/>
                <w:sz w:val="24"/>
                <w:szCs w:val="24"/>
                <w:lang w:val="ru-RU"/>
              </w:rPr>
            </w:pPr>
          </w:p>
          <w:p w:rsidR="005B2F5E" w:rsidRPr="005B2F5E" w:rsidRDefault="00B44107" w:rsidP="00E2523D">
            <w:pPr>
              <w:jc w:val="center"/>
              <w:rPr>
                <w:rFonts w:ascii="Times New Roman" w:hAnsi="Times New Roman" w:cs="Times New Roman"/>
                <w:sz w:val="24"/>
                <w:szCs w:val="24"/>
                <w:lang w:val="ru-RU"/>
              </w:rPr>
            </w:pPr>
            <w:r>
              <w:rPr>
                <w:rFonts w:ascii="Times New Roman" w:hAnsi="Times New Roman" w:cs="Times New Roman"/>
                <w:sz w:val="24"/>
                <w:szCs w:val="24"/>
                <w:lang w:val="ru-RU"/>
              </w:rPr>
              <w:t>банка</w:t>
            </w:r>
          </w:p>
        </w:tc>
        <w:tc>
          <w:tcPr>
            <w:tcW w:w="1275" w:type="dxa"/>
            <w:tcBorders>
              <w:top w:val="single" w:sz="4" w:space="0" w:color="auto"/>
              <w:left w:val="single" w:sz="4" w:space="0" w:color="auto"/>
              <w:bottom w:val="single" w:sz="4" w:space="0" w:color="auto"/>
              <w:right w:val="single" w:sz="4" w:space="0" w:color="auto"/>
            </w:tcBorders>
          </w:tcPr>
          <w:p w:rsidR="005B2F5E" w:rsidRPr="005B2F5E" w:rsidRDefault="005B2F5E" w:rsidP="00E2523D">
            <w:pPr>
              <w:tabs>
                <w:tab w:val="left" w:pos="0"/>
              </w:tabs>
              <w:spacing w:after="0" w:line="228" w:lineRule="auto"/>
              <w:jc w:val="center"/>
              <w:rPr>
                <w:rFonts w:ascii="Times New Roman" w:hAnsi="Times New Roman" w:cs="Times New Roman"/>
                <w:sz w:val="24"/>
                <w:szCs w:val="24"/>
                <w:lang w:val="ru-RU"/>
              </w:rPr>
            </w:pPr>
          </w:p>
          <w:p w:rsidR="005B2F5E" w:rsidRPr="005B2F5E" w:rsidRDefault="005B2F5E" w:rsidP="00E2523D">
            <w:pPr>
              <w:tabs>
                <w:tab w:val="left" w:pos="0"/>
              </w:tabs>
              <w:spacing w:after="0" w:line="228" w:lineRule="auto"/>
              <w:jc w:val="center"/>
              <w:rPr>
                <w:rFonts w:ascii="Times New Roman" w:hAnsi="Times New Roman" w:cs="Times New Roman"/>
                <w:sz w:val="24"/>
                <w:szCs w:val="24"/>
                <w:lang w:val="ru-RU"/>
              </w:rPr>
            </w:pPr>
          </w:p>
          <w:p w:rsidR="005B2F5E" w:rsidRPr="005B2F5E" w:rsidRDefault="00D81A39" w:rsidP="00EB3F16">
            <w:pPr>
              <w:tabs>
                <w:tab w:val="left" w:pos="0"/>
              </w:tabs>
              <w:spacing w:after="0" w:line="228"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76</w:t>
            </w:r>
          </w:p>
        </w:tc>
      </w:tr>
      <w:tr w:rsidR="00EB3F16" w:rsidRPr="005B2F5E" w:rsidTr="00B65F11">
        <w:trPr>
          <w:trHeight w:val="870"/>
        </w:trPr>
        <w:tc>
          <w:tcPr>
            <w:tcW w:w="662" w:type="dxa"/>
            <w:tcBorders>
              <w:top w:val="single" w:sz="4" w:space="0" w:color="auto"/>
              <w:left w:val="single" w:sz="4" w:space="0" w:color="auto"/>
              <w:bottom w:val="single" w:sz="4" w:space="0" w:color="auto"/>
              <w:right w:val="single" w:sz="4" w:space="0" w:color="auto"/>
            </w:tcBorders>
          </w:tcPr>
          <w:p w:rsidR="00EB3F16" w:rsidRDefault="00B65F11" w:rsidP="00E2523D">
            <w:pPr>
              <w:tabs>
                <w:tab w:val="left" w:pos="0"/>
              </w:tabs>
              <w:spacing w:after="0" w:line="228"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t>2</w:t>
            </w:r>
          </w:p>
        </w:tc>
        <w:tc>
          <w:tcPr>
            <w:tcW w:w="7560" w:type="dxa"/>
            <w:tcBorders>
              <w:top w:val="single" w:sz="4" w:space="0" w:color="auto"/>
              <w:left w:val="single" w:sz="4" w:space="0" w:color="auto"/>
              <w:bottom w:val="single" w:sz="4" w:space="0" w:color="auto"/>
              <w:right w:val="single" w:sz="4" w:space="0" w:color="auto"/>
            </w:tcBorders>
          </w:tcPr>
          <w:p w:rsidR="0013636F" w:rsidRDefault="00D81A39" w:rsidP="00D81A39">
            <w:pPr>
              <w:pStyle w:val="a3"/>
              <w:ind w:firstLine="567"/>
              <w:rPr>
                <w:rFonts w:ascii="Times New Roman" w:hAnsi="Times New Roman" w:cs="Times New Roman"/>
                <w:b/>
                <w:color w:val="000000"/>
                <w:sz w:val="24"/>
                <w:szCs w:val="24"/>
              </w:rPr>
            </w:pPr>
            <w:r w:rsidRPr="00D81A39">
              <w:rPr>
                <w:rFonts w:ascii="Times New Roman" w:hAnsi="Times New Roman" w:cs="Times New Roman"/>
                <w:b/>
                <w:sz w:val="24"/>
                <w:szCs w:val="24"/>
              </w:rPr>
              <w:t xml:space="preserve">PKU Anamix </w:t>
            </w:r>
            <w:r w:rsidRPr="00D81A39">
              <w:rPr>
                <w:rFonts w:ascii="Times New Roman" w:hAnsi="Times New Roman" w:cs="Times New Roman"/>
                <w:b/>
                <w:sz w:val="24"/>
                <w:szCs w:val="24"/>
                <w:lang w:val="en-US"/>
              </w:rPr>
              <w:t>Junior</w:t>
            </w:r>
            <w:r w:rsidRPr="0013636F">
              <w:rPr>
                <w:rFonts w:ascii="Times New Roman" w:hAnsi="Times New Roman" w:cs="Times New Roman"/>
                <w:b/>
                <w:color w:val="000000"/>
                <w:sz w:val="24"/>
                <w:szCs w:val="24"/>
              </w:rPr>
              <w:t xml:space="preserve"> </w:t>
            </w:r>
            <w:r w:rsidR="00EB3F16" w:rsidRPr="0013636F">
              <w:rPr>
                <w:rFonts w:ascii="Times New Roman" w:hAnsi="Times New Roman" w:cs="Times New Roman"/>
                <w:b/>
                <w:color w:val="000000"/>
                <w:sz w:val="24"/>
                <w:szCs w:val="24"/>
              </w:rPr>
              <w:t xml:space="preserve">(або еквівалент), </w:t>
            </w:r>
            <w:r w:rsidRPr="005B2F5E">
              <w:rPr>
                <w:rFonts w:ascii="Times New Roman" w:hAnsi="Times New Roman" w:cs="Times New Roman"/>
                <w:b/>
                <w:sz w:val="24"/>
                <w:szCs w:val="24"/>
              </w:rPr>
              <w:t xml:space="preserve">саше по 36 </w:t>
            </w:r>
            <w:r w:rsidRPr="005B2F5E">
              <w:rPr>
                <w:rFonts w:ascii="Times New Roman" w:hAnsi="Times New Roman" w:cs="Times New Roman"/>
                <w:b/>
                <w:sz w:val="24"/>
                <w:szCs w:val="24"/>
                <w:lang w:val="en-US"/>
              </w:rPr>
              <w:t>g</w:t>
            </w:r>
          </w:p>
          <w:p w:rsidR="009C269F" w:rsidRPr="00D81A39" w:rsidRDefault="00D81A39" w:rsidP="00D81A39">
            <w:pPr>
              <w:pStyle w:val="aa"/>
              <w:contextualSpacing/>
              <w:jc w:val="both"/>
              <w:rPr>
                <w:b/>
                <w:color w:val="000000"/>
                <w:lang w:val="uk-UA"/>
              </w:rPr>
            </w:pPr>
            <w:r>
              <w:rPr>
                <w:color w:val="000000"/>
                <w:lang w:val="uk-UA"/>
              </w:rPr>
              <w:t>Нек</w:t>
            </w:r>
            <w:r w:rsidRPr="009D7752">
              <w:rPr>
                <w:color w:val="000000"/>
                <w:lang w:val="uk-UA"/>
              </w:rPr>
              <w:t xml:space="preserve">онцентрована суміш, адаптована до вікової категорії хворих, </w:t>
            </w:r>
            <w:r>
              <w:rPr>
                <w:color w:val="000000"/>
                <w:lang w:val="uk-UA"/>
              </w:rPr>
              <w:t>яка містить крім білка</w:t>
            </w:r>
            <w:r w:rsidRPr="009D7752">
              <w:rPr>
                <w:color w:val="000000"/>
                <w:lang w:val="uk-UA"/>
              </w:rPr>
              <w:t xml:space="preserve"> </w:t>
            </w:r>
            <w:r>
              <w:rPr>
                <w:color w:val="000000"/>
                <w:lang w:val="uk-UA"/>
              </w:rPr>
              <w:t xml:space="preserve">без </w:t>
            </w:r>
            <w:r w:rsidRPr="009D7752">
              <w:rPr>
                <w:color w:val="000000"/>
                <w:lang w:val="uk-UA"/>
              </w:rPr>
              <w:t>фенілаланіну</w:t>
            </w:r>
            <w:r>
              <w:rPr>
                <w:color w:val="000000"/>
                <w:lang w:val="uk-UA"/>
              </w:rPr>
              <w:t>, також інші поживні речовини (жири, вуглеводи та харчові волокна), які є джерелом небілкової енергії, які дозволяють задовільнити потребу організму в білку, а також, в значній мірі, в енергії</w:t>
            </w:r>
            <w:r w:rsidRPr="009D7752">
              <w:rPr>
                <w:color w:val="000000"/>
                <w:lang w:val="uk-UA"/>
              </w:rPr>
              <w:t xml:space="preserve">. </w:t>
            </w:r>
          </w:p>
          <w:p w:rsidR="00D81A39" w:rsidRPr="00D81A39" w:rsidRDefault="00D81A39" w:rsidP="00D81A39">
            <w:pPr>
              <w:spacing w:line="240" w:lineRule="auto"/>
              <w:ind w:left="914" w:hanging="914"/>
              <w:contextualSpacing/>
              <w:rPr>
                <w:rFonts w:ascii="Times New Roman" w:hAnsi="Times New Roman" w:cs="Times New Roman"/>
                <w:b/>
                <w:sz w:val="24"/>
                <w:szCs w:val="24"/>
                <w:u w:val="single"/>
                <w:lang w:val="ru-RU"/>
              </w:rPr>
            </w:pPr>
            <w:r w:rsidRPr="00D81A39">
              <w:rPr>
                <w:rFonts w:ascii="Times New Roman" w:hAnsi="Times New Roman" w:cs="Times New Roman"/>
                <w:sz w:val="24"/>
                <w:szCs w:val="24"/>
              </w:rPr>
              <w:t xml:space="preserve">1. Призначений </w:t>
            </w:r>
            <w:r w:rsidRPr="00D81A39">
              <w:rPr>
                <w:rFonts w:ascii="Times New Roman" w:hAnsi="Times New Roman" w:cs="Times New Roman"/>
                <w:sz w:val="24"/>
                <w:szCs w:val="24"/>
                <w:lang w:val="ru-RU"/>
              </w:rPr>
              <w:t xml:space="preserve">для дітей </w:t>
            </w:r>
            <w:r w:rsidRPr="00D81A39">
              <w:rPr>
                <w:rFonts w:ascii="Times New Roman" w:hAnsi="Times New Roman" w:cs="Times New Roman"/>
                <w:sz w:val="24"/>
                <w:szCs w:val="24"/>
              </w:rPr>
              <w:t>віком</w:t>
            </w:r>
            <w:r w:rsidRPr="00D81A39">
              <w:rPr>
                <w:rFonts w:ascii="Times New Roman" w:hAnsi="Times New Roman" w:cs="Times New Roman"/>
                <w:sz w:val="24"/>
                <w:szCs w:val="24"/>
                <w:lang w:val="ru-RU"/>
              </w:rPr>
              <w:t xml:space="preserve"> від 1 року.</w:t>
            </w:r>
          </w:p>
          <w:p w:rsidR="00D81A39" w:rsidRPr="00D81A39" w:rsidRDefault="00D81A39" w:rsidP="00D81A39">
            <w:pPr>
              <w:spacing w:line="240" w:lineRule="auto"/>
              <w:ind w:left="347" w:hanging="347"/>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 xml:space="preserve">2. Вміст білка (в </w:t>
            </w:r>
            <w:r w:rsidRPr="00D81A39">
              <w:rPr>
                <w:rFonts w:ascii="Times New Roman" w:hAnsi="Times New Roman" w:cs="Times New Roman"/>
                <w:sz w:val="24"/>
                <w:szCs w:val="24"/>
              </w:rPr>
              <w:t>еквіваленті) у 100 грамах</w:t>
            </w:r>
            <w:r w:rsidRPr="00D81A39">
              <w:rPr>
                <w:rFonts w:ascii="Times New Roman" w:hAnsi="Times New Roman" w:cs="Times New Roman"/>
                <w:sz w:val="24"/>
                <w:szCs w:val="24"/>
                <w:lang w:val="ru-RU"/>
              </w:rPr>
              <w:t xml:space="preserve"> сухого продукту не більше 28,</w:t>
            </w:r>
            <w:proofErr w:type="gramStart"/>
            <w:r w:rsidRPr="00D81A39">
              <w:rPr>
                <w:rFonts w:ascii="Times New Roman" w:hAnsi="Times New Roman" w:cs="Times New Roman"/>
                <w:sz w:val="24"/>
                <w:szCs w:val="24"/>
                <w:lang w:val="ru-RU"/>
              </w:rPr>
              <w:t>0  грам.</w:t>
            </w:r>
            <w:proofErr w:type="gramEnd"/>
          </w:p>
          <w:p w:rsidR="00D81A39" w:rsidRPr="00D81A39" w:rsidRDefault="00D81A39" w:rsidP="00D81A39">
            <w:pPr>
              <w:spacing w:line="240" w:lineRule="auto"/>
              <w:ind w:left="347" w:hanging="347"/>
              <w:contextualSpacing/>
              <w:jc w:val="both"/>
              <w:rPr>
                <w:rFonts w:ascii="Times New Roman" w:hAnsi="Times New Roman" w:cs="Times New Roman"/>
                <w:sz w:val="24"/>
                <w:szCs w:val="24"/>
              </w:rPr>
            </w:pPr>
            <w:r w:rsidRPr="00D81A39">
              <w:rPr>
                <w:rFonts w:ascii="Times New Roman" w:hAnsi="Times New Roman" w:cs="Times New Roman"/>
                <w:color w:val="000000"/>
                <w:sz w:val="24"/>
                <w:szCs w:val="24"/>
              </w:rPr>
              <w:lastRenderedPageBreak/>
              <w:t>3. Енергетична цінність в 100 грамах сухого продукту – не більше 380 ккал.</w:t>
            </w:r>
          </w:p>
          <w:p w:rsidR="00D81A39" w:rsidRPr="00D81A39" w:rsidRDefault="00D81A39" w:rsidP="00D81A39">
            <w:pPr>
              <w:spacing w:line="240" w:lineRule="auto"/>
              <w:ind w:left="347" w:hanging="347"/>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4. Набір амінокислот (кількость) в суміші – найвищий</w:t>
            </w:r>
            <w:r>
              <w:rPr>
                <w:rFonts w:ascii="Times New Roman" w:hAnsi="Times New Roman" w:cs="Times New Roman"/>
                <w:sz w:val="24"/>
                <w:szCs w:val="24"/>
                <w:lang w:val="ru-RU"/>
              </w:rPr>
              <w:t>.</w:t>
            </w:r>
            <w:r w:rsidRPr="00D81A39">
              <w:rPr>
                <w:rFonts w:ascii="Times New Roman" w:hAnsi="Times New Roman" w:cs="Times New Roman"/>
                <w:sz w:val="24"/>
                <w:szCs w:val="24"/>
                <w:lang w:val="ru-RU"/>
              </w:rPr>
              <w:t xml:space="preserve"> </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5. Вміст суми незамінних та напівзамінних амінокислот (г) в 100 г білка – оптимальний, що адаптований до вікової категорії хворого.</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6. Вуглеводний комплекс забезпечено за рахунок моносахаридів та полісахаридів при мінімальному вмісті сахарози.</w:t>
            </w:r>
          </w:p>
          <w:p w:rsidR="00D81A39" w:rsidRPr="00D81A39" w:rsidRDefault="00D81A39" w:rsidP="00D81A39">
            <w:pPr>
              <w:spacing w:line="240" w:lineRule="auto"/>
              <w:ind w:left="347" w:hanging="347"/>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7. Присутність фенілаланіну допускається – згідно нормативів.</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8. Вміст тирозину (г) в 100 г білка – оптимальний, що адаптований до вікової категорії хворого – не більше 7,0 грам.</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9. Наявність в суміші необхідних мінеральних речовин, мікроелементів і вітамінів у збалансованій кількості згідно до норм вікової категорії хворого.</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 xml:space="preserve">10. Продукт повинен бути </w:t>
            </w:r>
            <w:r w:rsidRPr="00D81A39">
              <w:rPr>
                <w:rFonts w:ascii="Times New Roman" w:hAnsi="Times New Roman" w:cs="Times New Roman"/>
                <w:sz w:val="24"/>
                <w:szCs w:val="24"/>
              </w:rPr>
              <w:t xml:space="preserve">збагачений </w:t>
            </w:r>
            <w:proofErr w:type="spellStart"/>
            <w:r w:rsidRPr="00D81A39">
              <w:rPr>
                <w:rFonts w:ascii="Times New Roman" w:hAnsi="Times New Roman" w:cs="Times New Roman"/>
                <w:sz w:val="24"/>
                <w:szCs w:val="24"/>
              </w:rPr>
              <w:t>поліненасиченими</w:t>
            </w:r>
            <w:proofErr w:type="spellEnd"/>
            <w:r w:rsidRPr="00D81A39">
              <w:rPr>
                <w:rFonts w:ascii="Times New Roman" w:hAnsi="Times New Roman" w:cs="Times New Roman"/>
                <w:sz w:val="24"/>
                <w:szCs w:val="24"/>
              </w:rPr>
              <w:t xml:space="preserve"> жирними кислотами та харчовими</w:t>
            </w:r>
            <w:r w:rsidRPr="00D81A39">
              <w:rPr>
                <w:rFonts w:ascii="Times New Roman" w:hAnsi="Times New Roman" w:cs="Times New Roman"/>
                <w:sz w:val="24"/>
                <w:szCs w:val="24"/>
                <w:lang w:val="ru-RU"/>
              </w:rPr>
              <w:t xml:space="preserve"> волокнами.</w:t>
            </w:r>
          </w:p>
          <w:p w:rsidR="00D81A39" w:rsidRPr="00D81A39" w:rsidRDefault="00D81A39" w:rsidP="00D81A39">
            <w:pPr>
              <w:spacing w:line="240" w:lineRule="auto"/>
              <w:contextualSpacing/>
              <w:jc w:val="both"/>
              <w:rPr>
                <w:rFonts w:ascii="Times New Roman" w:hAnsi="Times New Roman" w:cs="Times New Roman"/>
                <w:sz w:val="24"/>
                <w:szCs w:val="24"/>
                <w:lang w:val="ru-RU"/>
              </w:rPr>
            </w:pPr>
            <w:r w:rsidRPr="00D81A39">
              <w:rPr>
                <w:rFonts w:ascii="Times New Roman" w:hAnsi="Times New Roman" w:cs="Times New Roman"/>
                <w:sz w:val="24"/>
                <w:szCs w:val="24"/>
                <w:lang w:val="ru-RU"/>
              </w:rPr>
              <w:t>11. Наявність докозагексаєновой кислоти (ДГК) у 100 мл суміші – не менше 180 мг.</w:t>
            </w:r>
          </w:p>
          <w:p w:rsidR="00EB3F16" w:rsidRPr="00D81A39" w:rsidRDefault="00D81A39" w:rsidP="00D81A39">
            <w:pPr>
              <w:spacing w:line="240" w:lineRule="auto"/>
              <w:contextualSpacing/>
              <w:jc w:val="both"/>
              <w:rPr>
                <w:rFonts w:ascii="Times New Roman" w:hAnsi="Times New Roman" w:cs="Times New Roman"/>
                <w:b/>
                <w:sz w:val="24"/>
                <w:szCs w:val="24"/>
                <w:lang w:val="ru-RU"/>
              </w:rPr>
            </w:pPr>
            <w:r w:rsidRPr="00D81A39">
              <w:rPr>
                <w:rFonts w:ascii="Times New Roman" w:hAnsi="Times New Roman" w:cs="Times New Roman"/>
                <w:sz w:val="24"/>
                <w:szCs w:val="24"/>
                <w:lang w:val="ru-RU"/>
              </w:rPr>
              <w:t xml:space="preserve">12. Продукт повинен бути </w:t>
            </w:r>
            <w:r w:rsidRPr="00D81A39">
              <w:rPr>
                <w:rFonts w:ascii="Times New Roman" w:hAnsi="Times New Roman" w:cs="Times New Roman"/>
                <w:sz w:val="24"/>
                <w:szCs w:val="24"/>
              </w:rPr>
              <w:t>вироблений з дотриманням</w:t>
            </w:r>
            <w:r w:rsidRPr="00D81A39">
              <w:rPr>
                <w:rFonts w:ascii="Times New Roman" w:hAnsi="Times New Roman" w:cs="Times New Roman"/>
                <w:sz w:val="24"/>
                <w:szCs w:val="24"/>
                <w:lang w:val="ru-RU"/>
              </w:rPr>
              <w:t xml:space="preserve"> умов належного виробництва та бути безпечним для використання.</w:t>
            </w:r>
          </w:p>
        </w:tc>
        <w:tc>
          <w:tcPr>
            <w:tcW w:w="968" w:type="dxa"/>
            <w:tcBorders>
              <w:top w:val="single" w:sz="4" w:space="0" w:color="auto"/>
              <w:left w:val="single" w:sz="4" w:space="0" w:color="auto"/>
              <w:bottom w:val="single" w:sz="4" w:space="0" w:color="auto"/>
              <w:right w:val="single" w:sz="4" w:space="0" w:color="auto"/>
            </w:tcBorders>
          </w:tcPr>
          <w:p w:rsidR="00D81A39" w:rsidRDefault="00D81A39" w:rsidP="00E2523D">
            <w:pPr>
              <w:jc w:val="center"/>
              <w:rPr>
                <w:rFonts w:ascii="Times New Roman" w:hAnsi="Times New Roman" w:cs="Times New Roman"/>
                <w:sz w:val="24"/>
                <w:szCs w:val="24"/>
              </w:rPr>
            </w:pPr>
          </w:p>
          <w:p w:rsidR="00EB3F16" w:rsidRPr="00EB3F16" w:rsidRDefault="00F972A6" w:rsidP="00E2523D">
            <w:pPr>
              <w:jc w:val="center"/>
              <w:rPr>
                <w:rFonts w:ascii="Times New Roman" w:hAnsi="Times New Roman" w:cs="Times New Roman"/>
                <w:sz w:val="24"/>
                <w:szCs w:val="24"/>
              </w:rPr>
            </w:pPr>
            <w:r>
              <w:rPr>
                <w:rFonts w:ascii="Times New Roman" w:hAnsi="Times New Roman" w:cs="Times New Roman"/>
                <w:sz w:val="24"/>
                <w:szCs w:val="24"/>
              </w:rPr>
              <w:t>с</w:t>
            </w:r>
            <w:bookmarkStart w:id="0" w:name="_GoBack"/>
            <w:bookmarkEnd w:id="0"/>
            <w:r w:rsidR="00D81A39">
              <w:rPr>
                <w:rFonts w:ascii="Times New Roman" w:hAnsi="Times New Roman" w:cs="Times New Roman"/>
                <w:sz w:val="24"/>
                <w:szCs w:val="24"/>
              </w:rPr>
              <w:t>аше</w:t>
            </w:r>
            <w:r>
              <w:rPr>
                <w:rFonts w:ascii="Times New Roman" w:hAnsi="Times New Roman" w:cs="Times New Roman"/>
                <w:sz w:val="24"/>
                <w:szCs w:val="24"/>
              </w:rPr>
              <w:t>/штука</w:t>
            </w:r>
          </w:p>
        </w:tc>
        <w:tc>
          <w:tcPr>
            <w:tcW w:w="1275" w:type="dxa"/>
            <w:tcBorders>
              <w:top w:val="single" w:sz="4" w:space="0" w:color="auto"/>
              <w:left w:val="single" w:sz="4" w:space="0" w:color="auto"/>
              <w:bottom w:val="single" w:sz="4" w:space="0" w:color="auto"/>
              <w:right w:val="single" w:sz="4" w:space="0" w:color="auto"/>
            </w:tcBorders>
          </w:tcPr>
          <w:p w:rsidR="00D81A39" w:rsidRDefault="00D81A39" w:rsidP="00E2523D">
            <w:pPr>
              <w:tabs>
                <w:tab w:val="left" w:pos="0"/>
              </w:tabs>
              <w:spacing w:after="0" w:line="228" w:lineRule="auto"/>
              <w:jc w:val="center"/>
              <w:rPr>
                <w:rFonts w:ascii="Times New Roman" w:hAnsi="Times New Roman" w:cs="Times New Roman"/>
                <w:sz w:val="24"/>
                <w:szCs w:val="24"/>
              </w:rPr>
            </w:pPr>
          </w:p>
          <w:p w:rsidR="00D81A39" w:rsidRDefault="00D81A39" w:rsidP="00E2523D">
            <w:pPr>
              <w:tabs>
                <w:tab w:val="left" w:pos="0"/>
              </w:tabs>
              <w:spacing w:after="0" w:line="228" w:lineRule="auto"/>
              <w:jc w:val="center"/>
              <w:rPr>
                <w:rFonts w:ascii="Times New Roman" w:hAnsi="Times New Roman" w:cs="Times New Roman"/>
                <w:sz w:val="24"/>
                <w:szCs w:val="24"/>
              </w:rPr>
            </w:pPr>
          </w:p>
          <w:p w:rsidR="00EB3F16" w:rsidRPr="00EB3F16" w:rsidRDefault="00D81A39" w:rsidP="00E2523D">
            <w:pPr>
              <w:tabs>
                <w:tab w:val="left" w:pos="0"/>
              </w:tabs>
              <w:spacing w:after="0" w:line="228" w:lineRule="auto"/>
              <w:jc w:val="center"/>
              <w:rPr>
                <w:rFonts w:ascii="Times New Roman" w:hAnsi="Times New Roman" w:cs="Times New Roman"/>
                <w:sz w:val="24"/>
                <w:szCs w:val="24"/>
              </w:rPr>
            </w:pPr>
            <w:r>
              <w:rPr>
                <w:rFonts w:ascii="Times New Roman" w:hAnsi="Times New Roman" w:cs="Times New Roman"/>
                <w:sz w:val="24"/>
                <w:szCs w:val="24"/>
              </w:rPr>
              <w:t>300</w:t>
            </w:r>
          </w:p>
        </w:tc>
      </w:tr>
    </w:tbl>
    <w:p w:rsidR="00C07AAB" w:rsidRDefault="00C07AAB" w:rsidP="00C07AAB">
      <w:pPr>
        <w:pStyle w:val="ListParagraph2"/>
        <w:ind w:left="0"/>
        <w:jc w:val="both"/>
        <w:rPr>
          <w:lang w:val="uk-UA"/>
        </w:rPr>
      </w:pP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2. Товар має бути зареєстрований в Україні, якість товару повинна відповідати вимогам, встановленим до нього загальнообов’язковими на території України нормами і правилами, і підтверджуватися сертифікатом якості або сертифікатом аналізу, висновком санітарно-гігієнічної експертизи, тощо. Якщо ця норма не є обов’язковою відповідно до норм діючого законодавства, учасник повинен надати відповідний лист – роз’яснення.</w:t>
      </w:r>
    </w:p>
    <w:p w:rsidR="00151229" w:rsidRPr="00151229" w:rsidRDefault="00151229" w:rsidP="00D72955">
      <w:pPr>
        <w:spacing w:line="240" w:lineRule="auto"/>
        <w:contextualSpacing/>
        <w:jc w:val="both"/>
        <w:rPr>
          <w:rFonts w:ascii="Times New Roman" w:eastAsia="Times New Roman" w:hAnsi="Times New Roman" w:cs="Times New Roman"/>
          <w:i/>
          <w:sz w:val="24"/>
          <w:szCs w:val="24"/>
        </w:rPr>
      </w:pPr>
      <w:r w:rsidRPr="00151229">
        <w:rPr>
          <w:rFonts w:ascii="Times New Roman" w:eastAsia="Times New Roman" w:hAnsi="Times New Roman" w:cs="Times New Roman"/>
          <w:i/>
          <w:sz w:val="24"/>
          <w:szCs w:val="24"/>
        </w:rPr>
        <w:t>Для підтвердження учасник надає копії відповідних документів.</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3. Продукт повинен бути вироблений з дотриманням умов належного виробництва та бути безпечним для використання.</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D72955">
        <w:rPr>
          <w:rFonts w:ascii="Times New Roman" w:eastAsia="Times New Roman" w:hAnsi="Times New Roman" w:cs="Times New Roman"/>
          <w:i/>
          <w:sz w:val="24"/>
          <w:szCs w:val="24"/>
        </w:rPr>
        <w:t>Для підтвердження Учасник надає копію міжнародного сертифікату якості на товар.</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4. Мовою маркування продуктів лікувального харчування, інструкцій про їх застосування є державна (українська) мова, якщо інше не передбачено законом.</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D72955">
        <w:rPr>
          <w:rFonts w:ascii="Times New Roman" w:eastAsia="Times New Roman" w:hAnsi="Times New Roman" w:cs="Times New Roman"/>
          <w:i/>
          <w:sz w:val="24"/>
          <w:szCs w:val="24"/>
        </w:rPr>
        <w:t>Товар повинен мати інструкцію з його застосування.</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 xml:space="preserve">5. Залишковий строк придатності товару на момент поставки на склад Замовника має становити не менше </w:t>
      </w:r>
      <w:r w:rsidR="00563A08">
        <w:rPr>
          <w:rFonts w:ascii="Times New Roman" w:eastAsia="Times New Roman" w:hAnsi="Times New Roman" w:cs="Times New Roman"/>
          <w:sz w:val="24"/>
          <w:szCs w:val="24"/>
        </w:rPr>
        <w:t>7</w:t>
      </w:r>
      <w:r w:rsidRPr="00151229">
        <w:rPr>
          <w:rFonts w:ascii="Times New Roman" w:eastAsia="Times New Roman" w:hAnsi="Times New Roman" w:cs="Times New Roman"/>
          <w:sz w:val="24"/>
          <w:szCs w:val="24"/>
        </w:rPr>
        <w:t>0% від загального строку придатності, що встановлений виробником відповідного товару.</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D72955">
        <w:rPr>
          <w:rFonts w:ascii="Times New Roman" w:eastAsia="Times New Roman" w:hAnsi="Times New Roman" w:cs="Times New Roman"/>
          <w:i/>
          <w:sz w:val="24"/>
          <w:szCs w:val="24"/>
        </w:rPr>
        <w:t>Для підтвердження учасник надає гарантійний лист про термін придатності товару.</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6. Оригіналу гарантійного листа, наданого безпосередньо виробником або його уповноваженим представником в Україні (якщо учасник не є виробником товару), який підтверджує можливість поставки товару, що є предметом закупівлі, у необхідній кількості, якості та у терміни, визначені документацією. У випадку, якщо гарантійній лист виданий представником виробника, учасник зобов’язаний надати документальне підтвердження повноважень такого представника щодо підписання (видачі) таких гарантійних листів (договір, довіреність).</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7. Якщо учасник пропонує інший товар (аналог або еквівалент) ніж передбачений цією документацією, учасник повинен надати у складі Тендерної пропозиції таблицю відповідності запропонованого товару медико-технічним вимогам та висновок про еквівалентність, який виданий державною установою, яка акредитована на проведення робіт із гігієнічної регламентації.</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Еквівалентом вважається еквівалентний товар, який є за своїми описовими, кількісними, фармакологічними та іншими характеристиками є ідентичним товару для закупівлі, зокрема має ідентичні наступні характеристики (ознаками):</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(a) Призначення / методи / способи застосування;</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(b) Кількість застосувань ( при однакових витратах);</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(c) Склад ( в тому числі кількісний та якісний вміст складових), фізичні характеристики;</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lastRenderedPageBreak/>
        <w:t>(d) Небезпечні фактори та вплив на живі організми й довкілля (протипоказання, побічна дія (ефекти);</w:t>
      </w:r>
    </w:p>
    <w:p w:rsidR="00151229" w:rsidRPr="00151229" w:rsidRDefault="00151229" w:rsidP="00D72955">
      <w:pPr>
        <w:spacing w:line="240" w:lineRule="auto"/>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(e) взаємодія з іншими лікарськими засобами (речовинами) та інші види взаємодії.</w:t>
      </w:r>
    </w:p>
    <w:p w:rsidR="00151229" w:rsidRPr="00151229" w:rsidRDefault="00151229" w:rsidP="00151229">
      <w:pPr>
        <w:spacing w:line="240" w:lineRule="auto"/>
        <w:ind w:firstLine="709"/>
        <w:contextualSpacing/>
        <w:jc w:val="both"/>
        <w:rPr>
          <w:rFonts w:ascii="Times New Roman" w:eastAsia="Times New Roman" w:hAnsi="Times New Roman" w:cs="Times New Roman"/>
          <w:sz w:val="24"/>
          <w:szCs w:val="24"/>
        </w:rPr>
      </w:pP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8. Товар повинен постачатися транспортом Постачальника та за рахунок Постачальника. Учасник забезпечує таке пакування товару, яке необхідне для запобігання його пошкодженню або псуванню під час транспортування до кінцевого пункту призначення.</w:t>
      </w:r>
    </w:p>
    <w:p w:rsidR="00151229" w:rsidRPr="00151229" w:rsidRDefault="00151229" w:rsidP="00D72955">
      <w:pPr>
        <w:spacing w:line="240" w:lineRule="auto"/>
        <w:ind w:firstLine="284"/>
        <w:contextualSpacing/>
        <w:jc w:val="both"/>
        <w:rPr>
          <w:rFonts w:ascii="Times New Roman" w:eastAsia="Times New Roman" w:hAnsi="Times New Roman" w:cs="Times New Roman"/>
          <w:sz w:val="24"/>
          <w:szCs w:val="24"/>
        </w:rPr>
      </w:pPr>
      <w:r w:rsidRPr="00151229">
        <w:rPr>
          <w:rFonts w:ascii="Times New Roman" w:eastAsia="Times New Roman" w:hAnsi="Times New Roman" w:cs="Times New Roman"/>
          <w:sz w:val="24"/>
          <w:szCs w:val="24"/>
        </w:rPr>
        <w:t>9. Товар має супроводжуватися документами, що підтверджують асортимент та кількість (накладними).</w:t>
      </w:r>
    </w:p>
    <w:p w:rsidR="005A2C87" w:rsidRPr="00151229" w:rsidRDefault="00151229" w:rsidP="00D72955">
      <w:pPr>
        <w:spacing w:line="240" w:lineRule="auto"/>
        <w:ind w:firstLine="284"/>
        <w:contextualSpacing/>
        <w:jc w:val="both"/>
        <w:rPr>
          <w:rFonts w:ascii="Times New Roman" w:hAnsi="Times New Roman" w:cs="Times New Roman"/>
          <w:color w:val="000000"/>
          <w:kern w:val="24"/>
          <w:sz w:val="24"/>
          <w:szCs w:val="24"/>
          <w:lang w:val="ru-RU"/>
        </w:rPr>
      </w:pPr>
      <w:r w:rsidRPr="00151229">
        <w:rPr>
          <w:rFonts w:ascii="Times New Roman" w:eastAsia="Times New Roman" w:hAnsi="Times New Roman" w:cs="Times New Roman"/>
          <w:sz w:val="24"/>
          <w:szCs w:val="24"/>
        </w:rPr>
        <w:t>10. Запропонований товар повинен відповідати вимогам чинного законодавства із захисту довкілля. Для підтвердження учасник надає лист в довільній формі про застосування заходів із захисту довкілля.</w:t>
      </w:r>
    </w:p>
    <w:p w:rsidR="005A2C87" w:rsidRDefault="005A2C87" w:rsidP="0047109A">
      <w:pPr>
        <w:spacing w:after="0" w:line="240" w:lineRule="auto"/>
        <w:ind w:left="2832" w:firstLine="708"/>
        <w:rPr>
          <w:rFonts w:ascii="Times New Roman" w:hAnsi="Times New Roman" w:cs="Times New Roman"/>
          <w:b/>
          <w:bCs/>
          <w:color w:val="000000"/>
          <w:sz w:val="28"/>
          <w:szCs w:val="28"/>
        </w:rPr>
      </w:pPr>
    </w:p>
    <w:p w:rsidR="00554571" w:rsidRPr="005B2F5E" w:rsidRDefault="00554571" w:rsidP="00554571">
      <w:pPr>
        <w:shd w:val="clear" w:color="auto" w:fill="FFFFFF"/>
        <w:jc w:val="center"/>
        <w:rPr>
          <w:rFonts w:ascii="Times New Roman" w:hAnsi="Times New Roman" w:cs="Times New Roman"/>
          <w:b/>
          <w:bCs/>
          <w:sz w:val="24"/>
          <w:szCs w:val="24"/>
        </w:rPr>
      </w:pPr>
      <w:r w:rsidRPr="005B2F5E">
        <w:rPr>
          <w:rFonts w:ascii="Times New Roman" w:hAnsi="Times New Roman" w:cs="Times New Roman"/>
          <w:b/>
          <w:bCs/>
          <w:sz w:val="24"/>
          <w:szCs w:val="24"/>
        </w:rPr>
        <w:t>Обґрунтування визначення медико- технічних вимог (МТВ) до предмета закупівлі</w:t>
      </w:r>
    </w:p>
    <w:p w:rsidR="00554571" w:rsidRPr="005B2F5E" w:rsidRDefault="00554571" w:rsidP="00554571">
      <w:pPr>
        <w:shd w:val="clear" w:color="auto" w:fill="FFFFFF"/>
        <w:suppressAutoHyphens/>
        <w:autoSpaceDE w:val="0"/>
        <w:ind w:firstLine="284"/>
        <w:jc w:val="both"/>
        <w:rPr>
          <w:rFonts w:ascii="Times New Roman" w:eastAsia="Symbol" w:hAnsi="Times New Roman" w:cs="Times New Roman"/>
          <w:bCs/>
          <w:sz w:val="24"/>
          <w:szCs w:val="24"/>
          <w:lang w:eastAsia="zh-CN"/>
        </w:rPr>
      </w:pPr>
      <w:r w:rsidRPr="005B2F5E">
        <w:rPr>
          <w:rFonts w:ascii="Times New Roman" w:hAnsi="Times New Roman" w:cs="Times New Roman"/>
          <w:bCs/>
          <w:sz w:val="24"/>
          <w:szCs w:val="24"/>
          <w:lang w:eastAsia="zh-CN"/>
        </w:rPr>
        <w:t>Потреба та технічні, якісні та кількісні характеристики предмета закупівлі формувались на базі орієнтовних критеріїв підбору спеціальних продуктів лікувального харчування для дітей, хворих на фенілкетонурію, що розроблені на основі Наказу Міністерства охорони України №2498 від 17.12.2019 року «Про затвердження методичних рекомендацій з планування та розрахунку потреби в лікарських засобах, продуктах спеціального харчування та виробах медичного призначення, що закуповуються за рахунок коштів де</w:t>
      </w:r>
      <w:r>
        <w:rPr>
          <w:rFonts w:ascii="Times New Roman" w:hAnsi="Times New Roman" w:cs="Times New Roman"/>
          <w:bCs/>
          <w:sz w:val="24"/>
          <w:szCs w:val="24"/>
          <w:lang w:eastAsia="zh-CN"/>
        </w:rPr>
        <w:t>ржавного та місцевого бюджетів».</w:t>
      </w:r>
    </w:p>
    <w:p w:rsidR="00554571" w:rsidRPr="005B2F5E" w:rsidRDefault="00554571" w:rsidP="0047109A">
      <w:pPr>
        <w:spacing w:after="0" w:line="240" w:lineRule="auto"/>
        <w:ind w:left="2832" w:firstLine="708"/>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p w:rsidR="005A2C87" w:rsidRDefault="005A2C87" w:rsidP="005A2C87">
      <w:pPr>
        <w:spacing w:after="0" w:line="240" w:lineRule="auto"/>
        <w:ind w:left="2832" w:firstLine="708"/>
        <w:jc w:val="right"/>
        <w:rPr>
          <w:rFonts w:ascii="Times New Roman" w:hAnsi="Times New Roman" w:cs="Times New Roman"/>
          <w:b/>
          <w:bCs/>
          <w:color w:val="000000"/>
          <w:sz w:val="28"/>
          <w:szCs w:val="28"/>
        </w:rPr>
      </w:pPr>
    </w:p>
    <w:sectPr w:rsidR="005A2C87" w:rsidSect="00A237E7">
      <w:pgSz w:w="11906" w:h="16838"/>
      <w:pgMar w:top="709"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D3153"/>
    <w:multiLevelType w:val="hybridMultilevel"/>
    <w:tmpl w:val="9948E1FA"/>
    <w:lvl w:ilvl="0" w:tplc="C0169A5A">
      <w:start w:val="1"/>
      <w:numFmt w:val="decimal"/>
      <w:lvlText w:val="%1."/>
      <w:lvlJc w:val="left"/>
      <w:pPr>
        <w:ind w:left="1068" w:hanging="360"/>
      </w:pPr>
      <w:rPr>
        <w:rFonts w:hint="default"/>
        <w:b w:val="0"/>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121A2D7C"/>
    <w:multiLevelType w:val="hybridMultilevel"/>
    <w:tmpl w:val="17488C6A"/>
    <w:lvl w:ilvl="0" w:tplc="612434EA">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40AC3F5D"/>
    <w:multiLevelType w:val="hybridMultilevel"/>
    <w:tmpl w:val="8DF2FB3C"/>
    <w:lvl w:ilvl="0" w:tplc="E4AE8B9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ECC7BF8"/>
    <w:multiLevelType w:val="hybridMultilevel"/>
    <w:tmpl w:val="2ABAAFDC"/>
    <w:lvl w:ilvl="0" w:tplc="2E9226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EFF"/>
    <w:rsid w:val="0001436B"/>
    <w:rsid w:val="0003042A"/>
    <w:rsid w:val="0011128C"/>
    <w:rsid w:val="0013636F"/>
    <w:rsid w:val="00151229"/>
    <w:rsid w:val="00156535"/>
    <w:rsid w:val="001C67D0"/>
    <w:rsid w:val="001E7A3D"/>
    <w:rsid w:val="001F4EFF"/>
    <w:rsid w:val="0028612A"/>
    <w:rsid w:val="002B5715"/>
    <w:rsid w:val="00301C65"/>
    <w:rsid w:val="0047109A"/>
    <w:rsid w:val="00471682"/>
    <w:rsid w:val="004F5671"/>
    <w:rsid w:val="00554571"/>
    <w:rsid w:val="00563A08"/>
    <w:rsid w:val="005720A3"/>
    <w:rsid w:val="005A2C87"/>
    <w:rsid w:val="005B2F5E"/>
    <w:rsid w:val="005B37BD"/>
    <w:rsid w:val="005C2CEB"/>
    <w:rsid w:val="00601867"/>
    <w:rsid w:val="00743DC9"/>
    <w:rsid w:val="007D39DD"/>
    <w:rsid w:val="00840E09"/>
    <w:rsid w:val="00843E45"/>
    <w:rsid w:val="008826F8"/>
    <w:rsid w:val="00967FDC"/>
    <w:rsid w:val="009C269F"/>
    <w:rsid w:val="00A237E7"/>
    <w:rsid w:val="00A432F3"/>
    <w:rsid w:val="00A66490"/>
    <w:rsid w:val="00B44107"/>
    <w:rsid w:val="00B65F11"/>
    <w:rsid w:val="00B72DA1"/>
    <w:rsid w:val="00C07AAB"/>
    <w:rsid w:val="00D72955"/>
    <w:rsid w:val="00D81A39"/>
    <w:rsid w:val="00E47B61"/>
    <w:rsid w:val="00EB3F16"/>
    <w:rsid w:val="00F972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F55E"/>
  <w15:chartTrackingRefBased/>
  <w15:docId w15:val="{33379022-D6CE-4C69-B67E-79DCC253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2C87"/>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Number Bullets,AC List 01,название табл/рис"/>
    <w:basedOn w:val="a"/>
    <w:link w:val="a4"/>
    <w:uiPriority w:val="34"/>
    <w:qFormat/>
    <w:rsid w:val="005A2C87"/>
    <w:pPr>
      <w:ind w:left="720"/>
      <w:contextualSpacing/>
    </w:pPr>
  </w:style>
  <w:style w:type="character" w:customStyle="1" w:styleId="a4">
    <w:name w:val="Абзац списка Знак"/>
    <w:aliases w:val="Number Bullets Знак,AC List 01 Знак,название табл/рис Знак"/>
    <w:link w:val="a3"/>
    <w:uiPriority w:val="34"/>
    <w:locked/>
    <w:rsid w:val="005A2C87"/>
    <w:rPr>
      <w:rFonts w:ascii="Calibri" w:eastAsia="Calibri" w:hAnsi="Calibri" w:cs="Calibri"/>
      <w:lang w:eastAsia="ru-RU"/>
    </w:rPr>
  </w:style>
  <w:style w:type="paragraph" w:styleId="a5">
    <w:name w:val="Body Text Indent"/>
    <w:basedOn w:val="a"/>
    <w:link w:val="a6"/>
    <w:rsid w:val="005A2C87"/>
    <w:pPr>
      <w:spacing w:after="120" w:line="240" w:lineRule="auto"/>
      <w:ind w:left="283"/>
    </w:pPr>
    <w:rPr>
      <w:rFonts w:ascii="Times New Roman" w:eastAsia="Times New Roman" w:hAnsi="Times New Roman" w:cs="Times New Roman"/>
      <w:sz w:val="24"/>
      <w:szCs w:val="24"/>
      <w:lang w:val="ru-RU"/>
    </w:rPr>
  </w:style>
  <w:style w:type="character" w:customStyle="1" w:styleId="a6">
    <w:name w:val="Основной текст с отступом Знак"/>
    <w:basedOn w:val="a0"/>
    <w:link w:val="a5"/>
    <w:rsid w:val="005A2C87"/>
    <w:rPr>
      <w:rFonts w:ascii="Times New Roman" w:eastAsia="Times New Roman" w:hAnsi="Times New Roman" w:cs="Times New Roman"/>
      <w:sz w:val="24"/>
      <w:szCs w:val="24"/>
      <w:lang w:val="ru-RU" w:eastAsia="ru-RU"/>
    </w:rPr>
  </w:style>
  <w:style w:type="paragraph" w:styleId="a7">
    <w:name w:val="Balloon Text"/>
    <w:basedOn w:val="a"/>
    <w:link w:val="a8"/>
    <w:uiPriority w:val="99"/>
    <w:semiHidden/>
    <w:unhideWhenUsed/>
    <w:rsid w:val="0060186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601867"/>
    <w:rPr>
      <w:rFonts w:ascii="Segoe UI" w:eastAsia="Calibri" w:hAnsi="Segoe UI" w:cs="Segoe UI"/>
      <w:sz w:val="18"/>
      <w:szCs w:val="18"/>
      <w:lang w:eastAsia="ru-RU"/>
    </w:rPr>
  </w:style>
  <w:style w:type="paragraph" w:styleId="a9">
    <w:name w:val="No Spacing"/>
    <w:uiPriority w:val="1"/>
    <w:qFormat/>
    <w:rsid w:val="005B2F5E"/>
    <w:pPr>
      <w:spacing w:after="0" w:line="240" w:lineRule="auto"/>
    </w:pPr>
    <w:rPr>
      <w:rFonts w:ascii="Calibri" w:eastAsia="Calibri" w:hAnsi="Calibri" w:cs="Times New Roman"/>
    </w:rPr>
  </w:style>
  <w:style w:type="paragraph" w:customStyle="1" w:styleId="ListParagraph2">
    <w:name w:val="List Paragraph2"/>
    <w:basedOn w:val="a"/>
    <w:uiPriority w:val="99"/>
    <w:rsid w:val="00C07AAB"/>
    <w:pPr>
      <w:spacing w:after="0" w:line="240" w:lineRule="auto"/>
      <w:ind w:left="720"/>
      <w:contextualSpacing/>
    </w:pPr>
    <w:rPr>
      <w:rFonts w:ascii="Times New Roman" w:eastAsia="Times New Roman" w:hAnsi="Times New Roman" w:cs="Times New Roman"/>
      <w:sz w:val="24"/>
      <w:szCs w:val="24"/>
      <w:lang w:val="ru-RU"/>
    </w:rPr>
  </w:style>
  <w:style w:type="paragraph" w:styleId="aa">
    <w:name w:val="Normal (Web)"/>
    <w:basedOn w:val="a"/>
    <w:uiPriority w:val="99"/>
    <w:unhideWhenUsed/>
    <w:rsid w:val="00D81A39"/>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57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3</Pages>
  <Words>1066</Words>
  <Characters>6082</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Обліковий запис Microsoft</dc:creator>
  <cp:keywords/>
  <dc:description/>
  <cp:lastModifiedBy>Admin</cp:lastModifiedBy>
  <cp:revision>26</cp:revision>
  <cp:lastPrinted>2026-05-15T07:09:00Z</cp:lastPrinted>
  <dcterms:created xsi:type="dcterms:W3CDTF">2024-09-04T06:31:00Z</dcterms:created>
  <dcterms:modified xsi:type="dcterms:W3CDTF">2026-05-25T10:53:00Z</dcterms:modified>
</cp:coreProperties>
</file>