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74A2" w:rsidRPr="00033BF1" w:rsidRDefault="00BF23F8" w:rsidP="00A56B76">
      <w:pPr>
        <w:pStyle w:val="ConsPlusNonformat"/>
        <w:jc w:val="both"/>
        <w:rPr>
          <w:rFonts w:ascii="Times New Roman" w:hAnsi="Times New Roman" w:cs="Times New Roman"/>
          <w:color w:val="000000"/>
          <w:sz w:val="32"/>
          <w:szCs w:val="32"/>
        </w:rPr>
      </w:pPr>
      <w:bookmarkStart w:id="0" w:name="_GoBack"/>
      <w:bookmarkEnd w:id="0"/>
      <w:r w:rsidRPr="00033BF1">
        <w:rPr>
          <w:rFonts w:ascii="Times New Roman" w:hAnsi="Times New Roman" w:cs="Times New Roman"/>
          <w:color w:val="000000"/>
          <w:sz w:val="32"/>
          <w:szCs w:val="32"/>
        </w:rPr>
        <w:t xml:space="preserve"> </w:t>
      </w:r>
      <w:r w:rsidR="00D674A2" w:rsidRPr="00033BF1">
        <w:rPr>
          <w:rFonts w:ascii="Times New Roman" w:hAnsi="Times New Roman" w:cs="Times New Roman"/>
          <w:color w:val="000000"/>
          <w:sz w:val="32"/>
          <w:szCs w:val="32"/>
        </w:rPr>
        <w:t xml:space="preserve">                 </w:t>
      </w:r>
      <w:r w:rsidRPr="00033BF1">
        <w:rPr>
          <w:rFonts w:ascii="Times New Roman" w:hAnsi="Times New Roman" w:cs="Times New Roman"/>
          <w:color w:val="000000"/>
          <w:sz w:val="32"/>
          <w:szCs w:val="32"/>
        </w:rPr>
        <w:t xml:space="preserve">                   </w:t>
      </w:r>
      <w:r w:rsidR="00D674A2" w:rsidRPr="00033BF1">
        <w:rPr>
          <w:rFonts w:ascii="Times New Roman" w:hAnsi="Times New Roman" w:cs="Times New Roman"/>
          <w:color w:val="000000"/>
          <w:sz w:val="32"/>
          <w:szCs w:val="32"/>
        </w:rPr>
        <w:t>УТВЕРЖДЕНО</w:t>
      </w:r>
    </w:p>
    <w:p w:rsidR="00D674A2" w:rsidRPr="00033BF1" w:rsidRDefault="00D674A2" w:rsidP="00A56B76">
      <w:pPr>
        <w:pStyle w:val="ConsPlusNonformat"/>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                                     Постановление</w:t>
      </w:r>
    </w:p>
    <w:p w:rsidR="00D674A2" w:rsidRPr="00033BF1" w:rsidRDefault="00D674A2" w:rsidP="00A56B76">
      <w:pPr>
        <w:pStyle w:val="ConsPlusNonformat"/>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                                     Министерства</w:t>
      </w:r>
    </w:p>
    <w:p w:rsidR="00D674A2" w:rsidRPr="00033BF1" w:rsidRDefault="00D674A2" w:rsidP="00A56B76">
      <w:pPr>
        <w:pStyle w:val="ConsPlusNonformat"/>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                                     по чрезвычайным ситуациям</w:t>
      </w:r>
    </w:p>
    <w:p w:rsidR="00D674A2" w:rsidRPr="00033BF1" w:rsidRDefault="00D674A2" w:rsidP="00A56B76">
      <w:pPr>
        <w:pStyle w:val="ConsPlusNonformat"/>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                                     Республики Беларусь</w:t>
      </w:r>
    </w:p>
    <w:p w:rsidR="00D674A2" w:rsidRPr="00033BF1" w:rsidRDefault="00D674A2" w:rsidP="00A56B76">
      <w:pPr>
        <w:pStyle w:val="ConsPlusNonformat"/>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                                     19.04.2019 N 33</w:t>
      </w:r>
    </w:p>
    <w:p w:rsidR="00D674A2" w:rsidRPr="00033BF1" w:rsidRDefault="00D674A2" w:rsidP="00A56B76">
      <w:pPr>
        <w:pStyle w:val="ConsPlusNormal"/>
        <w:rPr>
          <w:rFonts w:ascii="Times New Roman" w:hAnsi="Times New Roman" w:cs="Times New Roman"/>
          <w:color w:val="000000"/>
          <w:sz w:val="32"/>
          <w:szCs w:val="32"/>
        </w:rPr>
      </w:pPr>
    </w:p>
    <w:p w:rsidR="00D674A2" w:rsidRPr="00033BF1" w:rsidRDefault="00D674A2" w:rsidP="00A56B76">
      <w:pPr>
        <w:pStyle w:val="ConsPlusNormal"/>
        <w:jc w:val="center"/>
        <w:rPr>
          <w:rFonts w:ascii="Times New Roman" w:hAnsi="Times New Roman" w:cs="Times New Roman"/>
          <w:b/>
          <w:bCs/>
          <w:color w:val="000000"/>
          <w:sz w:val="32"/>
          <w:szCs w:val="32"/>
        </w:rPr>
      </w:pPr>
      <w:bookmarkStart w:id="1" w:name="Par31"/>
      <w:bookmarkEnd w:id="1"/>
      <w:r w:rsidRPr="00033BF1">
        <w:rPr>
          <w:rFonts w:ascii="Times New Roman" w:hAnsi="Times New Roman" w:cs="Times New Roman"/>
          <w:b/>
          <w:bCs/>
          <w:color w:val="000000"/>
          <w:sz w:val="32"/>
          <w:szCs w:val="32"/>
        </w:rPr>
        <w:t>ИНСТРУКЦИЯ</w:t>
      </w:r>
    </w:p>
    <w:p w:rsidR="00D674A2" w:rsidRPr="00033BF1" w:rsidRDefault="00D674A2" w:rsidP="00A56B76">
      <w:pPr>
        <w:pStyle w:val="ConsPlusNormal"/>
        <w:jc w:val="center"/>
        <w:rPr>
          <w:rFonts w:ascii="Times New Roman" w:hAnsi="Times New Roman" w:cs="Times New Roman"/>
          <w:b/>
          <w:bCs/>
          <w:color w:val="000000"/>
          <w:sz w:val="32"/>
          <w:szCs w:val="32"/>
        </w:rPr>
      </w:pPr>
      <w:r w:rsidRPr="00033BF1">
        <w:rPr>
          <w:rFonts w:ascii="Times New Roman" w:hAnsi="Times New Roman" w:cs="Times New Roman"/>
          <w:b/>
          <w:bCs/>
          <w:color w:val="000000"/>
          <w:sz w:val="32"/>
          <w:szCs w:val="32"/>
        </w:rPr>
        <w:t>О ПОРЯДКЕ ОСУЩЕСТВЛЕНИЯ ДЕПАРТАМЕНТОМ ПО НАДЗОРУ ЗА БЕЗОПАСНЫМ ВЕДЕНИЕМ РАБОТ В ПРОМЫШЛЕННОСТИ МИНИСТЕРСТВА ПО ЧРЕЗВЫЧАЙНЫМ СИТУАЦИЯМ РЕСПУБЛИКИ БЕЛАРУСЬ МЕРОПРИЯТИЙ ТЕХНИЧЕСКОГО (ТЕХНОЛОГИЧЕСКОГО, ПОВЕРОЧНОГО) ХАРАКТЕРА</w:t>
      </w:r>
    </w:p>
    <w:p w:rsidR="00D674A2" w:rsidRPr="00033BF1" w:rsidRDefault="00D674A2" w:rsidP="00A56B76">
      <w:pPr>
        <w:pStyle w:val="ConsPlusNormal"/>
        <w:rPr>
          <w:rFonts w:ascii="Times New Roman" w:hAnsi="Times New Roman" w:cs="Times New Roman"/>
          <w:color w:val="000000"/>
          <w:sz w:val="32"/>
          <w:szCs w:val="32"/>
        </w:rPr>
      </w:pPr>
    </w:p>
    <w:tbl>
      <w:tblPr>
        <w:tblW w:w="9355" w:type="dxa"/>
        <w:jc w:val="center"/>
        <w:tblLayout w:type="fixed"/>
        <w:tblCellMar>
          <w:top w:w="113" w:type="dxa"/>
          <w:left w:w="113" w:type="dxa"/>
          <w:bottom w:w="113" w:type="dxa"/>
          <w:right w:w="113" w:type="dxa"/>
        </w:tblCellMar>
        <w:tblLook w:val="0000" w:firstRow="0" w:lastRow="0" w:firstColumn="0" w:lastColumn="0" w:noHBand="0" w:noVBand="0"/>
      </w:tblPr>
      <w:tblGrid>
        <w:gridCol w:w="9355"/>
      </w:tblGrid>
      <w:tr w:rsidR="00D674A2" w:rsidRPr="00033BF1">
        <w:trPr>
          <w:jc w:val="center"/>
        </w:trPr>
        <w:tc>
          <w:tcPr>
            <w:tcW w:w="9295" w:type="dxa"/>
            <w:tcBorders>
              <w:left w:val="single" w:sz="24" w:space="0" w:color="CED3F1"/>
              <w:right w:val="single" w:sz="24" w:space="0" w:color="F4F3F8"/>
            </w:tcBorders>
            <w:shd w:val="clear" w:color="auto" w:fill="F4F3F8"/>
          </w:tcPr>
          <w:p w:rsidR="00D674A2" w:rsidRPr="00033BF1" w:rsidRDefault="00D674A2" w:rsidP="00A56B76">
            <w:pPr>
              <w:pStyle w:val="ConsPlusNormal"/>
              <w:jc w:val="center"/>
              <w:rPr>
                <w:rFonts w:ascii="Times New Roman" w:hAnsi="Times New Roman" w:cs="Times New Roman"/>
                <w:color w:val="000000"/>
                <w:sz w:val="32"/>
                <w:szCs w:val="32"/>
              </w:rPr>
            </w:pPr>
            <w:r w:rsidRPr="00033BF1">
              <w:rPr>
                <w:rFonts w:ascii="Times New Roman" w:hAnsi="Times New Roman" w:cs="Times New Roman"/>
                <w:color w:val="000000"/>
                <w:sz w:val="32"/>
                <w:szCs w:val="32"/>
              </w:rPr>
              <w:t>(в ред. постановления МЧС от 28.04.2021 N 26)</w:t>
            </w:r>
          </w:p>
        </w:tc>
      </w:tr>
    </w:tbl>
    <w:p w:rsidR="00D674A2" w:rsidRPr="00033BF1" w:rsidRDefault="00D674A2" w:rsidP="00A56B76">
      <w:pPr>
        <w:pStyle w:val="ConsPlusNormal"/>
        <w:rPr>
          <w:rFonts w:ascii="Times New Roman" w:hAnsi="Times New Roman" w:cs="Times New Roman"/>
          <w:color w:val="000000"/>
          <w:sz w:val="32"/>
          <w:szCs w:val="32"/>
        </w:rPr>
      </w:pPr>
    </w:p>
    <w:p w:rsidR="00D674A2" w:rsidRPr="00033BF1" w:rsidRDefault="00D674A2" w:rsidP="00A56B76">
      <w:pPr>
        <w:pStyle w:val="ConsPlusNormal"/>
        <w:jc w:val="center"/>
        <w:outlineLvl w:val="1"/>
        <w:rPr>
          <w:rFonts w:ascii="Times New Roman" w:hAnsi="Times New Roman" w:cs="Times New Roman"/>
          <w:color w:val="000000"/>
          <w:sz w:val="32"/>
          <w:szCs w:val="32"/>
        </w:rPr>
      </w:pPr>
      <w:r w:rsidRPr="00033BF1">
        <w:rPr>
          <w:rFonts w:ascii="Times New Roman" w:hAnsi="Times New Roman" w:cs="Times New Roman"/>
          <w:b/>
          <w:bCs/>
          <w:color w:val="000000"/>
          <w:sz w:val="32"/>
          <w:szCs w:val="32"/>
        </w:rPr>
        <w:t>ГЛАВА 1</w:t>
      </w:r>
    </w:p>
    <w:p w:rsidR="00D674A2" w:rsidRPr="00033BF1" w:rsidRDefault="00D674A2" w:rsidP="00A56B76">
      <w:pPr>
        <w:pStyle w:val="ConsPlusNormal"/>
        <w:jc w:val="center"/>
        <w:rPr>
          <w:rFonts w:ascii="Times New Roman" w:hAnsi="Times New Roman" w:cs="Times New Roman"/>
          <w:color w:val="000000"/>
          <w:sz w:val="32"/>
          <w:szCs w:val="32"/>
        </w:rPr>
      </w:pPr>
      <w:r w:rsidRPr="00033BF1">
        <w:rPr>
          <w:rFonts w:ascii="Times New Roman" w:hAnsi="Times New Roman" w:cs="Times New Roman"/>
          <w:b/>
          <w:bCs/>
          <w:color w:val="000000"/>
          <w:sz w:val="32"/>
          <w:szCs w:val="32"/>
        </w:rPr>
        <w:t>ОБЩИЕ ПОЛОЖЕНИЯ</w:t>
      </w:r>
    </w:p>
    <w:p w:rsidR="00D674A2" w:rsidRPr="00033BF1" w:rsidRDefault="00D674A2" w:rsidP="00A56B76">
      <w:pPr>
        <w:pStyle w:val="ConsPlusNormal"/>
        <w:rPr>
          <w:rFonts w:ascii="Times New Roman" w:hAnsi="Times New Roman" w:cs="Times New Roman"/>
          <w:color w:val="000000"/>
          <w:sz w:val="32"/>
          <w:szCs w:val="32"/>
        </w:rPr>
      </w:pPr>
    </w:p>
    <w:p w:rsidR="00D674A2" w:rsidRPr="00033BF1" w:rsidRDefault="00D674A2" w:rsidP="00A56B76">
      <w:pPr>
        <w:pStyle w:val="ConsPlusNormal"/>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1. Настоящая Инструкция определяет порядок осуществления Департаментом по надзору за безопасным ведением работ в промышленности Министерства по чрезвычайным ситуациям Республики Беларусь (далее - Госпромнадзор) следующих мероприятий технического (технологического, поверочного) характера (далее, если не указано иное, - мероприятие):</w:t>
      </w:r>
    </w:p>
    <w:p w:rsidR="00D674A2" w:rsidRPr="00033BF1" w:rsidRDefault="00D674A2" w:rsidP="00A56B76">
      <w:pPr>
        <w:pStyle w:val="ConsPlusNormal"/>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 ред. постановления МЧС от 28.04.2021 N 26)</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обследование потенциально опасных объектов газораспределительной системы и газопотребления на соответствие требованиям законодательства в области промышленной безопасности;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обследование потенциально опасных объектов магистральных трубопроводов на предмет соответствия требованиям законодательства в области промышленной безопасности;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обследование потенциально опасных объектов металлургических и литейных производств на предмет соответствия требованиям законодательства в области </w:t>
      </w:r>
      <w:r w:rsidRPr="00033BF1">
        <w:rPr>
          <w:rFonts w:ascii="Times New Roman" w:hAnsi="Times New Roman" w:cs="Times New Roman"/>
          <w:color w:val="000000"/>
          <w:sz w:val="32"/>
          <w:szCs w:val="32"/>
        </w:rPr>
        <w:lastRenderedPageBreak/>
        <w:t>промышленной безопасности;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обследование потенциально опасных объектов, на которых ведется добыча нефти, природного газа, на предмет соответствия требованиям законодательства в области промышленной безопасности;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обследование потенциально опасных объектов, на которых осуществляется бурение скважин, на предмет соответствия требованиям законодательства в области промышленной безопасности;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добыче полезных ископаемых открытым способом;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потенциально опасных объектов, на которых ведутся подземные горные работы, не связанные с добычей полезных ископаемых;</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эксплуатации непрерывного транспорта;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эксплуатации проходческих и очистных комплексов добычи руды и ремонта горных выработок;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эксплуатации оборудования шахтных подъемов;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ведении взрывных работ;</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эксплуатации подземного самоходного транспорта;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эксплуатации камер служебного назначения;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первичной обработке минерального сырья и взаимном разделении ценных минералов, хранении побочных отходов в хвостах;</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наблюдение за подготовкой и уничтожением промышленных взрывчатых материалов, пиротехнических изделий;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lastRenderedPageBreak/>
        <w:t>наблюдение за использованием промышленных взрывчатых веществ при проведении взрывных работ;</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организациями, использующими пиротехнические изделия 4 и 5 классов опасности, требований законодательства в области промышленной безопасности;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обследование состояния промышленной безопасности объектов по испытанию промышленных взрывчатых веществ и пиротехнических изделий;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эксплуатации подъемных сооружений и аттракционов;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осмотр объектов перевозки опасных грузов на предмет их технического состояния, оснащения, оформления документации, соблюдения маршрута следования;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обследование состояния технологической дисциплины, безопасного ведения технологического процесса, выдерживания норм технологического режима на опасных стадиях технологических процессов;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обследование организации эксплуатации средств контроля, систем сигнализации, блокировок, противоаварийной защиты и действенности системы технического обслуживания и ремонта средств измерения, автоматизации, противоаварийной защиты;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эксплуатации насосно-компрессорного оборудования;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эксплуатации сосудов, работающих под давлением;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техническом обслуживании и ремонте оборудования, планово-предупредительных ремонтах;</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эксплуатации технологических трубопроводов и арматуры, в том числе межцеховых трубопроводов;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оценка соблюдения требований промышленной безопасности при эксплуатации и ремонте электрооборудования, в том числе взрывозащищенного, устройств защиты от статического </w:t>
      </w:r>
      <w:r w:rsidRPr="00033BF1">
        <w:rPr>
          <w:rFonts w:ascii="Times New Roman" w:hAnsi="Times New Roman" w:cs="Times New Roman"/>
          <w:color w:val="000000"/>
          <w:sz w:val="32"/>
          <w:szCs w:val="32"/>
        </w:rPr>
        <w:lastRenderedPageBreak/>
        <w:t>электричества;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эксплуатации вентиляционных систем;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эксплуатации складов легковоспламеняющихся и горючих жидкостей, горючих и сжиженных газов, обеспечения требований безопасности при проведении сливоналивных операций;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технологической дисциплины, наличия средств магнитной защиты, термометрии и контроль за их состоянием;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взрывобезопасности (взрывозащита и взрывопредупреждение), в том числе оснащенности средствами взрывопредупреждения, взрывозащиты;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эксплуатации, обеспечения работоспособности и эффективности аспирационных установок;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соблюдения требований промышленной безопасности при эксплуатации оборудования, работающего под избыточным давлением;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уровня безопасности и надежности конструкций потенциально опасных объектов, технических устройств при проведении приемочных, приемосдаточных, периодических испытаний;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оценка качества монтажа потенциально опасных объектов, технических устройств;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обследование котельных мощностью более 200 киловатт независимо от мощности установленных в них котлов на предмет их готовности к работе в осенне-зимний период;</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техническое освидетельствование потенциально опасных объектов.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2. Для целей настоящей Инструкции используются термины и их определения в значениях, установленных Законом Республики Беларусь от 6 июня 2001 г. N 32-З "О перевозке опасных грузов" и Законом Республики Беларусь от 5 января 2016 г. N 354-З "О </w:t>
      </w:r>
      <w:r w:rsidRPr="00033BF1">
        <w:rPr>
          <w:rFonts w:ascii="Times New Roman" w:hAnsi="Times New Roman" w:cs="Times New Roman"/>
          <w:color w:val="000000"/>
          <w:sz w:val="32"/>
          <w:szCs w:val="32"/>
        </w:rPr>
        <w:lastRenderedPageBreak/>
        <w:t>промышленной безопасности", а также следующие термины и их определения: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надзорный орган - Госпромнадзор, областные и Минское городское управления Госпромнадзора;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объект - потенциально опасный объект, техническое устройство, объект перевозки опасных грузов, в отношении которых проводится мероприятие;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субъект - субъект промышленной безопасности, субъект перевозки опасных грузов.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3. Мероприятия проводятся должностными лицами надзорного органа (далее - должностные лица).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4. Периодичность осуществления мероприятий установлена перечнем мероприятий технического (технологического, поверочного) характера, утвержденным постановлением Совета Министров Республики Беларусь от 30 ноября 2012 г. N 1105.</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Не допускается проведение мероприятий: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Госпромнадзором - если в установленный для их проведения период мероприятия были проведены областными и Минским городским управлениями Госпромнадзора;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областными и Минским городским управлениями Госпромнадзора - если в установленный для их проведения период мероприятия были проведены Госпромнадзором.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5. Мероприятие проводится на основании решения о проведении мероприятия по форме согласно приложению 1, регистрируемого в журнале регистрации решений о проведении мероприятий.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6. Мероприятие проводится с выездом должностного лица на место нахождения объекта.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7. Не позднее десяти рабочих дней до начала проведения мероприятия субъект письменно информируется о его проведении путем направления уведомления по форме согласно приложению 2, за исключением проведения мероприятий, осуществляемых по факту обращения субъекта, и проведения осмотра объектов перевозки опасных грузов на предмет их технического состояния, </w:t>
      </w:r>
      <w:r w:rsidRPr="00033BF1">
        <w:rPr>
          <w:rFonts w:ascii="Times New Roman" w:hAnsi="Times New Roman" w:cs="Times New Roman"/>
          <w:color w:val="000000"/>
          <w:sz w:val="32"/>
          <w:szCs w:val="32"/>
        </w:rPr>
        <w:lastRenderedPageBreak/>
        <w:t>оснащения, оформления документации, соблюдения маршрута следования (за исключением железнодорожных путей общего пользования, расположенных на территориях железнодорожных станций, железнодорожных путей необщего пользования).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8. Должностные лица в пределах своей компетенции вправе при предъявлении служебных удостоверений и решения о проведении мероприятия получить беспрепятственный доступ к объектам, в отношении которых осуществляется мероприятие.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9. При осуществлении мероприятий должностные лица вправе: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 согласия субъекта использовать технические средства, в том числе аппаратуру, осуществляющую звуко- и видеозапись, кино- и фотосъемку для сбора и фиксации доказательств, подтверждающих факты нарушений;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требовать разъяснения (в том числе письменные) от работников субъекта по вопросам, возникающим в ходе проведения мероприятия.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10. По результатам проведения мероприятия, по которому не выявлены нарушения, должностное лицо составляет справку по форме согласно </w:t>
      </w:r>
      <w:hyperlink w:anchor="Par535" w:history="1">
        <w:r w:rsidRPr="00033BF1">
          <w:rPr>
            <w:rFonts w:ascii="Times New Roman" w:hAnsi="Times New Roman" w:cs="Times New Roman"/>
            <w:color w:val="000000"/>
            <w:sz w:val="32"/>
            <w:szCs w:val="32"/>
          </w:rPr>
          <w:t>приложению 3</w:t>
        </w:r>
      </w:hyperlink>
      <w:r w:rsidRPr="00033BF1">
        <w:rPr>
          <w:rFonts w:ascii="Times New Roman" w:hAnsi="Times New Roman" w:cs="Times New Roman"/>
          <w:color w:val="000000"/>
          <w:sz w:val="32"/>
          <w:szCs w:val="32"/>
        </w:rPr>
        <w:t>, за исключением случаев, предусмотренных пунктами 11 и 12 настоящей Инструкции.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Справка о проведении мероприятия оформляется не менее чем в двух экземплярах и подписывается должностным лицом в срок не позднее пяти рабочих дней со дня окончания мероприятия. Датой составления справки о проведении мероприятия считается дата ее подписания.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Справка о проведении мероприятия в течение двух рабочих дней со дня подписания вручается под роспись представителю субъекта или направляется в субъект или его представителю заказным письмом с уведомлением о вручении либо в виде электронного документа через систему межведомственного электронного документооборота государственных органов.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bookmarkStart w:id="2" w:name="Par96"/>
      <w:bookmarkEnd w:id="2"/>
      <w:r w:rsidRPr="00033BF1">
        <w:rPr>
          <w:rFonts w:ascii="Times New Roman" w:hAnsi="Times New Roman" w:cs="Times New Roman"/>
          <w:color w:val="000000"/>
          <w:sz w:val="32"/>
          <w:szCs w:val="32"/>
        </w:rPr>
        <w:t>11. По результатам проведения обследования котельных мощностью более 200 киловатт независимо от мощности установленных в них котлов на предмет их готовности к работе в осенне-зимний период выдается заключение по форме согласно приложению 4.</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bookmarkStart w:id="3" w:name="Par97"/>
      <w:bookmarkEnd w:id="3"/>
      <w:r w:rsidRPr="00033BF1">
        <w:rPr>
          <w:rFonts w:ascii="Times New Roman" w:hAnsi="Times New Roman" w:cs="Times New Roman"/>
          <w:color w:val="000000"/>
          <w:sz w:val="32"/>
          <w:szCs w:val="32"/>
        </w:rPr>
        <w:lastRenderedPageBreak/>
        <w:t>12. По результатам проведения технического освидетельствования потенциально опасных объектов оформляется донесение по форме согласно приложению 5.</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13. В случае выявления при проведении мероприятия нарушений должностным лицом в течение пяти рабочих дней со дня завершения мероприятия выносится предписание об устранении нарушений в установленный срок по форме согласно приложению 6.</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14. В случае выявления нарушений, создающих угрозу причинения вреда жизни и здоровью населения, должностным лицом субъекту:</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вручается в день выявления нарушений (направляется заказным письмом с уведомлением о получении не позднее одного рабочего дня, следующего за днем выявления нарушений) предложение о приостановлении (запрете) деятельности объекта, производственных участков и оборудования по форме согласно приложению 7 до устранения нарушений, послуживших основанием вручения (направления) такого предложения;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выносится в день выявления нарушений (направляется заказным письмом с уведомлением о получении не позднее одного рабочего дня, следующего за днем выявления нарушений) требование о приостановлении (запрете) производства работ, эксплуатации транспортных средств по форме согласно приложению 8 до устранения нарушений, послуживших основанием для вынесения такого требования.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15. В случае выполнения в установленный срок предписаний об устранении нарушений, требований о приостановлении (запрете) производства работ, эксплуатации транспортных средств меры ответственности к субъекту, в отношении которого вынесены такие предписания и требования, и (или) его должностным лицам не применяются.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При неустранении выявленных нарушений, выявлении повторных нарушений, ранее установленных в ходе мероприятий, при выявлении нарушений, устранение которых невозможно, меры ответственности применяются в порядке, установленном законодательством.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lastRenderedPageBreak/>
        <w:t>16. Об устранении нарушений, послуживших основанием для вынесения предписаний, субъект в пределах срока, установленного в предписании, письменно сообщает в надзорный орган, вынесший это предписание, с приложением подтверждающих документов, а также представляет этому надзорному органу возможность удостовериться на месте в устранении нарушений.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16-1. При наличии обстоятельств, не позволивших устранить указанные в предписании нарушения в установленные в нем сроки, по заявлению субъекта, поданному не позднее трех рабочих дней до дня истечения указанных сроков, с указанием причин, препятствующих устранению нарушений в установленные сроки, руководителем надзорного органа срок устранения нарушений может быть однократно перенесен. О принятом решении субъект информируется не позднее двух рабочих дней со дня поступления заявления.</w:t>
      </w:r>
    </w:p>
    <w:p w:rsidR="00D674A2" w:rsidRPr="00033BF1" w:rsidRDefault="00D674A2" w:rsidP="00A56B76">
      <w:pPr>
        <w:pStyle w:val="ConsPlusNormal"/>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(п. 16-1 введен постановлением МЧС от 28.04.2021 N 26)</w:t>
      </w:r>
    </w:p>
    <w:p w:rsidR="00D674A2" w:rsidRPr="00033BF1" w:rsidRDefault="00D674A2" w:rsidP="00A56B76">
      <w:pPr>
        <w:pStyle w:val="ConsPlusNormal"/>
        <w:rPr>
          <w:rFonts w:ascii="Times New Roman" w:hAnsi="Times New Roman" w:cs="Times New Roman"/>
          <w:color w:val="000000"/>
          <w:sz w:val="32"/>
          <w:szCs w:val="32"/>
        </w:rPr>
      </w:pPr>
    </w:p>
    <w:p w:rsidR="00D674A2" w:rsidRPr="00033BF1" w:rsidRDefault="00D674A2" w:rsidP="00A56B76">
      <w:pPr>
        <w:pStyle w:val="ConsPlusNormal"/>
        <w:jc w:val="center"/>
        <w:outlineLvl w:val="1"/>
        <w:rPr>
          <w:rFonts w:ascii="Times New Roman" w:hAnsi="Times New Roman" w:cs="Times New Roman"/>
          <w:color w:val="000000"/>
          <w:sz w:val="32"/>
          <w:szCs w:val="32"/>
        </w:rPr>
      </w:pPr>
      <w:r w:rsidRPr="00033BF1">
        <w:rPr>
          <w:rFonts w:ascii="Times New Roman" w:hAnsi="Times New Roman" w:cs="Times New Roman"/>
          <w:b/>
          <w:bCs/>
          <w:color w:val="000000"/>
          <w:sz w:val="32"/>
          <w:szCs w:val="32"/>
        </w:rPr>
        <w:t>ГЛАВА 2</w:t>
      </w:r>
    </w:p>
    <w:p w:rsidR="00D674A2" w:rsidRPr="00033BF1" w:rsidRDefault="00D674A2" w:rsidP="00A56B76">
      <w:pPr>
        <w:pStyle w:val="ConsPlusNormal"/>
        <w:jc w:val="center"/>
        <w:rPr>
          <w:rFonts w:ascii="Times New Roman" w:hAnsi="Times New Roman" w:cs="Times New Roman"/>
          <w:color w:val="000000"/>
          <w:sz w:val="32"/>
          <w:szCs w:val="32"/>
        </w:rPr>
      </w:pPr>
      <w:r w:rsidRPr="00033BF1">
        <w:rPr>
          <w:rFonts w:ascii="Times New Roman" w:hAnsi="Times New Roman" w:cs="Times New Roman"/>
          <w:b/>
          <w:bCs/>
          <w:color w:val="000000"/>
          <w:sz w:val="32"/>
          <w:szCs w:val="32"/>
        </w:rPr>
        <w:t>ОСОБЕННОСТИ ПРОВЕДЕНИЯ МЕРОПРИЯТИЙ ТЕХНИЧЕСКОГО (ТЕХНОЛОГИЧЕСКОГО, ПОВЕРОЧНОГО) ХАРАКТЕРА</w:t>
      </w:r>
    </w:p>
    <w:p w:rsidR="00D674A2" w:rsidRPr="00033BF1" w:rsidRDefault="00D674A2" w:rsidP="00A56B76">
      <w:pPr>
        <w:pStyle w:val="ConsPlusNormal"/>
        <w:rPr>
          <w:rFonts w:ascii="Times New Roman" w:hAnsi="Times New Roman" w:cs="Times New Roman"/>
          <w:color w:val="000000"/>
          <w:sz w:val="32"/>
          <w:szCs w:val="32"/>
        </w:rPr>
      </w:pPr>
    </w:p>
    <w:p w:rsidR="00D674A2" w:rsidRPr="00033BF1" w:rsidRDefault="00D674A2" w:rsidP="00A56B76">
      <w:pPr>
        <w:pStyle w:val="ConsPlusNormal"/>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17. При обследовании потенциально опасных объектов газораспределительной системы и газопотребления на соответствие требованиям законодательства в области промышленной безопасности полежат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выполнение требований законодательства в области промышленной безопасности при проектировании, возведении (монтаже), реконструкции, технической модернизации, приемке и вводу в эксплуатацию газонаполнительных станций, газонаполнительных пунктов, резервуарных и групповых баллонных установок сжиженных углеводородных газов, газопроводов и газового оборудования тепловых электростанций и газоэнергетических установок, в том числе с избыточным давлением природного газа более 1,2 МПа, пунктов подготовки газа, дожимных компрессорных станций, газопроводов городов и населенных пунктов, включая межпоселковые, газопроводов и газового оборудования промышленных, сельскохозяйственных и </w:t>
      </w:r>
      <w:r w:rsidRPr="00033BF1">
        <w:rPr>
          <w:rFonts w:ascii="Times New Roman" w:hAnsi="Times New Roman" w:cs="Times New Roman"/>
          <w:color w:val="000000"/>
          <w:sz w:val="32"/>
          <w:szCs w:val="32"/>
        </w:rPr>
        <w:lastRenderedPageBreak/>
        <w:t>других организаций, за исключением жилищного фонда, газопроводов и газового оборудования районных тепловых станций, производственных, отопительно-производственных и отопительных котельных, газорегуляторных пунктов, газорегуляторных установок и шкафных регуляторных пунктов, стационарных автомобильных газозаправочных станций и пунктов, блочно-модульных автомобильных газозаправочных станций, средств защиты подземных стальных газопроводов и резервуаров от электрохимической коррозии и стационарных установок для газопламенной обработки металлов;</w:t>
      </w:r>
    </w:p>
    <w:p w:rsidR="00D674A2" w:rsidRPr="00033BF1" w:rsidRDefault="00D674A2" w:rsidP="00A56B76">
      <w:pPr>
        <w:pStyle w:val="ConsPlusNormal"/>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 ред. постановления МЧС от 28.04.2021 N 26)</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функционирование системы технического обслуживания и ремонта;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технических и технологических регламентов;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анализ технического состояния, исправности и работоспособности потенциально опасных объектов газораспределительной системы и газопотребления;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выполнение технического освидетельствования и технического диагностирования потенциально опасных объектов газораспределительной системы и газопотребления;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выполнение работ по предупреждению, локализации и ликвидации последствий аварий и (или) инцидентов, связанных с эксплуатацией потенциально опасных объектов газораспределительной системы и газопотребления.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18. При обследовании потенциально опасных объектов магистральных трубопроводов на предмет соответствия требованиям законодательства в области промышленной безопасности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выполнение требований законодательства в области промышленной безопасности при проектировании, возведении (монтаже), реконструкции, технической модернизации, приемке и вводу в эксплуатацию перекачивающих и наливных насосных станций, резервуарных парков, компрессорных станций, станций подземного хранения газа, автомобильных компрессорных станций, магистральных газопроводов, нефтепроводов, нефтепродуктопроводов, трубопроводов с ответвлениями и </w:t>
      </w:r>
      <w:r w:rsidRPr="00033BF1">
        <w:rPr>
          <w:rFonts w:ascii="Times New Roman" w:hAnsi="Times New Roman" w:cs="Times New Roman"/>
          <w:color w:val="000000"/>
          <w:sz w:val="32"/>
          <w:szCs w:val="32"/>
        </w:rPr>
        <w:lastRenderedPageBreak/>
        <w:t>лупингами, запорной арматурой, переходами через естественные и искусственные препятствия, узлами подключения перекачивающих, компрессорных станций, узлами пуска и приема очистных устройств, газораспределительных станций, газоизмерительных станций, пунктов редуцирования газа, средств защиты трубопроводов, резервуаров и сооружений от коррозии;</w:t>
      </w:r>
    </w:p>
    <w:p w:rsidR="00D674A2" w:rsidRPr="00033BF1" w:rsidRDefault="00D674A2" w:rsidP="00A56B76">
      <w:pPr>
        <w:pStyle w:val="ConsPlusNormal"/>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 ред. постановления МЧС от 28.04.2021 N 26)</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функционирование системы технического обслуживания и ремонта;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технических и технологических регламентов;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анализ технического состояния, исправности и работоспособности потенциально опасных магистральных трубопроводов;</w:t>
      </w:r>
    </w:p>
    <w:p w:rsidR="00D674A2" w:rsidRPr="00033BF1" w:rsidRDefault="00D674A2" w:rsidP="00A56B76">
      <w:pPr>
        <w:pStyle w:val="ConsPlusNormal"/>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 ред. постановления МЧС от 28.04.2021 N 26)</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выполнение технического освидетельствования и технического диагностирования потенциально опасных объектов магистральных трубопроводов;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выполнение работ по предупреждению, локализации и ликвидации последствий аварий и (или) инцидентов, связанных с эксплуатацией потенциально опасных объектов магистральных трубопроводов.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19. При обследовании потенциально опасных объектов металлургических и литейных производств на предмет соответствия требованиям законодательства в области промышленной безопасности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безопасности технологических процессов потенциально опасных объектов и технических устройств;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ограждениям, площадкам и лестницам;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аспирации и вентиляции;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электроустановкам потенциально опасных объектов;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lastRenderedPageBreak/>
        <w:t>соблюдение требований промышленной безопасности к системе управления технологическими процессами;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контрольно-измерительным приборам, производственной сигнализации и связи;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обслуживанию и ремонту потенциально опасных объектов, технических устройств;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в сталеплавильном производстве;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в литейном производстве.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20. При обследовании потенциально опасных объектов, на которых ведется добыча нефти, природного газа, на предмет соответствия требованиям законодательства в области промышленной безопасности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оборудованию, инструментам и другим техническим средствам;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перекрытиям, ограждениям и лестницам;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стальным канатам;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буровым установкам и техническим устройствам;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эксплуатации бурового оборудования, механизмов и инструментов;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проходке ствола скважины, к буровым растворам и креплению ствола скважины;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проведении спускоподъемных операций;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соблюдение порядка проведения работ по техническому </w:t>
      </w:r>
      <w:r w:rsidRPr="00033BF1">
        <w:rPr>
          <w:rFonts w:ascii="Times New Roman" w:hAnsi="Times New Roman" w:cs="Times New Roman"/>
          <w:color w:val="000000"/>
          <w:sz w:val="32"/>
          <w:szCs w:val="32"/>
        </w:rPr>
        <w:lastRenderedPageBreak/>
        <w:t>диагностированию технических устройств;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организации работ по предупреждению нефтегазоводопроявлений и открытого фонтанирования;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организации и проведению работ по освоению и испытанию законченных бурением скважин;</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эксплуатации объектов добычи, на которых осуществляется добыча нефти и газа.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21. При обследовании потенциально опасных объектов, на которых осуществляется бурение скважин, на предмет соответствия требованиям законодательства в области промышленной безопасности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приеме в эксплуатацию буровых установок;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общих требований промышленной безопасности при бурении скважин;</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буровому оборудованию;</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эксплуатации бурового оборудования;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во время осуществления буровых работ;</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монтаже, демонтаже бурового оборудования;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механическом колонковом бурении;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ударно-канатном бурении;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шнековом бурении;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lastRenderedPageBreak/>
        <w:t>соблюдение требований промышленной безопасности при приготовлении промывочных растворов;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эксплуатации и обслуживании электроустановок и электросетей на объектах ведения буровых работ.</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22. При оценке соблюдения требований промышленной безопасности при добыче полезных ископаемых открытым способом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по использованию звуковых и световых сигналов;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расположению механизмов в карьере в нерабочее время и на время очередных ремонтных работ;</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перекрытий и ограждений требованиям промышленной безопасности, наличие предупредительных знаков, освещения в местах, представляющих опасность для людей;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ведении открытых горных работ;</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эксплуатации экскаваторов;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эксплуатации скреперов и бульдозеров;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эксплуатации плавучих землесосных снарядов;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осуществлении ремонтных работ;</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добыче штучного камня, крупных блоков и ведения работ на перегрузочных пунктах;</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ведении водоотливных и осушительных работ;</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соблюдение требований промышленной безопасности при рекультивации земель, нарушенных открытыми горными работами, </w:t>
      </w:r>
      <w:r w:rsidRPr="00033BF1">
        <w:rPr>
          <w:rFonts w:ascii="Times New Roman" w:hAnsi="Times New Roman" w:cs="Times New Roman"/>
          <w:color w:val="000000"/>
          <w:sz w:val="32"/>
          <w:szCs w:val="32"/>
        </w:rPr>
        <w:lastRenderedPageBreak/>
        <w:t>и ликвидации карьера;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использовании транспортных средств в карьере;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карьерным дорогам;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эксплуатации и обслуживании электроустановок и электросетей.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23. При оценке соблюдения требований промышленной безопасности потенциально опасных объектов, на которых ведутся подземные горные работы, не связанные с добычей полезных ископаемых,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подготовке работ для проходки горных выработок;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проходке котлованов;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проходке горных выработок для строительства подземных сооружений;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проходке горных выработок для строительства коммунальных тоннелей;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проходке горизонтальных горных выработок методами продавливания, прокола и бурения;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проходке выработок в замороженных грунтах;</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проходке горных выработок в искусственно закрепленных грунтах;</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содержанию подземных горных выработок;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использовании специальных способов и видов работ для проходки горных выработок;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lastRenderedPageBreak/>
        <w:t>соблюдение требований промышленной безопасности к оборудованию;</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маркшейдерскому обеспечению;</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вентиляции подземных горных выработок;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эксплуатации подземного транспорта и подъемных установок;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водоотливу;</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обслуживании электроустановок;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состоянию противоаварийной защиты;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проекта производства работ при ведении работ при проходке шахтных стволов;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состоянию проходческих и предохранительных полков;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состоянию аварийно-спасательной лестницы и ее положению при ведении работ по проходке;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техническому состоянию и функциональной работоспособности технических устройств, применяемых при проходке шахтных стволов.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24. При оценке соблюдения требований промышленной безопасности при эксплуатации непрерывного транспорта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состоянию ограждений и кожухов на движущихся частях непрерывного транспорта;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соблюдение требований промышленной безопасности к состоянию проходов для работников и проходов для ремонта </w:t>
      </w:r>
      <w:r w:rsidRPr="00033BF1">
        <w:rPr>
          <w:rFonts w:ascii="Times New Roman" w:hAnsi="Times New Roman" w:cs="Times New Roman"/>
          <w:color w:val="000000"/>
          <w:sz w:val="32"/>
          <w:szCs w:val="32"/>
        </w:rPr>
        <w:lastRenderedPageBreak/>
        <w:t>непрерывного транспорта;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перекрытий в местах прохода и проезда под ленточными конвейерами требованиям промышленной безопасности;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состоянию механических устройств для очистки и центрирования ленты, равномерной загрузки, тормозов и ловителей ленты на ленточных конвейерах;</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состоянию устройств сигнализации, защит и автоматизированного управления непрерывного транспорта;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состоянию става конвейеров, роликов, натяжных устройств, состоянию ленты и ее стыков на непрерывном транспорте;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устойчивости кровли и стенок выработок, в которых эксплуатируется непрерывный транспорт.</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25. При оценке соблюдения требований промышленной безопасности при эксплуатации проходческих и очистных комплексов добычи руды и ремонта горных выработок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таблицы сигналов при эксплуатации проходческих и очистных комплексов добычи руды и машин для ремонта горных выработок;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исправности машин, механизмов, инструментов и приспособлений, применяемых при эксплуатации проходческих и очистных комплексов добычи руды и машин для ремонта горных выработок;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исправности средств автоматизации, сигнализации и связи, применяемых при эксплуатации проходческих и очистных комплексов добычи руды и машин для ремонта горных выработок;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соблюдение требований промышленной безопасности к исправности средств контроля газового режима, применяемых при эксплуатации проходческих и очистных комплексов добычи руды и </w:t>
      </w:r>
      <w:r w:rsidRPr="00033BF1">
        <w:rPr>
          <w:rFonts w:ascii="Times New Roman" w:hAnsi="Times New Roman" w:cs="Times New Roman"/>
          <w:color w:val="000000"/>
          <w:sz w:val="32"/>
          <w:szCs w:val="32"/>
        </w:rPr>
        <w:lastRenderedPageBreak/>
        <w:t>машин для ремонта горных выработок;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вентиляции участков, на которых эксплуатируются проходческие и очистные комплексы добычи руды и машины для ремонта горных выработок;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за техническим состоянием проходческих и очистных комплексов добычи руды и машин для ремонта горных выработок;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устойчивости кровли и стенок выработок, на которых эксплуатируются проходческие и очистные комплексы добычи руды и машины для ремонта горных выработок.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26. При оценке соблюдения требований промышленной безопасности при эксплуатации оборудования шахтных подъемов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исправности машин, механизмов, инструментов и приспособлений, применяемых при эксплуатации шахтных подъемов;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техническому обслуживанию и ремонту шахтных подъемов;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периодичности испытаний головных канатов шахтных клетей, скипов, подвесных и прицепных устройства к ним.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27. При оценке соблюдения требований промышленной безопасности при ведении взрывных работ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технической документации на проведение взрывных работ (проекта, паспорта) требованиям промышленной безопасности;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проведение взрывных работ в соответствии с проектом (паспортом);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соблюдение при обращении с промышленными взрывчатыми веществами и изделиями на их основе мер безопасности, предусмотренных инструкциями (руководствами) по их </w:t>
      </w:r>
      <w:r w:rsidRPr="00033BF1">
        <w:rPr>
          <w:rFonts w:ascii="Times New Roman" w:hAnsi="Times New Roman" w:cs="Times New Roman"/>
          <w:color w:val="000000"/>
          <w:sz w:val="32"/>
          <w:szCs w:val="32"/>
        </w:rPr>
        <w:lastRenderedPageBreak/>
        <w:t>применению;</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выполнение при ведении взрывных работ мероприятий по обеспечению безопасности персонала взрывных работ, предупреждению отравлений людей пылью взрывчатых веществ и изделий на их основе, ядовитыми продуктами взрывов, а также осуществлению комплекса мер, исключающих возможность взрыва пыли взрывчатых веществ и изделий на их основе;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по применению взрывчатых веществ и изделий на их основе;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по установлению необходимого радиуса опасной зоны и его обозначения на местности;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к качеству (пригодности к использованию), применяемых для взрывных работ взрывчатых веществ и изделий на их основе;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порядка хранения взрывчатых веществ и изделий на их основе на местах взрывных работ;</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порядка выполнения работ по обнаружению и ликвидации отказавших зарядов;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условий хранения взрывчатых веществ и изделий на их основе, порядка их выдачи для проведения взрывных работ, возврата на склад неиспользованных взрывчатых веществ и изделий на их основе.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28. При оценке соблюдения требований промышленной безопасности при эксплуатации подземного самоходного транспорта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исправности машин, механизмов, инструментов и приспособлений, применяемых при эксплуатации подземного самоходного транспорта;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техническому обслуживанию и ремонту подземного самоходного транспорта;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соблюдение требований промышленной безопасности к устойчивости кровли и стенок выработок, в которых </w:t>
      </w:r>
      <w:r w:rsidRPr="00033BF1">
        <w:rPr>
          <w:rFonts w:ascii="Times New Roman" w:hAnsi="Times New Roman" w:cs="Times New Roman"/>
          <w:color w:val="000000"/>
          <w:sz w:val="32"/>
          <w:szCs w:val="32"/>
        </w:rPr>
        <w:lastRenderedPageBreak/>
        <w:t>эксплуатируется подземный самоходный транспорт.</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29. При оценке соблюдения требований промышленной безопасности при эксплуатации камер служебного назначения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исправности машин, механизмов, инструментов и приспособлений, применяемых в камерах служебного назначения;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проветриванию камер служебного назначения;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запасным выходам в камерах служебного назначения;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освещению камер служебного назначения;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хранению оборудования и материалов в камерах служебного назначения;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устойчивости кровли и стенок выработок камер служебного назначения.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30. При оценке соблюдения требований промышленной безопасности при первичной обработке минерального сырья и взаимном разделении ценных минералов, хранении побочных отходов в хвостах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исправности машин, механизмов, инструментов и приспособлений;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эксплуатации и конструкции машин требованиям технической документации заводов-изготовителей;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исправности средств автоматизации, сигнализации и связи;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контролю за техническим состоянием машин и механизмов;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соответствие перекрытий и ограждений требованиям промышленной безопасности, наличие предупредительных знаков </w:t>
      </w:r>
      <w:r w:rsidRPr="00033BF1">
        <w:rPr>
          <w:rFonts w:ascii="Times New Roman" w:hAnsi="Times New Roman" w:cs="Times New Roman"/>
          <w:color w:val="000000"/>
          <w:sz w:val="32"/>
          <w:szCs w:val="32"/>
        </w:rPr>
        <w:lastRenderedPageBreak/>
        <w:t>и освещения;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эксплуатации электроустановок;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передвижению работников и обустройству проходов на обогатительных фабриках, дробильных, дробильно-сортировочных и щебеночных заводах, кроме сильвинитовых обогатительных фабрик;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эксплуатации оборудования на обогатительных фабриках, дробильных, дробильно-сортировочных и щебеночных заводах, кроме сильвинитовых обогатительных фабрик;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электробезопасности на обогатительных фабриках, дробильных, дробильно-сортировочных и щебеночных заводах, расположенных в пределах горного отвода, кроме сильвинитовых обогатительных фабрик;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эксплуатации внутризаводского транспорта на обогатительных фабриках, дробильных, дробильно-сортировочных и щебеночных заводах, кроме сильвинитовых обогатительных фабрик;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осуществлению ремонтно-монтажных и такелажных работ на обогатительных фабриках, дробильных, дробильно-сортировочных и щебеночных заводах, кроме сильвинитовых обогатительных фабрик;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дроблению, измельчению и обогащению на обогатительных фабриках, дробильных, дробильно-сортировочных и щебеночных заводах, кроме сильвинитовых обогатительных фабрик;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при оборудовании и эксплуатации складов нерудных материалов, хвостового хозяйства на обогатительных фабриках, дробильных, дробильно-сортировочных и щебеночных заводах, кроме сильвинитовых обогатительных фабрик.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lastRenderedPageBreak/>
        <w:t>31. При наблюдении за подготовкой и уничтожением промышленных взрывчатых материалов, пиротехнических изделий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места (площадки, полигона) для проведения уничтожения взрывчатых материалов, пиротехнических изделий проекту и требованиям промышленной безопасности, в том числе по его размещению и наличию естественных и искусственных преград (защиты) от опасных (поражающих) факторов взрыва и срабатывания пиротехнических изделий (разлетающиеся горящие элементы);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технической документации на уничтожение непригодных взрывчатых материалов, пиротехнических изделий требованиям промышленной безопасности;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проведение работ по уничтожению в соответствии с порядком и методами, установленными в технической документации на взрывчатые материалы, пиротехнические изделия, и требованиями промышленной безопасности;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по установлению необходимого радиуса опасной зоны и его обозначения на местности;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по условиям хранения на складах непригодных к дальнейшему использованию и подлежащих уничтожению взрывчатых материалов, пиротехнических изделий, порядка их выдачи и соблюдение требований по учету уничтожаемых промышленных взрывчатых веществ, пиротехнических изделий;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по применению доброкачественных взрывчатых материалов для уничтожения непригодных к использованию взрывчатых материалов, пиротехнических изделий, а также применение средств механизации работ по уничтожению, оборудования, взрывных и контрольно-измерительных приборов, устройств и аппаратуры, на которые имеются стандарты (технические условия).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32. При наблюдении за использованием промышленных взрывчатых веществ при проведении взрывных работ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проведение взрывных работ в соответствии с техническими </w:t>
      </w:r>
      <w:r w:rsidRPr="00033BF1">
        <w:rPr>
          <w:rFonts w:ascii="Times New Roman" w:hAnsi="Times New Roman" w:cs="Times New Roman"/>
          <w:color w:val="000000"/>
          <w:sz w:val="32"/>
          <w:szCs w:val="32"/>
        </w:rPr>
        <w:lastRenderedPageBreak/>
        <w:t>решениями, принятыми проектом (паспортом), и требованиями промышленной безопасности;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при обращении со взрывчатыми материалами мер безопасности, предусмотренных инструкциями (руководствами) по их применению;</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установленного порядка выписки, получения, погрузки, выгрузки, доставки взрывчатых веществ со склада к местам работ и хранения на местах работ;</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схемы расположения, количества, диаметра, глубины и направления шпуров (скважин) проектам и паспортам на взрывные работы;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изготовление патронов-боевиков (зарядов) в соответствии с принятой конструкцией, массой заряда и видом применяемых для взрывания взрывчатых веществ и средств инициирования (в том числе на геофизических работах - изготовление электрозапалов для перфорации и торпедирования скважин);</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замер метана в забое перед заряжанием шпуров и скважин и перед каждым взрыванием зарядов (при ведении взрывных работ в шахтах, опасных по газу);</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заряжание шпуров, скважин, камер и других выработок, проводимых для взрывных работ (в том числе заряжание шпуров и скважин с использованием средств механизации различных типов, а также заряжание прострелочно-взрывной аппаратуры);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приготовление забойки, забойка шпуров и скважин, в том числе механизированная;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определение опасной зоны, расстановка постов охраны опасной зоны, установка ограждений, запрещающих и предупредительных знаков;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подача установленных сигналов о проведении взрывных работ;</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указание мест укрытия взрывника и рабочих на время производства взрывных работ и удаление посторонних людей за пределы опасной зоны;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монтаж взрывной сети в соответствии со схемой, ее исправность (в том числе наличие сопротивления электрической </w:t>
      </w:r>
      <w:r w:rsidRPr="00033BF1">
        <w:rPr>
          <w:rFonts w:ascii="Times New Roman" w:hAnsi="Times New Roman" w:cs="Times New Roman"/>
          <w:color w:val="000000"/>
          <w:sz w:val="32"/>
          <w:szCs w:val="32"/>
        </w:rPr>
        <w:lastRenderedPageBreak/>
        <w:t>сети);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взрывание зарядов в соответствии с последовательностью и количеством приемов, принятых в проекте (паспорте);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проветривание района взрывных работ (забоев);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осмотр места после взрывных работ, ликвидация невзорвавшихся зарядов (ведение учета отказов);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учет взрывчатых веществ при ведении взрывных работ, подтверждение фактического расхода и возврат на склад неиспользованных взрывчатых веществ.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33. При оценке соблюдения организациями, использующими пиротехнические изделия 4 и 5 классов опасности, требований законодательства в области промышленной безопасности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предмет договора и обязанности сторон согласно договору между заказчиком и исполнителем фейерверка;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плана мероприятий по обеспечению технической безопасности требованиям промышленной безопасности, в том числе места, выбранного для проведения фейерверка, требованиям промышленной безопасности, а также сопоставление его местоположения и расположения используемых пиротехнических изделий, указанных в план-схеме размещения фейерверочного (пускового) оборудования, на точке показа, прилагаемой к утвержденному плану мероприятий по обеспечению технической безопасности и предполагаемого сценария с реальной ситуацией на местности;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проводимых работ утвержденному плану мероприятий и требованиям промышленной безопасности;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обеспечение охраны пусковой площадки и опасной зоны от проникновения посторонних лиц, мер защиты персонала, сохранности пиротехнических изделий, их учета и наличия;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условий хранения пиротехнических изделий на местах проведения работ (использования).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34. При обследовании состояния промышленной безопасности объектов по испытанию промышленных взрывчатых веществ и </w:t>
      </w:r>
      <w:r w:rsidRPr="00033BF1">
        <w:rPr>
          <w:rFonts w:ascii="Times New Roman" w:hAnsi="Times New Roman" w:cs="Times New Roman"/>
          <w:color w:val="000000"/>
          <w:sz w:val="32"/>
          <w:szCs w:val="32"/>
        </w:rPr>
        <w:lastRenderedPageBreak/>
        <w:t>пиротехнических изделий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места (площадки, полигона) для проведения испытаний промышленных взрывчатых веществ, пиротехнических изделий проекту и требованиям промышленной безопасности по его размещению и наличию естественных и искусственных преград (защиты) от опасных (поражающих) факторов взрыва и срабатывания пиротехнических изделий (разлетающиеся горящие элементы);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технической документации на проведение испытаний промышленных взрывчатых веществ (в том числе в производственных условиях), пиротехнических изделий требованиям промышленной безопасности;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проведение работ по испытанию в соответствии с порядком, установленным в технической документации на промышленные взрывчатые вещества, пиротехнические изделия, и требованиями промышленной безопасности;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по установлению необходимого радиуса опасной зоны и его обозначению на местности;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обеспечение требований по условиям хранения на складах подлежащих испытаниям промышленных взрывчатых веществ, пиротехнических изделий, порядка их выдачи и соблюдение требований по учету, оформлению актов испытаний, заполнению учетных документов по расходованию промышленных взрывчатых веществ, пиротехнических изделий, в том числе доброкачественных, использованных для инициирования испытываемых материалов;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по применению для инициирования при проведении испытаний только взрывчатых материалов (пиротехнических изделий), исправных средств механизации работ, оборудования, взрывных и контрольно-измерительных приборов, устройств и аппаратуры, исправного и аттестованного (допущенного к применению) пускового оборудования, на которые имеются стандарты (технические условия) и документы (разрешения), подтверждающие допуск промышленных взрывчатых веществ к постоянному применению.</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35. При оценке соблюдения требований промышленной </w:t>
      </w:r>
      <w:r w:rsidRPr="00033BF1">
        <w:rPr>
          <w:rFonts w:ascii="Times New Roman" w:hAnsi="Times New Roman" w:cs="Times New Roman"/>
          <w:color w:val="000000"/>
          <w:sz w:val="32"/>
          <w:szCs w:val="32"/>
        </w:rPr>
        <w:lastRenderedPageBreak/>
        <w:t>безопасности при эксплуатации подъемных сооружений и аттракционов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ведение эксплуатационной документации и ее соответствие требованиям технических нормативных правовых актов;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на момент проведения оценки технического состояния подъемных сооружений и аттракционов, их конструкций, узлов, механизмов, пневмо-, гидро- и электрооборудования, канатов и их крепления, приборов и устройств безопасности обязательным для соблюдения требованиям технических нормативных правовых актов, их работоспособность;</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организации безопасной эксплуатации подъемных сооружений и аттракционов требованиям промышленной безопасности;</w:t>
      </w:r>
    </w:p>
    <w:p w:rsidR="00D674A2" w:rsidRPr="00033BF1" w:rsidRDefault="00D674A2" w:rsidP="00A56B76">
      <w:pPr>
        <w:pStyle w:val="ConsPlusNormal"/>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(абзац введен постановлением МЧС от 28.04.2021 N 26)</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условий фактической эксплуатации подъемных сооружений и аттракционов требованиям, изложенным в эксплуатационной документации, в части: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проведения технического освидетельствования, технического диагностирования, обслуживания и ремонта подъемных сооружений и аттракционов в сроки и в случаях, установленных законодательством в области промышленной безопасности, соблюдения объемов, методики проведения указанных работ (услуг);</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осуществления анализа технического состояния и безопасной эксплуатации подъемных сооружений и аттракционов, предупреждения, локализации и ликвидации последствий аварий и (или) инцидентов, связанных с эксплуатацией подъемных сооружений и аттракционов.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36. При осмотре объектов перевозки опасных грузов на предмет их технического состояния, оснащения, оформления документации, соблюдения маршрута следования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36.1. для механических транспортных средств, прицепов или полуприцепов к ним, используемых при перевозке опасных грузов: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lastRenderedPageBreak/>
        <w:t>наличие у водителя транспортного средства, перевозящего опасный груз, документов и соответствие их требованиям законодательства в области перевозки опасных грузов;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дополнительного оборудования, огнетушителей, средств нейтрализации перевозимого опасного вещества, средств индивидуальной защиты водителя и сопровождающего персонала, инструментов, приспособлений, маркировки на транспортном средстве, перевозящем опасный груз;</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маршрута перевозки опасных грузов;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выполнение требований к техническому состоянию транспортных средств, организации и техническому обеспечению перевозки;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выполнение требований к системе информации об опасности;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36.2. для транспортных средств железнодорожного транспорта, используемого при перевозке опасных грузов, находящихся на территориях железнодорожных станций и на железнодорожных путях необщего пользования: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для локомотивов: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техническое состояние локомотива;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установленного оборудования, инструментов, приспособлений;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технического паспорта (формуляра) на локомотив, акта комиссионного осмотра локомотива;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на локомотиве установленных табличек и надписей;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скорости движения локомотива при производстве маневров;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для вагонов: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техническое состояние вагона;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нарушений в периодичности плановых видов ремонта вагонов;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срока проведения ремонта, технического освидетельствования котлов вагонов-цистерн;</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lastRenderedPageBreak/>
        <w:t>наличие соответствующей надписи о дате проведения последующего технического освидетельствования котлов вагонов-цистерн;</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окраски, надписей, знаков опасности, маркировки и трафаретов на вагоне согласно перевозимому опасному грузу;</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36.3. для железнодорожных путей общего пользования, расположенных на территориях железнодорожных станций, железнодорожных путей необщего пользования: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техническое состояние верхнего и нижнего строения железнодорожного пути;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техническое состояние железнодорожных переездов;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соответствие сигнальных и путевых знаков на железнодорожном пути, правильность их расположения;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36.4. для используемых при перевозке опасных грузов воздушных судов и (или) судов внутреннего плавания: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по размещению, креплению и упаковыванию опасных грузов на воздушных судах;</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по максимальной грузоподъемности воздушного судна;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перевозки опасных грузов, обозначенных знаком "Только на грузовом воздушном судне";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соответствие требованиям аварийного комплекта воздушного судна;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при предполетной подготовке воздушного судна до погрузки опасных грузов;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акта освидетельствования судна;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судовых документов на годность к плаванию;</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средств пожаротушения на судне внутреннего плавания;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требования к электрооборудованию на судне внутреннего плавания;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требования к вентиляции на судне внутреннего плавания;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lastRenderedPageBreak/>
        <w:t>наличие маршрута перевозки опасных грузов для судна внутреннего плавания.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37. При обследовании состояния технологической дисциплины, безопасного ведения технологического процесса, выдерживания норм технологического режима на опасных стадиях технологических процессов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порядка разработки технических регламентов, технологических инструкций, в том числе технологических схем и аппаратурного оформления, их состав, порядка внесения в них изменений, а также наличие технологических инструкций на рабочих местах;</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перечня параметров, определяющих взрывоопасность процесса, с указанием их предельно допустимых и критических значений, соблюдение технологических режимов, технологических процессов и управления ими, установленных технологическими регламентами, качество ведения технологической документации, в том числе оперативной, с отражением действий персонала при отклонении параметров от регламентированных технологических норм;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осуществление анализа состояния технологической дисциплины;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осуществление анализа выдерживания норм технологических режимов, технологических процессов, в том числе параметров, определяющих взрывоопасность процессов.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38. При обследовании организации эксплуатации средств контроля, систем сигнализации, блокировок, противоаварийной защиты и действенности системы технического обслуживания и ремонта средств измерения, автоматизации, противоаварийной защиты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к техническому состоянию;</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организация и проведение технического обслуживания, ремонта и замены;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работоспособности и установленные значения срабатывания;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наличие и соблюдение порядка временного отключения </w:t>
      </w:r>
      <w:r w:rsidRPr="00033BF1">
        <w:rPr>
          <w:rFonts w:ascii="Times New Roman" w:hAnsi="Times New Roman" w:cs="Times New Roman"/>
          <w:color w:val="000000"/>
          <w:sz w:val="32"/>
          <w:szCs w:val="32"/>
        </w:rPr>
        <w:lastRenderedPageBreak/>
        <w:t>блокировок;</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ведение эксплуатационной документации (регистрация, учет, своевременность внесения изменений);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уровня надежности.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39. При оценке соблюдения требований промышленной безопасности при эксплуатации насосно-компрессорного оборудования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состояние предохранительных устройств, контрольно-измерительных приборов, системы автоматизации и обеспечения безопасной эксплуатации;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техническое состояние и соблюдение порядка технического обслуживания и ремонта.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40. При оценке соблюдения требований промышленной безопасности при эксплуатации сосудов, работающих под давлением,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состояние предохранительных устройств, контрольно-измерительных приборов, трубопроводной арматуры;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состояние системы автоматизации;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обеспечение безопасной эксплуатации;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ремонтной документации;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выполнение требований по режимам пуска, остановки в холодное время года;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периодичности, объема проведения технических освидетельствований и испытаний, технического диагностирования.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41. При оценке соблюдения требований промышленной безопасности при техническом обслуживании и ремонте оборудования, планово-предупредительных ремонтах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функционирование системы технического обслуживания и ремонта технологического оборудования, своевременность подготовки и выполнения годовых и месячных графиков планово-предупредительных ремонтов, организация и проведение </w:t>
      </w:r>
      <w:r w:rsidRPr="00033BF1">
        <w:rPr>
          <w:rFonts w:ascii="Times New Roman" w:hAnsi="Times New Roman" w:cs="Times New Roman"/>
          <w:color w:val="000000"/>
          <w:sz w:val="32"/>
          <w:szCs w:val="32"/>
        </w:rPr>
        <w:lastRenderedPageBreak/>
        <w:t>остановочных ремонтов, ввод в эксплуатацию после ремонта;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периодичности выдерживания межремонтных циклов;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выполнение объемов работ, указанных в дефектных ведомостях.</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42. При оценке соблюдения требований промышленной безопасности при эксплуатации технологических трубопроводов и арматуры, в том числе межцеховых трубопроводов,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классификация, качество и технические характеристики материалов труб, фасонных соединительных деталей, фланцев, уплотнительных изделий и материалов;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контроль сварных соединений, термообработка, конструкция и размещение;</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по механическим испытаниям, устройства дренажа и продувки, опоры и подвески, компенсация температурных деформаций, тепловая изоляция и обогрев, защита от коррозии и окраска, выбор, применение и размещение трубопроводной арматуры;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обслуживание и контроль состояния технологических трубопроводов и арматуры;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своевременность и объем проводимых ревизий, испытаний (гидравлических, пневматических), ремонтов;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выполнение требований к снижению вибраций.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43. При оценке соблюдения требований промышленной безопасности при эксплуатации и ремонте электрооборудования, в том числе взрывозащищенного, устройств защиты от статического электричества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организация эксплуатации и своевременного ремонта электрических машин во взрывозащищенном исполнении в соответствии с требованиями эксплуатационной и ремонтной документации;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применение электрооборудования в соответствии с классом взрывоопасной зоны, категорией и группой взрывоопасных с </w:t>
      </w:r>
      <w:r w:rsidRPr="00033BF1">
        <w:rPr>
          <w:rFonts w:ascii="Times New Roman" w:hAnsi="Times New Roman" w:cs="Times New Roman"/>
          <w:color w:val="000000"/>
          <w:sz w:val="32"/>
          <w:szCs w:val="32"/>
        </w:rPr>
        <w:lastRenderedPageBreak/>
        <w:t>воздухом смесей;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выполнение мероприятий, исключающих возможность воспламенения взрывоопасных с воздухом смесей от разрядов статического электричества;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надежности электроснабжения для соответствующей категории электроприемников.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44. При оценке соблюдения требований промышленной безопасности при эксплуатации вентиляционных систем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организация и качество обслуживания и ремонта вентиляционных систем;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оснащенность сигнализациями и блокировками, порядок и контроль их срабатывания;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периодичности и полноты проведения ремонтов, испытаний и регулировки вентиляционных систем.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45. При оценке соблюдения требований промышленной безопасности при эксплуатации складов легковоспламеняющихся и горючих жидкостей, горючих и сжиженных газов, обеспечения требований безопасности при проведении сливоналивных операций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проектной документации;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защита металлоконструкций от коррозии, состояние изоляции;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деформация и смещение резервуаров, меток отсчета и встраиваемых деталей;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периодичности и полноты испытаний, ревизий;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порядок и контроль технического состояния и конструкционного исполнения эстакад приема, слива-налива.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46. При оценке соблюдения технологической дисциплины, наличия средств магнитной защиты, термометрии и контроля за их состоянием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ведение технической, технологической и иной документации, предусмотренной требованиями технических нормативных правовых актов;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lastRenderedPageBreak/>
        <w:t>соблюдение режимов технологических процессов, а также соблюдение сроков и режимов хранения готовой продукции;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выдерживание норм технологического режима;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оснащенность технологических процессов приборами контроля, сигнализации и блокировок, порядок и контроль их работоспособности.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47. При оценке соблюдения требований взрывобезопасности (взрывозащиты и взрывопредупреждению), в том числе оснащенности средствами взрывопредупреждения, взрывозащиты,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технической, технологической проектной документации;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оснащенность технических устройств средствами взрывозащиты и взрывопредупреждения, их работоспособность;</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ведение технической, эксплуатационной документации.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48. При оценке соблюдения требований промышленной безопасности при эксплуатации, обеспечении работоспособности и эффективности аспирационных установок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соответствие эксплуатируемых аспирационных сетей проектной документации, в том числе по эффективности работы;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качество ведения технической и эксплуатационной документации;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оснащенность систем аспирации средствами безопасности и блокировками, порядок и контроль их работоспособности;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организация обслуживания, ремонта, регулировки, наладки, соблюдение периодичности и полноты проведения испытаний.</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49. При оценке соблюдения требований промышленной безопасности при эксплуатации оборудования, работающего под избыточным давлением,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установка и размещение оборудования, работающего под избыточным давлением;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lastRenderedPageBreak/>
        <w:t>обвязка оборудования, работающего под избыточным давлением;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техническое состояние оборудования, работающего под избыточным давлением;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техническое состояние систем автоматики безопасности и регулирования оборудования, работающего под избыточным давлением;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техническое состояние вспомогательного и резервного оборудования;</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техническое состояние запорной арматуры;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техническое состояние регулирующей арматуры;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техническое состояние предохранительных устройств;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техническое состояние контрольно-измерительных приборов;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техническое состояние лестниц и площадок для обслуживания оборудования, работающего под избыточным давлением;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техническое состояние тепловой изоляции оборудования, работающего под избыточным давлением;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выполнение технического освидетельствования и технического диагностирования оборудования, работающего под избыточным давлением;</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техническое состояние установок докотловой обработки воды паровых и водогрейных котлов;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требования к водно-химическому режиму паровых и водогрейных котлов;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наличие и соблюдение режима работы паровых и водогрейных котлов в соответствии с составленными и утвержденными в установленном порядке режимными картами;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требования к опорно-подвесной системе трубопроводов пара и горячей воды.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50. При оценке уровня безопасности и надежности конструкций </w:t>
      </w:r>
      <w:r w:rsidRPr="00033BF1">
        <w:rPr>
          <w:rFonts w:ascii="Times New Roman" w:hAnsi="Times New Roman" w:cs="Times New Roman"/>
          <w:color w:val="000000"/>
          <w:sz w:val="32"/>
          <w:szCs w:val="32"/>
        </w:rPr>
        <w:lastRenderedPageBreak/>
        <w:t>потенциально опасных объектов, технических устройств при проведении приемочных, приемосдаточных, периодических испытаний определяется соответствие потенциально опасного объекта, технического устройства требованиям проектной (конструкторской) документации, требованиям технических нормативных правовых актов, в соответствии с которыми они изготовлены.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51. При оценке качества монтажа потенциально опасных объектов, технических устройств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изучение проектной, исполнительной, эксплуатационной документации;</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осмотр смонтированных объектов для определения соответствия их нормативным правовым актам, техническим нормативным правовым актам и проекту, выявление возможные дефектов монтажа;</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определение готовности субъекта к эксплуатации потенциально опасного объекта, выпуску продукции (выполнению работ, оказанию услуг).</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52. При обследовании котельных мощностью более 200 киловатт независимо от мощности установленных в них котлов на предмет их готовности к работе в осенне-зимний период подлежат изучению следующие вопросы:</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подготовке котельных;</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соблюдение требований промышленной безопасности к эксплуатации котлов и вспомогательного оборудования котельных.</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53. При техническом освидетельствовании потенциально опасных объектов:</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оценивается состояние металлических конструкций, сварных соединений основного металла, состояние изоляции, обмуровки и других элементов, влияющих на безопасную эксплуатацию;</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 xml:space="preserve">осматривается, оценивается, испытывается работоспособность механизмов, приборов и систем безопасности потенциально опасного объекта при наличии требований, установленных в </w:t>
      </w:r>
      <w:r w:rsidRPr="00033BF1">
        <w:rPr>
          <w:rFonts w:ascii="Times New Roman" w:hAnsi="Times New Roman" w:cs="Times New Roman"/>
          <w:color w:val="000000"/>
          <w:sz w:val="32"/>
          <w:szCs w:val="32"/>
        </w:rPr>
        <w:lastRenderedPageBreak/>
        <w:t>технических нормативных правовых актах;</w:t>
      </w:r>
    </w:p>
    <w:p w:rsidR="00D674A2" w:rsidRPr="00033BF1" w:rsidRDefault="00D674A2" w:rsidP="00A56B76">
      <w:pPr>
        <w:pStyle w:val="ConsPlusNormal"/>
        <w:spacing w:before="160"/>
        <w:ind w:firstLine="540"/>
        <w:jc w:val="both"/>
        <w:rPr>
          <w:rFonts w:ascii="Times New Roman" w:hAnsi="Times New Roman" w:cs="Times New Roman"/>
          <w:color w:val="000000"/>
          <w:sz w:val="32"/>
          <w:szCs w:val="32"/>
        </w:rPr>
      </w:pPr>
      <w:r w:rsidRPr="00033BF1">
        <w:rPr>
          <w:rFonts w:ascii="Times New Roman" w:hAnsi="Times New Roman" w:cs="Times New Roman"/>
          <w:color w:val="000000"/>
          <w:sz w:val="32"/>
          <w:szCs w:val="32"/>
        </w:rPr>
        <w:t>изучается соответствие монтажа, установки, комплектации потенциально опасного объекта требованиям эксплуатационной и проектной документации.</w:t>
      </w:r>
    </w:p>
    <w:p w:rsidR="00D674A2" w:rsidRPr="00033BF1" w:rsidRDefault="00D674A2">
      <w:pPr>
        <w:pStyle w:val="ConsPlusNormal"/>
        <w:jc w:val="right"/>
        <w:outlineLvl w:val="1"/>
        <w:rPr>
          <w:rFonts w:ascii="Times New Roman" w:hAnsi="Times New Roman" w:cs="Times New Roman"/>
          <w:color w:val="000000"/>
        </w:rPr>
      </w:pPr>
      <w:r w:rsidRPr="00033BF1">
        <w:rPr>
          <w:rFonts w:ascii="Times New Roman" w:hAnsi="Times New Roman" w:cs="Times New Roman"/>
          <w:color w:val="000000"/>
        </w:rPr>
        <w:t>Приложение 1</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к Инструкции о порядке осуществления</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Департаментом по надзору за безопасным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ведением работ в промышленности</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Министерства по чрезвычайным ситуациям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Республики Беларусь мероприятий</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технического (технологического,</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поверочного) характера</w:t>
      </w:r>
    </w:p>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(в ред. постановления МЧС от 28.04.2021 N 26)</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right"/>
        <w:rPr>
          <w:rFonts w:ascii="Times New Roman" w:hAnsi="Times New Roman" w:cs="Times New Roman"/>
          <w:color w:val="000000"/>
        </w:rPr>
      </w:pPr>
      <w:bookmarkStart w:id="4" w:name="Par441"/>
      <w:bookmarkEnd w:id="4"/>
      <w:r w:rsidRPr="00033BF1">
        <w:rPr>
          <w:rFonts w:ascii="Times New Roman" w:hAnsi="Times New Roman" w:cs="Times New Roman"/>
          <w:color w:val="000000"/>
        </w:rPr>
        <w:t>Форма</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(Госпромнадзор, областное, Минское городское управления Госпромнадзора)</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РЕШЕНИЕ N 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о проведении мероприятия технического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(технологического, поверочного) характера</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 _______ 20__ г.                                   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(населенный пункт)</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Выдано 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(должность служащего, фамилия, собственное имя, отчество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(если таковое имеется) должностного лица)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для проведения 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мероприятия технического (технологического,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поверочного) характера)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в период с ______________ 20__ г. по ______________ 20__ г. в отношении </w:t>
      </w:r>
      <w:hyperlink w:anchor="Par475" w:history="1">
        <w:r w:rsidRPr="00033BF1">
          <w:rPr>
            <w:rFonts w:ascii="Times New Roman" w:hAnsi="Times New Roman" w:cs="Times New Roman"/>
            <w:color w:val="000000"/>
          </w:rPr>
          <w:t>&lt;*&gt;</w:t>
        </w:r>
      </w:hyperlink>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объекта)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принадлежащего 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субъекта)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В ходе проведении осмотра будут применены технические средства: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     ______________    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(должность служащего)        (подпись)      (инициалы (инициал собственного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имени), фамилия)</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ind w:firstLine="540"/>
        <w:jc w:val="both"/>
        <w:rPr>
          <w:rFonts w:ascii="Times New Roman" w:hAnsi="Times New Roman" w:cs="Times New Roman"/>
          <w:color w:val="000000"/>
        </w:rPr>
      </w:pPr>
      <w:r w:rsidRPr="00033BF1">
        <w:rPr>
          <w:rFonts w:ascii="Times New Roman" w:hAnsi="Times New Roman" w:cs="Times New Roman"/>
          <w:color w:val="000000"/>
        </w:rPr>
        <w:t>--------------------------------</w:t>
      </w:r>
    </w:p>
    <w:p w:rsidR="00D674A2" w:rsidRPr="00033BF1" w:rsidRDefault="00D674A2">
      <w:pPr>
        <w:pStyle w:val="ConsPlusNormal"/>
        <w:spacing w:before="160"/>
        <w:ind w:firstLine="540"/>
        <w:jc w:val="both"/>
        <w:rPr>
          <w:rFonts w:ascii="Times New Roman" w:hAnsi="Times New Roman" w:cs="Times New Roman"/>
          <w:color w:val="000000"/>
        </w:rPr>
      </w:pPr>
      <w:bookmarkStart w:id="5" w:name="Par475"/>
      <w:bookmarkEnd w:id="5"/>
      <w:r w:rsidRPr="00033BF1">
        <w:rPr>
          <w:rFonts w:ascii="Times New Roman" w:hAnsi="Times New Roman" w:cs="Times New Roman"/>
          <w:color w:val="000000"/>
        </w:rPr>
        <w:t>&lt;*&gt; Не заполняется при проведении осмотра объектов перевозки опасных грузов на предмет их технического состояния, оснащения, оформления документации, соблюдения маршрута следования (за исключением железнодорожных путей общего пользования, расположенных на территориях железнодорожных станций, железнодорожных путей необщего пользования).</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right"/>
        <w:outlineLvl w:val="1"/>
        <w:rPr>
          <w:rFonts w:ascii="Times New Roman" w:hAnsi="Times New Roman" w:cs="Times New Roman"/>
          <w:color w:val="000000"/>
        </w:rPr>
      </w:pPr>
      <w:r w:rsidRPr="00033BF1">
        <w:rPr>
          <w:rFonts w:ascii="Times New Roman" w:hAnsi="Times New Roman" w:cs="Times New Roman"/>
          <w:color w:val="000000"/>
        </w:rPr>
        <w:t>Приложение 2</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к Инструкции о порядке осуществления</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Департаментом по надзору за безопасным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ведением работ в промышленности</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Министерства по чрезвычайным ситуациям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Республики Беларусь мероприятий</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технического (технологического,</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поверочного) характера</w:t>
      </w:r>
    </w:p>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(в ред. постановления МЧС от 28.04.2021 N 26)</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right"/>
        <w:rPr>
          <w:rFonts w:ascii="Times New Roman" w:hAnsi="Times New Roman" w:cs="Times New Roman"/>
          <w:color w:val="000000"/>
        </w:rPr>
      </w:pPr>
      <w:bookmarkStart w:id="6" w:name="Par491"/>
      <w:bookmarkEnd w:id="6"/>
      <w:r w:rsidRPr="00033BF1">
        <w:rPr>
          <w:rFonts w:ascii="Times New Roman" w:hAnsi="Times New Roman" w:cs="Times New Roman"/>
          <w:color w:val="000000"/>
        </w:rPr>
        <w:t>Форма</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(Госпромнадзор, областное, Минское городское управления Госпромнадзора)</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УВЕДОМЛЕНИЕ</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 _______ 20__ г.                                   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(населенный пункт)</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Настоящим уведомляем 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субъекта)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о назначении 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мероприятия технического (технологического,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поверочного) характера)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на  основании пункта 12 перечня мероприятий технического (технологического,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поверочного) характера в отношении 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объекта)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Мероприятие  технического  (технологического,  поверочного)  характера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будет проведено в период с _______ 20__ г. по ________ 20__ г.</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В ходе проведении осмотра будут применены технические средства: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    ______________     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(должность служащего)      (подпись)        (инициалы (инициал собственного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имени), фамилия)</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right"/>
        <w:outlineLvl w:val="1"/>
        <w:rPr>
          <w:rFonts w:ascii="Times New Roman" w:hAnsi="Times New Roman" w:cs="Times New Roman"/>
          <w:color w:val="000000"/>
        </w:rPr>
      </w:pPr>
      <w:r w:rsidRPr="00033BF1">
        <w:rPr>
          <w:rFonts w:ascii="Times New Roman" w:hAnsi="Times New Roman" w:cs="Times New Roman"/>
          <w:color w:val="000000"/>
        </w:rPr>
        <w:t>Приложение 3</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к Инструкции о порядке осуществления</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Департаментом по надзору за безопасным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ведением работ в промышленности</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Министерства по чрезвычайным ситуациям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Республики Беларусь мероприятий</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технического (технологического,</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поверочного) характера</w:t>
      </w:r>
    </w:p>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(в ред. постановления МЧС от 28.04.2021 N 26)</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right"/>
        <w:rPr>
          <w:rFonts w:ascii="Times New Roman" w:hAnsi="Times New Roman" w:cs="Times New Roman"/>
          <w:color w:val="000000"/>
        </w:rPr>
      </w:pPr>
      <w:bookmarkStart w:id="7" w:name="Par535"/>
      <w:bookmarkEnd w:id="7"/>
      <w:r w:rsidRPr="00033BF1">
        <w:rPr>
          <w:rFonts w:ascii="Times New Roman" w:hAnsi="Times New Roman" w:cs="Times New Roman"/>
          <w:color w:val="000000"/>
        </w:rPr>
        <w:t>Форма</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СПРАВКА N 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о проведении мероприятия технического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(технологического, поверочного) характера</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 _______ 20__ г.                                   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(населенный пункт)</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   основании   решения   о   проведении   мероприятия   технического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(технологического, поверочного) характера N ________ от ____________20__ г.</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мною 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(должность служащего, фамилия, собственное имя, отчество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lastRenderedPageBreak/>
        <w:t xml:space="preserve">    (если таковое имеется) должностного лица, проводившего мероприятие)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с ______________________ 20___ г. по ___________________ 20___ г. проведено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мероприятия технического (технологического, поверочного)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характера)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в отношении 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и место нахождения объекта, в отношении которого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проведено мероприятие, регистрационный номер потенциально опасного объекта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(при наличии)</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принадлежащего 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субъекта)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в ходе которого нарушений актов законодательства не выявлено.</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Справку   о  проведении  мероприятия  технического  (технологического,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поверочного) характера выдал:</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   ____________   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(должность служащего)    (подпись)       (инициалы (инициал собственного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имени), фамилия)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 20__ г.</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Со  справкой  о проведении мероприятия технического (технологического,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поверочного) характера ознакомлен и один экземпляр получил:</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  ____________  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(должность руководителя      (подпись)    (инициалы (инициал собственного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субъекта (его представителя)                      имени), фамилия)</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 20__ г.</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Сведения о вручении (направлении) справки:</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right"/>
        <w:outlineLvl w:val="1"/>
        <w:rPr>
          <w:rFonts w:ascii="Times New Roman" w:hAnsi="Times New Roman" w:cs="Times New Roman"/>
          <w:color w:val="000000"/>
        </w:rPr>
      </w:pPr>
      <w:r w:rsidRPr="00033BF1">
        <w:rPr>
          <w:rFonts w:ascii="Times New Roman" w:hAnsi="Times New Roman" w:cs="Times New Roman"/>
          <w:color w:val="000000"/>
        </w:rPr>
        <w:t>Приложение 4</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к Инструкции о порядке осуществления</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Департаментом по надзору за безопасным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ведением работ в промышленности</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Министерства по чрезвычайным ситуациям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Республики Беларусь мероприятий</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технического (технологического,</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поверочного) характера</w:t>
      </w:r>
    </w:p>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(в ред. постановления МЧС от 28.04.2021 N 26)</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right"/>
        <w:rPr>
          <w:rFonts w:ascii="Times New Roman" w:hAnsi="Times New Roman" w:cs="Times New Roman"/>
          <w:color w:val="000000"/>
        </w:rPr>
      </w:pPr>
      <w:bookmarkStart w:id="8" w:name="Par597"/>
      <w:bookmarkEnd w:id="8"/>
      <w:r w:rsidRPr="00033BF1">
        <w:rPr>
          <w:rFonts w:ascii="Times New Roman" w:hAnsi="Times New Roman" w:cs="Times New Roman"/>
          <w:color w:val="000000"/>
        </w:rPr>
        <w:t>Форма</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ЗАКЛЮЧЕНИЕ N 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по результатам обследования котельной мощностью более 200 киловатт</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независимо от мощности установленных в ней котлов на предмет</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ее готовности к работе в осенне-зимний период</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 _______ 20__ г.                                   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(населенный пункт)</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Котельная____________________________________________________________,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(регистрационный номер)</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принадлежащая 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субъекта)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lastRenderedPageBreak/>
        <w:t xml:space="preserve">     Адрес котельной 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Установленные котлы 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тип, вид топлива,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регистрационный номер)</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  основании  проведенного обследования котельной мощностью более 200</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киловатт  независимо  от  мощности установленных в ней котлов на предмет ее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готовности к работе в осенне-зимний период установлено, что по состоянию на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 20__ г. котельное оборудование соответствует требованиям</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промышленной  безопасности  и готово к  эксплуатации в осенне-зимний период</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20__/20__ гг.</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     _____________    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(должность служащего)       (подпись)       (инициалы (инициал собственного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имени), фамилия)</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Сведения о вручении (направлении) заключения: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C02DF3" w:rsidRPr="00033BF1" w:rsidRDefault="00C02DF3">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right"/>
        <w:outlineLvl w:val="1"/>
        <w:rPr>
          <w:rFonts w:ascii="Times New Roman" w:hAnsi="Times New Roman" w:cs="Times New Roman"/>
          <w:color w:val="000000"/>
        </w:rPr>
      </w:pPr>
      <w:r w:rsidRPr="00033BF1">
        <w:rPr>
          <w:rFonts w:ascii="Times New Roman" w:hAnsi="Times New Roman" w:cs="Times New Roman"/>
          <w:color w:val="000000"/>
        </w:rPr>
        <w:t>Приложение 5</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к Инструкции о порядке осуществления</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Департаментом по надзору за безопасным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ведением работ в промышленности</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Министерства по чрезвычайным ситуациям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Республики Беларусь мероприятий</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технического (технологического,</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поверочного) характера</w:t>
      </w:r>
    </w:p>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(в ред. постановления МЧС от 28.04.2021 N 26)</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right"/>
        <w:rPr>
          <w:rFonts w:ascii="Times New Roman" w:hAnsi="Times New Roman" w:cs="Times New Roman"/>
          <w:color w:val="000000"/>
        </w:rPr>
      </w:pPr>
      <w:bookmarkStart w:id="9" w:name="Par644"/>
      <w:bookmarkEnd w:id="9"/>
      <w:r w:rsidRPr="00033BF1">
        <w:rPr>
          <w:rFonts w:ascii="Times New Roman" w:hAnsi="Times New Roman" w:cs="Times New Roman"/>
          <w:color w:val="000000"/>
        </w:rPr>
        <w:t>Форма</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ДОНЕСЕНИЕ N 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о техническом освидетельствовании потенциально опасных объектов</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Представляется в 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структурного подразделения Госпромнадзора)</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 _______ 20__ г.                                   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(населенный пункт)</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Техническое освидетельствование 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lastRenderedPageBreak/>
        <w:t xml:space="preserve">                                      (наименование потенциально опасного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объекта, год изготовления, регистрационный номер (при наличии),</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место нахождения (для стационарно установленных), наименование субъекта)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проведено 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(должность служащего, фамилия, собственное имя, отчество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(если таковое имеется) должностного лица)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в присутствии представителя субъекта 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(должность служащего, фамилия,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инициалы (инициал собственного имени)</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Результаты технического освидетельствования</w:t>
      </w:r>
    </w:p>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(содержание записи в паспорте)</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sectPr w:rsidR="00D674A2" w:rsidRPr="00033BF1">
          <w:pgSz w:w="11906" w:h="16838"/>
          <w:pgMar w:top="1134" w:right="850" w:bottom="1134" w:left="1701" w:header="0" w:footer="0" w:gutter="0"/>
          <w:cols w:space="720"/>
          <w:noEndnote/>
        </w:sectPr>
      </w:pPr>
    </w:p>
    <w:tbl>
      <w:tblPr>
        <w:tblW w:w="0" w:type="auto"/>
        <w:tblLayout w:type="fixed"/>
        <w:tblCellMar>
          <w:left w:w="0" w:type="dxa"/>
          <w:right w:w="0" w:type="dxa"/>
        </w:tblCellMar>
        <w:tblLook w:val="0000" w:firstRow="0" w:lastRow="0" w:firstColumn="0" w:lastColumn="0" w:noHBand="0" w:noVBand="0"/>
      </w:tblPr>
      <w:tblGrid>
        <w:gridCol w:w="3105"/>
        <w:gridCol w:w="3105"/>
        <w:gridCol w:w="2325"/>
        <w:gridCol w:w="3030"/>
      </w:tblGrid>
      <w:tr w:rsidR="00D674A2" w:rsidRPr="00033BF1">
        <w:tblPrEx>
          <w:tblCellMar>
            <w:top w:w="0" w:type="dxa"/>
            <w:left w:w="0" w:type="dxa"/>
            <w:bottom w:w="0" w:type="dxa"/>
            <w:right w:w="0" w:type="dxa"/>
          </w:tblCellMar>
        </w:tblPrEx>
        <w:tc>
          <w:tcPr>
            <w:tcW w:w="310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lastRenderedPageBreak/>
              <w:t>Дата технического освидетельствования</w:t>
            </w:r>
          </w:p>
        </w:tc>
        <w:tc>
          <w:tcPr>
            <w:tcW w:w="310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Результаты технического освидетельствования</w:t>
            </w:r>
          </w:p>
        </w:tc>
        <w:tc>
          <w:tcPr>
            <w:tcW w:w="232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Разрешенный рабочий параметр (при необходимости)</w:t>
            </w:r>
          </w:p>
        </w:tc>
        <w:tc>
          <w:tcPr>
            <w:tcW w:w="303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Дата следующего технического освидетельствования</w:t>
            </w:r>
          </w:p>
        </w:tc>
      </w:tr>
      <w:tr w:rsidR="00D674A2" w:rsidRPr="00033BF1">
        <w:tblPrEx>
          <w:tblCellMar>
            <w:top w:w="0" w:type="dxa"/>
            <w:left w:w="0" w:type="dxa"/>
            <w:bottom w:w="0" w:type="dxa"/>
            <w:right w:w="0" w:type="dxa"/>
          </w:tblCellMar>
        </w:tblPrEx>
        <w:tc>
          <w:tcPr>
            <w:tcW w:w="3105" w:type="dxa"/>
            <w:tcBorders>
              <w:top w:val="single" w:sz="4" w:space="0" w:color="auto"/>
              <w:left w:val="single" w:sz="4" w:space="0" w:color="auto"/>
              <w:right w:val="single" w:sz="4" w:space="0" w:color="auto"/>
            </w:tcBorders>
            <w:tcMar>
              <w:top w:w="0" w:type="dxa"/>
              <w:left w:w="0" w:type="dxa"/>
              <w:bottom w:w="0" w:type="dxa"/>
              <w:right w:w="0" w:type="dxa"/>
            </w:tcMar>
          </w:tcPr>
          <w:p w:rsidR="00D674A2" w:rsidRPr="00033BF1" w:rsidRDefault="00D674A2">
            <w:pPr>
              <w:pStyle w:val="ConsPlusNormal"/>
              <w:rPr>
                <w:rFonts w:ascii="Times New Roman" w:hAnsi="Times New Roman" w:cs="Times New Roman"/>
                <w:color w:val="000000"/>
              </w:rPr>
            </w:pPr>
          </w:p>
        </w:tc>
        <w:tc>
          <w:tcPr>
            <w:tcW w:w="3105" w:type="dxa"/>
            <w:tcBorders>
              <w:top w:val="single" w:sz="4" w:space="0" w:color="auto"/>
              <w:left w:val="single" w:sz="4" w:space="0" w:color="auto"/>
              <w:right w:val="single" w:sz="4" w:space="0" w:color="auto"/>
            </w:tcBorders>
            <w:tcMar>
              <w:top w:w="0" w:type="dxa"/>
              <w:left w:w="0" w:type="dxa"/>
              <w:bottom w:w="0" w:type="dxa"/>
              <w:right w:w="0" w:type="dxa"/>
            </w:tcMar>
          </w:tcPr>
          <w:p w:rsidR="00D674A2" w:rsidRPr="00033BF1" w:rsidRDefault="00D674A2">
            <w:pPr>
              <w:pStyle w:val="ConsPlusNormal"/>
              <w:rPr>
                <w:rFonts w:ascii="Times New Roman" w:hAnsi="Times New Roman" w:cs="Times New Roman"/>
                <w:color w:val="000000"/>
              </w:rPr>
            </w:pPr>
          </w:p>
        </w:tc>
        <w:tc>
          <w:tcPr>
            <w:tcW w:w="2325" w:type="dxa"/>
            <w:tcBorders>
              <w:top w:val="single" w:sz="4" w:space="0" w:color="auto"/>
              <w:left w:val="single" w:sz="4" w:space="0" w:color="auto"/>
              <w:right w:val="single" w:sz="4" w:space="0" w:color="auto"/>
            </w:tcBorders>
            <w:tcMar>
              <w:top w:w="0" w:type="dxa"/>
              <w:left w:w="0" w:type="dxa"/>
              <w:bottom w:w="0" w:type="dxa"/>
              <w:right w:w="0" w:type="dxa"/>
            </w:tcMar>
          </w:tcPr>
          <w:p w:rsidR="00D674A2" w:rsidRPr="00033BF1" w:rsidRDefault="00D674A2">
            <w:pPr>
              <w:pStyle w:val="ConsPlusNormal"/>
              <w:rPr>
                <w:rFonts w:ascii="Times New Roman" w:hAnsi="Times New Roman" w:cs="Times New Roman"/>
                <w:color w:val="000000"/>
              </w:rPr>
            </w:pPr>
          </w:p>
        </w:tc>
        <w:tc>
          <w:tcPr>
            <w:tcW w:w="3030" w:type="dxa"/>
            <w:tcBorders>
              <w:top w:val="single" w:sz="4" w:space="0" w:color="auto"/>
              <w:left w:val="single" w:sz="4" w:space="0" w:color="auto"/>
              <w:right w:val="single" w:sz="4" w:space="0" w:color="auto"/>
            </w:tcBorders>
            <w:tcMar>
              <w:top w:w="0" w:type="dxa"/>
              <w:left w:w="0" w:type="dxa"/>
              <w:bottom w:w="0" w:type="dxa"/>
              <w:right w:w="0" w:type="dxa"/>
            </w:tcMar>
          </w:tcPr>
          <w:p w:rsidR="00D674A2" w:rsidRPr="00033BF1" w:rsidRDefault="00D674A2">
            <w:pPr>
              <w:pStyle w:val="ConsPlusNormal"/>
              <w:rPr>
                <w:rFonts w:ascii="Times New Roman" w:hAnsi="Times New Roman" w:cs="Times New Roman"/>
                <w:color w:val="000000"/>
              </w:rPr>
            </w:pPr>
          </w:p>
        </w:tc>
      </w:tr>
    </w:tbl>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Техническое освидетельствование провел:</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    _____________    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(должность служащего)      (подпись)       (инициалы (инициал собственного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имени), фамилия)</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При проведении технического освидетельствования присутствовал:</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    ____________     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(должность служащего)      (подпись)       (инициалы (инициал собственного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имени), фамилия)</w:t>
      </w:r>
    </w:p>
    <w:p w:rsidR="00D674A2" w:rsidRPr="00033BF1" w:rsidRDefault="00D674A2">
      <w:pPr>
        <w:pStyle w:val="ConsPlusNonformat"/>
        <w:jc w:val="both"/>
        <w:rPr>
          <w:rFonts w:ascii="Times New Roman" w:hAnsi="Times New Roman" w:cs="Times New Roman"/>
          <w:color w:val="000000"/>
        </w:rPr>
        <w:sectPr w:rsidR="00D674A2" w:rsidRPr="00033BF1">
          <w:pgSz w:w="16838" w:h="11906" w:orient="landscape"/>
          <w:pgMar w:top="1701" w:right="1134" w:bottom="850" w:left="1134" w:header="0" w:footer="0" w:gutter="0"/>
          <w:cols w:space="720"/>
          <w:noEndnote/>
        </w:sectPr>
      </w:pPr>
    </w:p>
    <w:p w:rsidR="00D674A2" w:rsidRPr="00033BF1" w:rsidRDefault="00D674A2">
      <w:pPr>
        <w:pStyle w:val="ConsPlusNormal"/>
        <w:jc w:val="right"/>
        <w:outlineLvl w:val="1"/>
        <w:rPr>
          <w:rFonts w:ascii="Times New Roman" w:hAnsi="Times New Roman" w:cs="Times New Roman"/>
          <w:color w:val="000000"/>
        </w:rPr>
      </w:pPr>
      <w:r w:rsidRPr="00033BF1">
        <w:rPr>
          <w:rFonts w:ascii="Times New Roman" w:hAnsi="Times New Roman" w:cs="Times New Roman"/>
          <w:color w:val="000000"/>
        </w:rPr>
        <w:lastRenderedPageBreak/>
        <w:t>Приложение 6</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к Инструкции о порядке осуществления</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Департаментом по надзору за безопасным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ведением работ в промышленности</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Министерства по чрезвычайным ситуациям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Республики Беларусь мероприятий</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технического (технологического,</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поверочного) характера</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(в редакции постановления</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Министерства по чрезвычайным ситуациям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Республики Беларусь</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28.04.2021 N 26)</w:t>
      </w:r>
    </w:p>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(в ред. постановления МЧС от 28.04.2021 N 26)</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right"/>
        <w:rPr>
          <w:rFonts w:ascii="Times New Roman" w:hAnsi="Times New Roman" w:cs="Times New Roman"/>
          <w:color w:val="000000"/>
        </w:rPr>
      </w:pPr>
      <w:bookmarkStart w:id="10" w:name="Par714"/>
      <w:bookmarkEnd w:id="10"/>
      <w:r w:rsidRPr="00033BF1">
        <w:rPr>
          <w:rFonts w:ascii="Times New Roman" w:hAnsi="Times New Roman" w:cs="Times New Roman"/>
          <w:color w:val="000000"/>
        </w:rPr>
        <w:t>Форма</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(Госпромнадзор, областное, Минское городское управления Госпромнадзора)</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ПРЕДПИСАНИЕ N 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об устранении нарушений</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 __________ 20__ г.                              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(населенный пункт)</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   основании   решения   о   проведении   мероприятия   технического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(технологического, поверочного) характера N ______ от ____________ 20___ г.</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мною 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(должность</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служащего, фамилия, собственное имя, отчество (если таковое имеется)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должностного лица, проводившего мероприятие)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с ______________ 20__ г. по ____________ 20__ г. проведено 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мероприятия технического (технологического, поверочного) характера)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в отношении &lt;*&gt; 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и место нахождения объекта, в отношении</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которого проведено мероприятие, регистрационный номер потенциально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опасного объекта (при наличии)</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принадлежащего 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субъекта)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УСТАНОВЛЕНО:</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sectPr w:rsidR="00D674A2" w:rsidRPr="00033BF1">
          <w:pgSz w:w="11906" w:h="16838"/>
          <w:pgMar w:top="1134" w:right="850" w:bottom="1134" w:left="1701" w:header="0" w:footer="0" w:gutter="0"/>
          <w:cols w:space="720"/>
          <w:noEndnote/>
        </w:sectPr>
      </w:pPr>
    </w:p>
    <w:tbl>
      <w:tblPr>
        <w:tblW w:w="0" w:type="auto"/>
        <w:tblLayout w:type="fixed"/>
        <w:tblCellMar>
          <w:left w:w="0" w:type="dxa"/>
          <w:right w:w="0" w:type="dxa"/>
        </w:tblCellMar>
        <w:tblLook w:val="0000" w:firstRow="0" w:lastRow="0" w:firstColumn="0" w:lastColumn="0" w:noHBand="0" w:noVBand="0"/>
      </w:tblPr>
      <w:tblGrid>
        <w:gridCol w:w="1065"/>
        <w:gridCol w:w="3360"/>
        <w:gridCol w:w="3750"/>
        <w:gridCol w:w="3390"/>
      </w:tblGrid>
      <w:tr w:rsidR="00D674A2" w:rsidRPr="00033BF1">
        <w:tblPrEx>
          <w:tblCellMar>
            <w:top w:w="0" w:type="dxa"/>
            <w:left w:w="0" w:type="dxa"/>
            <w:bottom w:w="0" w:type="dxa"/>
            <w:right w:w="0" w:type="dxa"/>
          </w:tblCellMar>
        </w:tblPrEx>
        <w:tc>
          <w:tcPr>
            <w:tcW w:w="106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lastRenderedPageBreak/>
              <w:t>N</w:t>
            </w:r>
            <w:r w:rsidRPr="00033BF1">
              <w:rPr>
                <w:rFonts w:ascii="Times New Roman" w:hAnsi="Times New Roman" w:cs="Times New Roman"/>
                <w:color w:val="000000"/>
              </w:rPr>
              <w:br/>
              <w:t>п/п</w:t>
            </w:r>
          </w:p>
        </w:tc>
        <w:tc>
          <w:tcPr>
            <w:tcW w:w="336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Выявленные нарушения</w:t>
            </w:r>
          </w:p>
        </w:tc>
        <w:tc>
          <w:tcPr>
            <w:tcW w:w="375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Нормативный правовой акт, в том числе технический нормативный правовой акт, требования которого нарушены</w:t>
            </w:r>
          </w:p>
        </w:tc>
        <w:tc>
          <w:tcPr>
            <w:tcW w:w="339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Срок устранения нарушения</w:t>
            </w:r>
          </w:p>
        </w:tc>
      </w:tr>
      <w:tr w:rsidR="00D674A2" w:rsidRPr="00033BF1">
        <w:tblPrEx>
          <w:tblCellMar>
            <w:top w:w="0" w:type="dxa"/>
            <w:left w:w="0" w:type="dxa"/>
            <w:bottom w:w="0" w:type="dxa"/>
            <w:right w:w="0" w:type="dxa"/>
          </w:tblCellMar>
        </w:tblPrEx>
        <w:tc>
          <w:tcPr>
            <w:tcW w:w="1065" w:type="dxa"/>
            <w:tcBorders>
              <w:top w:val="single" w:sz="4" w:space="0" w:color="auto"/>
              <w:left w:val="single" w:sz="4" w:space="0" w:color="auto"/>
              <w:right w:val="single" w:sz="4" w:space="0" w:color="auto"/>
            </w:tcBorders>
            <w:tcMar>
              <w:top w:w="0" w:type="dxa"/>
              <w:left w:w="0" w:type="dxa"/>
              <w:bottom w:w="0" w:type="dxa"/>
              <w:right w:w="0" w:type="dxa"/>
            </w:tcMar>
          </w:tcPr>
          <w:p w:rsidR="00D674A2" w:rsidRPr="00033BF1" w:rsidRDefault="00D674A2">
            <w:pPr>
              <w:pStyle w:val="ConsPlusNormal"/>
              <w:rPr>
                <w:rFonts w:ascii="Times New Roman" w:hAnsi="Times New Roman" w:cs="Times New Roman"/>
                <w:color w:val="000000"/>
              </w:rPr>
            </w:pPr>
          </w:p>
        </w:tc>
        <w:tc>
          <w:tcPr>
            <w:tcW w:w="3360" w:type="dxa"/>
            <w:tcBorders>
              <w:top w:val="single" w:sz="4" w:space="0" w:color="auto"/>
              <w:left w:val="single" w:sz="4" w:space="0" w:color="auto"/>
              <w:right w:val="single" w:sz="4" w:space="0" w:color="auto"/>
            </w:tcBorders>
            <w:tcMar>
              <w:top w:w="0" w:type="dxa"/>
              <w:left w:w="0" w:type="dxa"/>
              <w:bottom w:w="0" w:type="dxa"/>
              <w:right w:w="0" w:type="dxa"/>
            </w:tcMar>
          </w:tcPr>
          <w:p w:rsidR="00D674A2" w:rsidRPr="00033BF1" w:rsidRDefault="00D674A2">
            <w:pPr>
              <w:pStyle w:val="ConsPlusNormal"/>
              <w:rPr>
                <w:rFonts w:ascii="Times New Roman" w:hAnsi="Times New Roman" w:cs="Times New Roman"/>
                <w:color w:val="000000"/>
              </w:rPr>
            </w:pPr>
          </w:p>
        </w:tc>
        <w:tc>
          <w:tcPr>
            <w:tcW w:w="3750" w:type="dxa"/>
            <w:tcBorders>
              <w:top w:val="single" w:sz="4" w:space="0" w:color="auto"/>
              <w:left w:val="single" w:sz="4" w:space="0" w:color="auto"/>
              <w:right w:val="single" w:sz="4" w:space="0" w:color="auto"/>
            </w:tcBorders>
            <w:tcMar>
              <w:top w:w="0" w:type="dxa"/>
              <w:left w:w="0" w:type="dxa"/>
              <w:bottom w:w="0" w:type="dxa"/>
              <w:right w:w="0" w:type="dxa"/>
            </w:tcMar>
          </w:tcPr>
          <w:p w:rsidR="00D674A2" w:rsidRPr="00033BF1" w:rsidRDefault="00D674A2">
            <w:pPr>
              <w:pStyle w:val="ConsPlusNormal"/>
              <w:rPr>
                <w:rFonts w:ascii="Times New Roman" w:hAnsi="Times New Roman" w:cs="Times New Roman"/>
                <w:color w:val="000000"/>
              </w:rPr>
            </w:pPr>
          </w:p>
        </w:tc>
        <w:tc>
          <w:tcPr>
            <w:tcW w:w="3390" w:type="dxa"/>
            <w:tcBorders>
              <w:top w:val="single" w:sz="4" w:space="0" w:color="auto"/>
              <w:left w:val="single" w:sz="4" w:space="0" w:color="auto"/>
              <w:right w:val="single" w:sz="4" w:space="0" w:color="auto"/>
            </w:tcBorders>
            <w:tcMar>
              <w:top w:w="0" w:type="dxa"/>
              <w:left w:w="0" w:type="dxa"/>
              <w:bottom w:w="0" w:type="dxa"/>
              <w:right w:w="0" w:type="dxa"/>
            </w:tcMar>
          </w:tcPr>
          <w:p w:rsidR="00D674A2" w:rsidRPr="00033BF1" w:rsidRDefault="00D674A2">
            <w:pPr>
              <w:pStyle w:val="ConsPlusNormal"/>
              <w:rPr>
                <w:rFonts w:ascii="Times New Roman" w:hAnsi="Times New Roman" w:cs="Times New Roman"/>
                <w:color w:val="000000"/>
              </w:rPr>
            </w:pPr>
          </w:p>
        </w:tc>
      </w:tr>
    </w:tbl>
    <w:p w:rsidR="00D674A2" w:rsidRPr="00033BF1" w:rsidRDefault="00D674A2">
      <w:pPr>
        <w:pStyle w:val="ConsPlusNormal"/>
        <w:rPr>
          <w:rFonts w:ascii="Times New Roman" w:hAnsi="Times New Roman" w:cs="Times New Roman"/>
          <w:color w:val="000000"/>
        </w:rPr>
        <w:sectPr w:rsidR="00D674A2" w:rsidRPr="00033BF1">
          <w:pgSz w:w="16838" w:h="11906" w:orient="landscape"/>
          <w:pgMar w:top="1701" w:right="1134" w:bottom="850" w:left="1134" w:header="0" w:footer="0" w:gutter="0"/>
          <w:cols w:space="720"/>
          <w:noEndnote/>
        </w:sect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 основании абзаца второго части третьей  пункта  6  Указа Президента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Республики  Беларусь  от  16  октября  2009  г.  N 510 "О совершенствовании</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контрольной (надзорной) деятельности в Республике Беларусь" ПРЕДПИСЫВАЕТСЯ: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субъекта хозяйствования, которому предписывается устранить</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выявленные нарушения)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в  установленные  сроки  устранить  нарушения,  указанные в вышеприведенной</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таблице,  о  чем  не  позднее  одного  рабочего  дня после истечения срока,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установленного  для устранения нарушений, письменно или в виде электронного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документа  чрез  систему межведомственного документооборота государственных</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органов  информировать  с приложением документов, подтверждающих устранение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выявленных нарушений</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(Госпромнадзор, областные, Минское городское управления)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За   невыполнение  или   ненадлежащее  выполнение  в  срок  настоящего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предписания  применяются  меры  ответственности  в  порядке,  установленном</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законодательством.</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   _______________  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(должность служащего)       (подпись)            (инициалы (инициал</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собственного имени), фамилия)</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Предписание для исполнения получил:</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                               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(подпись)                                         (инициалы (инициал</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собственного имени), фамилия)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 20___ г.</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Предписание направлено 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(дата и способ отправки)</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ind w:firstLine="540"/>
        <w:jc w:val="both"/>
        <w:rPr>
          <w:rFonts w:ascii="Times New Roman" w:hAnsi="Times New Roman" w:cs="Times New Roman"/>
          <w:color w:val="000000"/>
        </w:rPr>
      </w:pPr>
      <w:r w:rsidRPr="00033BF1">
        <w:rPr>
          <w:rFonts w:ascii="Times New Roman" w:hAnsi="Times New Roman" w:cs="Times New Roman"/>
          <w:color w:val="000000"/>
        </w:rPr>
        <w:t>--------------------------------</w:t>
      </w:r>
    </w:p>
    <w:p w:rsidR="00D674A2" w:rsidRPr="00033BF1" w:rsidRDefault="00D674A2">
      <w:pPr>
        <w:pStyle w:val="ConsPlusNormal"/>
        <w:spacing w:before="160"/>
        <w:ind w:firstLine="540"/>
        <w:jc w:val="both"/>
        <w:rPr>
          <w:rFonts w:ascii="Times New Roman" w:hAnsi="Times New Roman" w:cs="Times New Roman"/>
          <w:color w:val="000000"/>
        </w:rPr>
      </w:pPr>
      <w:bookmarkStart w:id="11" w:name="Par787"/>
      <w:bookmarkEnd w:id="11"/>
      <w:r w:rsidRPr="00033BF1">
        <w:rPr>
          <w:rFonts w:ascii="Times New Roman" w:hAnsi="Times New Roman" w:cs="Times New Roman"/>
          <w:color w:val="000000"/>
        </w:rPr>
        <w:t>&lt;*&gt; При проведении осмотра объектов перевозки опасных грузов на предмет их технического состояния, оснащения, оформления документации, соблюдения маршрута следования указывается наименование объектов перевозки опасных грузов.</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right"/>
        <w:outlineLvl w:val="1"/>
        <w:rPr>
          <w:rFonts w:ascii="Times New Roman" w:hAnsi="Times New Roman" w:cs="Times New Roman"/>
          <w:color w:val="000000"/>
        </w:rPr>
      </w:pPr>
      <w:r w:rsidRPr="00033BF1">
        <w:rPr>
          <w:rFonts w:ascii="Times New Roman" w:hAnsi="Times New Roman" w:cs="Times New Roman"/>
          <w:color w:val="000000"/>
        </w:rPr>
        <w:t>Приложение 7</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к Инструкции о порядке осуществления</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Департаментом по надзору за безопасным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ведением работ в промышленности</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Министерства по чрезвычайным ситуациям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Республики Беларусь мероприятий</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технического (технологического,</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поверочного) характера</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(в редакции постановления</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Министерства по чрезвычайным ситуациям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Республики Беларусь</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28.04.2021 N 26)</w:t>
      </w:r>
    </w:p>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(в ред. постановления МЧС от 28.04.2021 N 26)</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right"/>
        <w:rPr>
          <w:rFonts w:ascii="Times New Roman" w:hAnsi="Times New Roman" w:cs="Times New Roman"/>
          <w:color w:val="000000"/>
        </w:rPr>
      </w:pPr>
      <w:bookmarkStart w:id="12" w:name="Par807"/>
      <w:bookmarkEnd w:id="12"/>
      <w:r w:rsidRPr="00033BF1">
        <w:rPr>
          <w:rFonts w:ascii="Times New Roman" w:hAnsi="Times New Roman" w:cs="Times New Roman"/>
          <w:color w:val="000000"/>
        </w:rPr>
        <w:t>Форма</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(Госпромнадзор, областное, Минское городское управления Госпромнадзора)</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ПРЕДЛОЖЕНИЕ N 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b/>
          <w:bCs/>
          <w:color w:val="000000"/>
        </w:rPr>
        <w:t>о приостановлении (запрете) деятельности объекта, производственных участков</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и оборудования</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 __________ 20__ г.                              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(населенный пункт)</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lastRenderedPageBreak/>
        <w:t xml:space="preserve">     На основании    решения    о  проведении    мероприятия   технического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(технологического,  поверочного) характера N ____ от _________ 20__ г. мною</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(нами) 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(должность</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служащего, фамилия, собственное имя, отчество (если таковое имеется)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должностного лица (руководителя группы), проводившего мероприятие)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с ____________ 20__ г.   по ____________ 20__  г.  проведено 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мероприятия технического (технологического, поверочного) характера)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в отношении &lt;*&gt; 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и место нахождения объекта, в отношении</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которого проведено мероприятие, регистрационный номер потенциально опасного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объекта (при наличии)</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принадлежащего 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субъекта)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В связи с  выявлением  нарушений  законодательства,  создающих  угрозу</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национальной  безопасности,  причинения  вреда  жизни и здоровью населения,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окружающей среде: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(указываются выявленные нарушения, послужившие основанием для вручения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предложения, с указанием норм нормативных правовых актов, в том числе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технических нормативных правовых актов, требования которых нарушены)</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на  основании  абзаца  четвертого  части  третьей пункта 6 Указа Президента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Республики  Беларусь  от  16  октября  2009  г.  N 510 "О совершенствовании</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контрольной (надзорной) деятельности в Республике Беларусь" ПРЕДЛАГАЕТСЯ: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приостановить   (запретить)  деятельность   объекта,  производственных</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участков и оборудования 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до устранения вышеизложенных нарушений.</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В соответствии с частью седьмой пункта  6  Указа Президента Республики</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Беларусь  от  16  октября  2009 г. N 510 о принятом на основании настоящего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предложения решении Вам необходимо проинформировать 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(Госпромнадзор,</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областные, Минское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городское управления)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не позднее одного рабочего дня, следующего за днем получения предложения.</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     ____________       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(должность служащего)       (подпись)              (инициалы (инициал</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собственного имени), фамилия)</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Предложение для исполнения получил:</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                               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(подпись)                                        (инициалы (инициал</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собственного имени), фамилия)</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 20___ г.</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Предложение направлено 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(дата и способ отправки)</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ind w:firstLine="540"/>
        <w:jc w:val="both"/>
        <w:rPr>
          <w:rFonts w:ascii="Times New Roman" w:hAnsi="Times New Roman" w:cs="Times New Roman"/>
          <w:color w:val="000000"/>
        </w:rPr>
      </w:pPr>
      <w:r w:rsidRPr="00033BF1">
        <w:rPr>
          <w:rFonts w:ascii="Times New Roman" w:hAnsi="Times New Roman" w:cs="Times New Roman"/>
          <w:color w:val="000000"/>
        </w:rPr>
        <w:t>--------------------------------</w:t>
      </w:r>
    </w:p>
    <w:p w:rsidR="00D674A2" w:rsidRPr="00033BF1" w:rsidRDefault="00D674A2">
      <w:pPr>
        <w:pStyle w:val="ConsPlusNormal"/>
        <w:spacing w:before="160"/>
        <w:ind w:firstLine="540"/>
        <w:jc w:val="both"/>
        <w:rPr>
          <w:rFonts w:ascii="Times New Roman" w:hAnsi="Times New Roman" w:cs="Times New Roman"/>
          <w:color w:val="000000"/>
        </w:rPr>
      </w:pPr>
      <w:bookmarkStart w:id="13" w:name="Par878"/>
      <w:bookmarkEnd w:id="13"/>
      <w:r w:rsidRPr="00033BF1">
        <w:rPr>
          <w:rFonts w:ascii="Times New Roman" w:hAnsi="Times New Roman" w:cs="Times New Roman"/>
          <w:color w:val="000000"/>
        </w:rPr>
        <w:t>&lt;*&gt; При проведении осмотра объектов перевозки опасных грузов на предмет их технического состояния, оснащения, оформления документации, соблюдения маршрута следования указывается наименование объектов перевозки опасных грузов.</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right"/>
        <w:outlineLvl w:val="1"/>
        <w:rPr>
          <w:rFonts w:ascii="Times New Roman" w:hAnsi="Times New Roman" w:cs="Times New Roman"/>
          <w:color w:val="000000"/>
        </w:rPr>
      </w:pPr>
      <w:r w:rsidRPr="00033BF1">
        <w:rPr>
          <w:rFonts w:ascii="Times New Roman" w:hAnsi="Times New Roman" w:cs="Times New Roman"/>
          <w:color w:val="000000"/>
        </w:rPr>
        <w:t>Приложение 8</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к Инструкции о порядке осуществления</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Департаментом по надзору за безопасным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ведением работ в промышленности</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Министерства по чрезвычайным ситуациям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Республики Беларусь мероприятий</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технического (технологического,</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поверочного) характера</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(в редакции постановления</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Министерства по чрезвычайным ситуациям</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Республики Беларусь</w:t>
      </w:r>
    </w:p>
    <w:p w:rsidR="00D674A2" w:rsidRPr="00033BF1" w:rsidRDefault="00D674A2">
      <w:pPr>
        <w:pStyle w:val="ConsPlusNormal"/>
        <w:jc w:val="right"/>
        <w:rPr>
          <w:rFonts w:ascii="Times New Roman" w:hAnsi="Times New Roman" w:cs="Times New Roman"/>
          <w:color w:val="000000"/>
        </w:rPr>
      </w:pPr>
      <w:r w:rsidRPr="00033BF1">
        <w:rPr>
          <w:rFonts w:ascii="Times New Roman" w:hAnsi="Times New Roman" w:cs="Times New Roman"/>
          <w:color w:val="000000"/>
        </w:rPr>
        <w:t>28.04.2021 N 26)</w:t>
      </w:r>
    </w:p>
    <w:p w:rsidR="00D674A2" w:rsidRPr="00033BF1" w:rsidRDefault="00D674A2">
      <w:pPr>
        <w:pStyle w:val="ConsPlusNormal"/>
        <w:jc w:val="center"/>
        <w:rPr>
          <w:rFonts w:ascii="Times New Roman" w:hAnsi="Times New Roman" w:cs="Times New Roman"/>
          <w:color w:val="000000"/>
        </w:rPr>
      </w:pPr>
      <w:r w:rsidRPr="00033BF1">
        <w:rPr>
          <w:rFonts w:ascii="Times New Roman" w:hAnsi="Times New Roman" w:cs="Times New Roman"/>
          <w:color w:val="000000"/>
        </w:rPr>
        <w:t>(в ред. постановления МЧС от 28.04.2021 N 26)</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jc w:val="right"/>
        <w:rPr>
          <w:rFonts w:ascii="Times New Roman" w:hAnsi="Times New Roman" w:cs="Times New Roman"/>
          <w:color w:val="000000"/>
        </w:rPr>
      </w:pPr>
      <w:bookmarkStart w:id="14" w:name="Par898"/>
      <w:bookmarkEnd w:id="14"/>
      <w:r w:rsidRPr="00033BF1">
        <w:rPr>
          <w:rFonts w:ascii="Times New Roman" w:hAnsi="Times New Roman" w:cs="Times New Roman"/>
          <w:color w:val="000000"/>
        </w:rPr>
        <w:t>Форма</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(Госпромнадзор, областное, Минское городское управления Госпромнадзора)</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ТРЕБОВАНИЕ N 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о приостановлении (запрете) производства работ, эксплуатации транспортных</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w:t>
      </w:r>
      <w:r w:rsidRPr="00033BF1">
        <w:rPr>
          <w:rFonts w:ascii="Times New Roman" w:hAnsi="Times New Roman" w:cs="Times New Roman"/>
          <w:b/>
          <w:bCs/>
          <w:color w:val="000000"/>
        </w:rPr>
        <w:t>средств</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 __________ 20__ г.                              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(населенный пункт)</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 основании    решения  о    проведении    мероприятия   технического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(технологического, поверочного) характера N ______ от ________ 20__ г. мною</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(должность служащего, фамилия, собственное имя, отчество (если таковое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имеется) должностного лица, проводившего мероприятие)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с ______________ 20__ г. по _______________ 20__ г. проведено 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мероприятия технического (технологического, поверочного) характера)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в отношении &lt;*&gt; 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и место нахождения объекта, в отношении</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которого проведено мероприятие, регистрационный номер потенциально опасного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объекта (при наличии)</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принадлежащего 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(наименование субъекта)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В связи  с  выявлением  нарушений законодательства,  создающих  угрозу</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национальной  безопасности,  причинения  вреда  жизни и здоровью населения,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окружающей среде: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(указываются выявленные нарушения, послужившие основанием для вынесения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требования, с  указанием  норм  нормативных  правовых  актов,  в  том числе</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технических нормативных правовых актов, требования которых нарушены)</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на  основании  абзаца  пятого  части  третьей  пункта  6  Указа  Президента</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Республики  Беларусь  от  16  октября  2009  г.  N 510 "О совершенствовании</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контрольной (надзорной) деятельности в Республике Беларусь" ТРЕБУЕТСЯ: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приостановить (запретить) производство работ/эксплуатацию транспортных</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средств 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(указать наименование потенциально опасного объекта, его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регистрационный номер (при наличии) либо наименование транспортного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средства, регистрационный номер)</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до устранения вышеизложенных нарушений.</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В соответствии с частью четвертой пункта 6 Указа Президента Республики</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Беларусь  от  16  октября  2009  г. N 510 об устранении нарушений письменно</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lastRenderedPageBreak/>
        <w:t>сообщить __________________________________________________________________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(Госпромнадзор, областные, Минское городское управления)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с приложением подтверждающих документов не позднее _________ 20__ г.</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________________________     ____________      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(должность служащего)        (подпись)             (инициалы (инициал</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собственного имени), фамилия)</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Требование для исполнения получил:</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                               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(подпись)                                          (инициалы (инициал</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собственного имени), фамилия)</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________________ 20___ г.</w:t>
      </w:r>
    </w:p>
    <w:p w:rsidR="00D674A2" w:rsidRPr="00033BF1" w:rsidRDefault="00D674A2">
      <w:pPr>
        <w:pStyle w:val="ConsPlusNonformat"/>
        <w:jc w:val="both"/>
        <w:rPr>
          <w:rFonts w:ascii="Times New Roman" w:hAnsi="Times New Roman" w:cs="Times New Roman"/>
          <w:color w:val="000000"/>
        </w:rPr>
      </w:pP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Требование направлено ________________________________________________</w:t>
      </w:r>
    </w:p>
    <w:p w:rsidR="00D674A2" w:rsidRPr="00033BF1" w:rsidRDefault="00D674A2">
      <w:pPr>
        <w:pStyle w:val="ConsPlusNonformat"/>
        <w:jc w:val="both"/>
        <w:rPr>
          <w:rFonts w:ascii="Times New Roman" w:hAnsi="Times New Roman" w:cs="Times New Roman"/>
          <w:color w:val="000000"/>
        </w:rPr>
      </w:pPr>
      <w:r w:rsidRPr="00033BF1">
        <w:rPr>
          <w:rFonts w:ascii="Times New Roman" w:hAnsi="Times New Roman" w:cs="Times New Roman"/>
          <w:color w:val="000000"/>
        </w:rPr>
        <w:t xml:space="preserve">                                    (дата и способ отправки)</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ind w:firstLine="540"/>
        <w:jc w:val="both"/>
        <w:rPr>
          <w:rFonts w:ascii="Times New Roman" w:hAnsi="Times New Roman" w:cs="Times New Roman"/>
          <w:color w:val="000000"/>
        </w:rPr>
      </w:pPr>
      <w:r w:rsidRPr="00033BF1">
        <w:rPr>
          <w:rFonts w:ascii="Times New Roman" w:hAnsi="Times New Roman" w:cs="Times New Roman"/>
          <w:color w:val="000000"/>
        </w:rPr>
        <w:t>--------------------------------</w:t>
      </w:r>
    </w:p>
    <w:p w:rsidR="00D674A2" w:rsidRPr="00033BF1" w:rsidRDefault="00D674A2">
      <w:pPr>
        <w:pStyle w:val="ConsPlusNormal"/>
        <w:spacing w:before="160"/>
        <w:ind w:firstLine="540"/>
        <w:jc w:val="both"/>
        <w:rPr>
          <w:rFonts w:ascii="Times New Roman" w:hAnsi="Times New Roman" w:cs="Times New Roman"/>
          <w:color w:val="000000"/>
        </w:rPr>
      </w:pPr>
      <w:bookmarkStart w:id="15" w:name="Par967"/>
      <w:bookmarkEnd w:id="15"/>
      <w:r w:rsidRPr="00033BF1">
        <w:rPr>
          <w:rFonts w:ascii="Times New Roman" w:hAnsi="Times New Roman" w:cs="Times New Roman"/>
          <w:color w:val="000000"/>
        </w:rPr>
        <w:t>&lt;*&gt; При проведении осмотра объектов перевозки опасных грузов на предмет их технического состояния, оснащения, оформления документации, соблюдения маршрута следования указывается наименование объектов перевозки опасных грузов.</w:t>
      </w: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rPr>
          <w:rFonts w:ascii="Times New Roman" w:hAnsi="Times New Roman" w:cs="Times New Roman"/>
          <w:color w:val="000000"/>
        </w:rPr>
      </w:pPr>
    </w:p>
    <w:p w:rsidR="00D674A2" w:rsidRPr="00033BF1" w:rsidRDefault="00D674A2">
      <w:pPr>
        <w:pStyle w:val="ConsPlusNormal"/>
        <w:pBdr>
          <w:top w:val="single" w:sz="6" w:space="0" w:color="auto"/>
        </w:pBdr>
        <w:spacing w:before="100" w:after="100"/>
        <w:jc w:val="both"/>
        <w:rPr>
          <w:rFonts w:ascii="Times New Roman" w:hAnsi="Times New Roman" w:cs="Times New Roman"/>
          <w:color w:val="000000"/>
          <w:sz w:val="2"/>
          <w:szCs w:val="2"/>
        </w:rPr>
      </w:pPr>
    </w:p>
    <w:sectPr w:rsidR="00D674A2" w:rsidRPr="00033BF1">
      <w:pgSz w:w="11906" w:h="16838"/>
      <w:pgMar w:top="1134" w:right="850" w:bottom="1134" w:left="1701" w:header="0" w:footer="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writeProtection w:recommended="1"/>
  <w:zoom w:percent="70"/>
  <w:embedSystemFonts/>
  <w:bordersDoNotSurroundHeader/>
  <w:bordersDoNotSurroundFooter/>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D674A2"/>
    <w:rsid w:val="00033BF1"/>
    <w:rsid w:val="00057B3A"/>
    <w:rsid w:val="003B0121"/>
    <w:rsid w:val="00654BE2"/>
    <w:rsid w:val="00A56B76"/>
    <w:rsid w:val="00BB7980"/>
    <w:rsid w:val="00BC4075"/>
    <w:rsid w:val="00BE6294"/>
    <w:rsid w:val="00BF23F8"/>
    <w:rsid w:val="00C02DF3"/>
    <w:rsid w:val="00D674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17BA6F69-BAB9-4724-BEDB-C86046823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200" w:line="276" w:lineRule="auto"/>
    </w:pPr>
    <w:rPr>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pPr>
      <w:widowControl w:val="0"/>
      <w:autoSpaceDE w:val="0"/>
      <w:autoSpaceDN w:val="0"/>
      <w:adjustRightInd w:val="0"/>
    </w:pPr>
    <w:rPr>
      <w:rFonts w:ascii="Arial" w:hAnsi="Arial" w:cs="Arial"/>
      <w:sz w:val="16"/>
      <w:szCs w:val="16"/>
    </w:rPr>
  </w:style>
  <w:style w:type="paragraph" w:customStyle="1" w:styleId="ConsPlusNonformat">
    <w:name w:val="ConsPlusNonformat"/>
    <w:uiPriority w:val="99"/>
    <w:pPr>
      <w:widowControl w:val="0"/>
      <w:autoSpaceDE w:val="0"/>
      <w:autoSpaceDN w:val="0"/>
      <w:adjustRightInd w:val="0"/>
    </w:pPr>
    <w:rPr>
      <w:rFonts w:ascii="Courier New" w:hAnsi="Courier New" w:cs="Courier New"/>
    </w:rPr>
  </w:style>
  <w:style w:type="paragraph" w:customStyle="1" w:styleId="ConsPlusTitle">
    <w:name w:val="ConsPlusTitle"/>
    <w:uiPriority w:val="99"/>
    <w:pPr>
      <w:widowControl w:val="0"/>
      <w:autoSpaceDE w:val="0"/>
      <w:autoSpaceDN w:val="0"/>
      <w:adjustRightInd w:val="0"/>
    </w:pPr>
    <w:rPr>
      <w:rFonts w:ascii="Arial" w:hAnsi="Arial" w:cs="Arial"/>
      <w:b/>
      <w:bCs/>
      <w:sz w:val="16"/>
      <w:szCs w:val="16"/>
    </w:rPr>
  </w:style>
  <w:style w:type="paragraph" w:customStyle="1" w:styleId="ConsPlusCell">
    <w:name w:val="ConsPlusCell"/>
    <w:uiPriority w:val="99"/>
    <w:pPr>
      <w:widowControl w:val="0"/>
      <w:autoSpaceDE w:val="0"/>
      <w:autoSpaceDN w:val="0"/>
      <w:adjustRightInd w:val="0"/>
    </w:pPr>
    <w:rPr>
      <w:rFonts w:ascii="Courier New" w:hAnsi="Courier New" w:cs="Courier New"/>
    </w:rPr>
  </w:style>
  <w:style w:type="paragraph" w:customStyle="1" w:styleId="ConsPlusDocList">
    <w:name w:val="ConsPlusDocList"/>
    <w:uiPriority w:val="99"/>
    <w:pPr>
      <w:widowControl w:val="0"/>
      <w:autoSpaceDE w:val="0"/>
      <w:autoSpaceDN w:val="0"/>
      <w:adjustRightInd w:val="0"/>
    </w:pPr>
    <w:rPr>
      <w:rFonts w:ascii="Courier New" w:hAnsi="Courier New" w:cs="Courier New"/>
      <w:sz w:val="16"/>
      <w:szCs w:val="16"/>
    </w:rPr>
  </w:style>
  <w:style w:type="paragraph" w:customStyle="1" w:styleId="ConsPlusTitlePage">
    <w:name w:val="ConsPlusTitlePage"/>
    <w:uiPriority w:val="99"/>
    <w:pPr>
      <w:widowControl w:val="0"/>
      <w:autoSpaceDE w:val="0"/>
      <w:autoSpaceDN w:val="0"/>
      <w:adjustRightInd w:val="0"/>
    </w:pPr>
    <w:rPr>
      <w:rFonts w:ascii="Tahoma" w:hAnsi="Tahoma" w:cs="Tahoma"/>
      <w:sz w:val="16"/>
      <w:szCs w:val="16"/>
    </w:rPr>
  </w:style>
  <w:style w:type="paragraph" w:customStyle="1" w:styleId="ConsPlusJurTerm">
    <w:name w:val="ConsPlusJurTerm"/>
    <w:uiPriority w:val="99"/>
    <w:pPr>
      <w:widowControl w:val="0"/>
      <w:autoSpaceDE w:val="0"/>
      <w:autoSpaceDN w:val="0"/>
      <w:adjustRightInd w:val="0"/>
    </w:pPr>
    <w:rPr>
      <w:rFonts w:ascii="Tahoma" w:hAnsi="Tahoma" w:cs="Tahoma"/>
    </w:rPr>
  </w:style>
  <w:style w:type="paragraph" w:customStyle="1" w:styleId="ConsPlusTextList">
    <w:name w:val="ConsPlusTextList"/>
    <w:uiPriority w:val="99"/>
    <w:pPr>
      <w:widowControl w:val="0"/>
      <w:autoSpaceDE w:val="0"/>
      <w:autoSpaceDN w:val="0"/>
      <w:adjustRightInd w:val="0"/>
    </w:pPr>
    <w:rPr>
      <w:rFonts w:ascii="Arial" w:hAnsi="Arial" w:cs="Arial"/>
    </w:rPr>
  </w:style>
  <w:style w:type="paragraph" w:customStyle="1" w:styleId="ConsPlusTextList1">
    <w:name w:val="ConsPlusTextList1"/>
    <w:uiPriority w:val="99"/>
    <w:pPr>
      <w:widowControl w:val="0"/>
      <w:autoSpaceDE w:val="0"/>
      <w:autoSpaceDN w:val="0"/>
      <w:adjustRightInd w:val="0"/>
    </w:pPr>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7EAED26-31F8-4F15-AFBC-3FA7CAE751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12147</Words>
  <Characters>69243</Characters>
  <Application>Microsoft Office Word</Application>
  <DocSecurity>2</DocSecurity>
  <Lines>577</Lines>
  <Paragraphs>162</Paragraphs>
  <ScaleCrop>false</ScaleCrop>
  <HeadingPairs>
    <vt:vector size="2" baseType="variant">
      <vt:variant>
        <vt:lpstr>Название</vt:lpstr>
      </vt:variant>
      <vt:variant>
        <vt:i4>1</vt:i4>
      </vt:variant>
    </vt:vector>
  </HeadingPairs>
  <TitlesOfParts>
    <vt:vector size="1" baseType="lpstr">
      <vt:lpstr>Постановление Министерства по чрезвычайным ситуациям Республики Беларусь от 19.04.2019 N 33(ред. от 28.04.2021)"О мероприятиях технического (технологического, поверочного) характера"(вместе с "Инструкцией о порядке осуществления Департаментом по надзору з</vt:lpstr>
    </vt:vector>
  </TitlesOfParts>
  <Company>КонсультантПлюс Версия 4020.00.57</Company>
  <LinksUpToDate>false</LinksUpToDate>
  <CharactersWithSpaces>81228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Постановление Министерства по чрезвычайным ситуациям Республики Беларусь от 19.04.2019 N 33(ред. от 28.04.2021)"О мероприятиях технического (технологического, поверочного) характера"(вместе с "Инструкцией о порядке осуществления Департаментом по надзору з</dc:title>
  <dc:subject/>
  <dc:creator>Николай Гурский</dc:creator>
  <cp:keywords/>
  <dc:description/>
  <cp:lastModifiedBy>Temp</cp:lastModifiedBy>
  <cp:revision>2</cp:revision>
  <cp:lastPrinted>2023-12-13T18:20:00Z</cp:lastPrinted>
  <dcterms:created xsi:type="dcterms:W3CDTF">2025-10-15T11:06:00Z</dcterms:created>
  <dcterms:modified xsi:type="dcterms:W3CDTF">2025-10-15T11:06:00Z</dcterms:modified>
</cp:coreProperties>
</file>