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0DC" w:rsidRPr="003D40DC" w:rsidRDefault="003D40DC">
      <w:pPr>
        <w:pStyle w:val="ConsPlusNonformat"/>
        <w:jc w:val="both"/>
        <w:rPr>
          <w:rFonts w:ascii="Times New Roman" w:hAnsi="Times New Roman" w:cs="Times New Roman"/>
          <w:sz w:val="32"/>
          <w:szCs w:val="32"/>
        </w:rPr>
      </w:pPr>
      <w:bookmarkStart w:id="0" w:name="_GoBack"/>
      <w:bookmarkEnd w:id="0"/>
      <w:r w:rsidRPr="003D40DC">
        <w:rPr>
          <w:rFonts w:ascii="Times New Roman" w:hAnsi="Times New Roman" w:cs="Times New Roman"/>
          <w:sz w:val="32"/>
          <w:szCs w:val="32"/>
        </w:rPr>
        <w:t xml:space="preserve">                                                        УТВЕРЖДЕНО</w:t>
      </w:r>
    </w:p>
    <w:p w:rsidR="003D40DC" w:rsidRPr="003D40DC" w:rsidRDefault="003D40DC">
      <w:pPr>
        <w:pStyle w:val="ConsPlusNonformat"/>
        <w:jc w:val="both"/>
        <w:rPr>
          <w:rFonts w:ascii="Times New Roman" w:hAnsi="Times New Roman" w:cs="Times New Roman"/>
          <w:sz w:val="32"/>
          <w:szCs w:val="32"/>
        </w:rPr>
      </w:pPr>
      <w:r w:rsidRPr="003D40DC">
        <w:rPr>
          <w:rFonts w:ascii="Times New Roman" w:hAnsi="Times New Roman" w:cs="Times New Roman"/>
          <w:sz w:val="32"/>
          <w:szCs w:val="32"/>
        </w:rPr>
        <w:t xml:space="preserve">                                                        Постановление</w:t>
      </w:r>
    </w:p>
    <w:p w:rsidR="003D40DC" w:rsidRPr="003D40DC" w:rsidRDefault="003D40DC">
      <w:pPr>
        <w:pStyle w:val="ConsPlusNonformat"/>
        <w:jc w:val="both"/>
        <w:rPr>
          <w:rFonts w:ascii="Times New Roman" w:hAnsi="Times New Roman" w:cs="Times New Roman"/>
          <w:sz w:val="32"/>
          <w:szCs w:val="32"/>
        </w:rPr>
      </w:pPr>
      <w:r w:rsidRPr="003D40DC">
        <w:rPr>
          <w:rFonts w:ascii="Times New Roman" w:hAnsi="Times New Roman" w:cs="Times New Roman"/>
          <w:sz w:val="32"/>
          <w:szCs w:val="32"/>
        </w:rPr>
        <w:t xml:space="preserve">                                                        Совета Министров</w:t>
      </w:r>
    </w:p>
    <w:p w:rsidR="003D40DC" w:rsidRPr="003D40DC" w:rsidRDefault="003D40DC">
      <w:pPr>
        <w:pStyle w:val="ConsPlusNonformat"/>
        <w:jc w:val="both"/>
        <w:rPr>
          <w:rFonts w:ascii="Times New Roman" w:hAnsi="Times New Roman" w:cs="Times New Roman"/>
          <w:sz w:val="32"/>
          <w:szCs w:val="32"/>
        </w:rPr>
      </w:pPr>
      <w:r w:rsidRPr="003D40DC">
        <w:rPr>
          <w:rFonts w:ascii="Times New Roman" w:hAnsi="Times New Roman" w:cs="Times New Roman"/>
          <w:sz w:val="32"/>
          <w:szCs w:val="32"/>
        </w:rPr>
        <w:t xml:space="preserve">                                                        Республики Беларусь</w:t>
      </w:r>
    </w:p>
    <w:p w:rsidR="003D40DC" w:rsidRPr="003D40DC" w:rsidRDefault="003D40DC">
      <w:pPr>
        <w:pStyle w:val="ConsPlusNonformat"/>
        <w:jc w:val="both"/>
        <w:rPr>
          <w:rFonts w:ascii="Times New Roman" w:hAnsi="Times New Roman" w:cs="Times New Roman"/>
          <w:sz w:val="32"/>
          <w:szCs w:val="32"/>
        </w:rPr>
      </w:pPr>
      <w:r w:rsidRPr="003D40DC">
        <w:rPr>
          <w:rFonts w:ascii="Times New Roman" w:hAnsi="Times New Roman" w:cs="Times New Roman"/>
          <w:sz w:val="32"/>
          <w:szCs w:val="32"/>
        </w:rPr>
        <w:t xml:space="preserve">                                                        11.12.2019 N 847</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Title"/>
        <w:jc w:val="center"/>
        <w:rPr>
          <w:rFonts w:ascii="Times New Roman" w:hAnsi="Times New Roman" w:cs="Times New Roman"/>
          <w:sz w:val="32"/>
          <w:szCs w:val="32"/>
        </w:rPr>
      </w:pPr>
      <w:bookmarkStart w:id="1" w:name="Par31"/>
      <w:bookmarkEnd w:id="1"/>
      <w:r w:rsidRPr="003D40DC">
        <w:rPr>
          <w:rFonts w:ascii="Times New Roman" w:hAnsi="Times New Roman" w:cs="Times New Roman"/>
          <w:sz w:val="32"/>
          <w:szCs w:val="32"/>
        </w:rPr>
        <w:t>СПЕЦИФИЧЕСКИЕ САНИТАРНО-ЭПИДЕМИОЛОГИЧЕСКИЕ ТРЕБОВАНИЯ</w:t>
      </w:r>
    </w:p>
    <w:p w:rsidR="003D40DC" w:rsidRPr="003D40DC" w:rsidRDefault="003D40DC">
      <w:pPr>
        <w:pStyle w:val="ConsPlusTitle"/>
        <w:jc w:val="center"/>
        <w:rPr>
          <w:rFonts w:ascii="Times New Roman" w:hAnsi="Times New Roman" w:cs="Times New Roman"/>
          <w:sz w:val="32"/>
          <w:szCs w:val="32"/>
        </w:rPr>
      </w:pPr>
      <w:r w:rsidRPr="003D40DC">
        <w:rPr>
          <w:rFonts w:ascii="Times New Roman" w:hAnsi="Times New Roman" w:cs="Times New Roman"/>
          <w:sz w:val="32"/>
          <w:szCs w:val="32"/>
        </w:rPr>
        <w:t>К УСТАНОВЛЕНИЮ САНИТАРНО-ЗАЩИТНЫХ ЗОН ОБЪЕКТОВ, ЯВЛЯЮЩИХСЯ ОБЪЕКТАМИ ВОЗДЕЙСТВИЯ НА ЗДОРОВЬЕ ЧЕЛОВЕКА И ОКРУЖАЮЩУЮ СРЕДУ</w:t>
      </w:r>
    </w:p>
    <w:p w:rsidR="003D40DC" w:rsidRPr="003D40DC" w:rsidRDefault="003D40DC" w:rsidP="003D40DC">
      <w:pPr>
        <w:pStyle w:val="ConsPlusNormal"/>
        <w:jc w:val="center"/>
        <w:rPr>
          <w:rFonts w:ascii="Times New Roman" w:hAnsi="Times New Roman" w:cs="Times New Roman"/>
          <w:sz w:val="32"/>
          <w:szCs w:val="32"/>
        </w:rPr>
      </w:pPr>
      <w:r w:rsidRPr="003D40DC">
        <w:rPr>
          <w:rFonts w:ascii="Times New Roman" w:hAnsi="Times New Roman" w:cs="Times New Roman"/>
          <w:color w:val="392C69"/>
          <w:sz w:val="32"/>
          <w:szCs w:val="32"/>
        </w:rPr>
        <w:t>(в ред. постановления Совмина от 03.03.2020 N 130)</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1"/>
        <w:rPr>
          <w:rFonts w:ascii="Times New Roman" w:hAnsi="Times New Roman" w:cs="Times New Roman"/>
          <w:sz w:val="32"/>
          <w:szCs w:val="32"/>
        </w:rPr>
      </w:pPr>
      <w:r w:rsidRPr="003D40DC">
        <w:rPr>
          <w:rFonts w:ascii="Times New Roman" w:hAnsi="Times New Roman" w:cs="Times New Roman"/>
          <w:b/>
          <w:bCs/>
          <w:sz w:val="32"/>
          <w:szCs w:val="32"/>
        </w:rPr>
        <w:t>ГЛАВА 1</w:t>
      </w: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b/>
          <w:bCs/>
          <w:sz w:val="32"/>
          <w:szCs w:val="32"/>
        </w:rPr>
        <w:t>ОБЩИЕ ПОЛОЖЕНИЯ</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1. В настоящих специфических санитарно-эпидемиологических требованиях определяются требования к установлению санитарно-защитных зон эксплуатируемых, проектируемых, вновь возводимых зданий, сооружений и иных объектов, являющихся объектами воздействия на здоровье человека и окружающую среду (далее - объекты), за исключением требований, предусмотренных законодательными актами.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 Действие настоящих специфических санитарно-эпидемиологических требований не распространяется на объекты, являющиеся источниками ионизирующего излучения.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 Требования настоящих специфических санитарно-эпидемиологических требований обязательны для соблюдения юридическими лицами и индивидуальными предпринимателями.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 Государственный санитарный надзор за соблюдением настоящих специфических санитарно-эпидемиологических требований осуществляется в порядке, установленном законодательством.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  Ответственность за нарушение и (или) невыполнение настоящих специфических санитарно-эпидемиологических требований устанавливается в соответствии с законодательством.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6. Для целей настоящих специфических санитарно-эпидемиологических требований используются следующие термины и их определения: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базовый размер санитарно-защитной зоны (далее - базовый размер СЗЗ) - размер санитарно-защитной зоны, обеспечивающий достаточный уровень безопасности для здоровья населения от вредного химического, биологического, физического воздействия объектов;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граница санитарно-защитной зоны (далее - граница СЗЗ) - линия, ограничивающая территорию санитарно-защитной зоны, за пределами которой вредное химическое, биологическое, физическое воздействие объекта не превышает установленных гигиенических нормативов;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зона ограничения застройки - территория, где на высоте более 2 м от поверхности земли уровень электромагнитных полей превышает предельно допустимый уровень. Внешняя граница зоны ограничения застройки определяется по максимальной высоте зданий перспективной застройки, на высоте верхнего этажа которых уровень электромагнитных полей не превышает предельно допустимый уровень;</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расчетный размер санитарно-защитной зоны (далее - расчетный размер СЗЗ) - размер санитарно-защитной зоны, установленный на основании расчетов, обеспечивающий соблюдение установленных гигиенических нормативов и приемлемых уровней риска для жизни и здоровья населения на границе санитарно-защитной зоны и за ее пределами;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(далее - СЗЗ) - территория, размер которой обеспечивает достаточный уровень безопасности для здоровья населения от вредного химического, биологического, физического воздействия объектов, соблюдение установленных гигиенических нормативов и приемлемых уровней риска для жизни и здоровья населения на границе СЗЗ и за ее пределами;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санитарный разрыв - минимальное расстояние от объекта, которое обеспечивает снижение его химического, биологического, физического воздействия до значений установленных гигиенических нормативов и не подлежит сокращению.</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1"/>
        <w:rPr>
          <w:rFonts w:ascii="Times New Roman" w:hAnsi="Times New Roman" w:cs="Times New Roman"/>
          <w:sz w:val="32"/>
          <w:szCs w:val="32"/>
        </w:rPr>
      </w:pPr>
      <w:r w:rsidRPr="003D40DC">
        <w:rPr>
          <w:rFonts w:ascii="Times New Roman" w:hAnsi="Times New Roman" w:cs="Times New Roman"/>
          <w:b/>
          <w:bCs/>
          <w:sz w:val="32"/>
          <w:szCs w:val="32"/>
        </w:rPr>
        <w:lastRenderedPageBreak/>
        <w:t>ГЛАВА 2</w:t>
      </w: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b/>
          <w:bCs/>
          <w:sz w:val="32"/>
          <w:szCs w:val="32"/>
        </w:rPr>
        <w:t>ТРЕБОВАНИЯ К УСТАНОВЛЕНИЮ РАЗМЕРОВ СЗЗ</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7. Базовые размеры СЗЗ объектов устанавливаются согласно приложению 1.</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 Расчетные размеры СЗЗ устанавливаются для объектов, не указанных в приложении 1, и объектов, базовый размер СЗЗ которых изменяется.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 Установление расчетного размера СЗЗ объекта выполняется на основании проекта СЗЗ объекта с расчетами рассеивания выбросов загрязняющих веществ в атмосферном воздухе (с учетом фоновых концентраций загрязняющих веществ в атмосферном воздухе), уровней физического воздействия и оценки риска для жизни и здоровья населения.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 Для групп объектов, объединенных в территориальный промышленный комплекс (промышленный узел), может устанавливаться расчетный размер СЗЗ с учетом суммарных выбросов загрязняющих веществ в атмосферный воздух и физического воздействия объектов, входящих в территориальный промышленный комплекс (промышленный узел).</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 Базовый и расчетный размеры СЗЗ объектов устанавливаются от: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границы территории объекта, в случае если объем выбросов загрязняющих веществ в атмосферный воздух от неорганизованных стационарных источников выбросов загрязняющих веществ в атмосферный воздух объекта составляет более 30 процентов от суммы валового выброса;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организованных стационарных источников выбросов загрязняющих веществ в атмосферный воздух и источников физического воздействия.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 Граница СЗЗ объекта устанавливается до: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границ земельных участков усадебного типа застройки;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окон жилых домов при мало-, средне-, многоэтажной и повышенной этажности жилой застройке;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границ территорий учреждений образования, за исключением учреждений среднего специального и высшего образования, не имеющих в своем составе открытых спортивных сооружений, учреждений образования, реализующих образовательные программы повышения квалификации;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границ территорий санаторно-курортных и оздоровительных организаций, организаций здравоохранения, за исключением организаций здравоохранения, оказывающих медицинскую помощь в амбулаторных условиях и в условиях отделения дневного пребывания;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границ территорий открытых и полуоткрытых физкультурно-спортивных сооружений, объектов туризма и отдыха, за исключением гостиниц, мотелей, хостелов, кемпингов;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границ территории садоводческих товариществ и дачных кооперативов.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 Границы СЗЗ приводятся в проекте СЗЗ объекта в виде текстового описания трассировки границ по восьми румбам с указанием расстояний до расчетных точек от источников выбросов загрязняющих веществ в атмосферный воздух и (или) источников физического воздействия или от границ территории объекта (в зависимости от способа установления размера СЗЗ) и обозначаются на графических материалах, выполненных в масштабе на топографической основе.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 Размер СЗЗ объекта подтверждается результатами аналитического (лабораторного) контроля и измерений физических факторов в процессе эксплуатации объекта.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 Санитарные разрывы создаются: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15.1. от республиканских автомобильных дорог, железнодорожных путей, метрополитена, а также вдоль границ полос воздушных подходов к аэродромам, аэропортам; &lt;*&gt;</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&lt;*&gt; Размер санитарных разрывов определяется в каждом конкретном случае на основании расчетов рассеивания выбросов загрязняющих веществ в атмосферном воздухе и уровней физического воздействия.</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15.2. от воздушных линий электропередачи (далее - ВЛЭП) вдоль трассы ВЛЭП с горизонтальным расположением проводов и без средств снижения напряженности электрического и магнитного полей тока промышленной частоты 50 Гц по обе стороны от нее на расстоянии от проекции на землю крайних фазных проводов в направлении, перпендикулярном ВЛЭП:</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 м - для ВЛЭП с напряжением 330 кВ;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 м - для ВЛЭП с напряжением 500 кВ;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40 м - для ВЛЭП с напряжением 750 кВ;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55 м - для ВЛЭП с напряжением 1150 кВ;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15.3. от автомобильных стоянок и автомобильных парковок согласно приложению 2.</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От подземных автомобильных стоянок, расположенных под жилыми и общественными зданиями, а также от автомобильных стоянок закрытого типа санитарный разрыв не нормируется;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15.4. от предприятий по ремонту и (или) техническому обслуживанию легковых автомобилей до 10 единиц одновременно без выполнения малярных, сварочных, жестяных работ: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до жилых домов - не менее 15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до границ территорий учреждений образования, за исключением учреждений среднего специального и высшего образования, не имеющих в своем составе открытых спортивных сооружений, учреждений образования, реализующих образовательные программы повышения квалификации, санаторно-курортных и оздоровительных организаций, организаций здравоохранения, оказывающих медицинскую помощь в стационарных условиях, - 50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15.5. от границ территорий зверинцев, зоопарков, зоосадов до фасадов жилых зданий - 50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 В границах СЗЗ (санитарных разрывов), в том числе территории объекта, от которого устанавливается СЗЗ (санитарный разрыв), не допускается размещать:</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жилую застройку;</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места массового отдыха населения в составе озелененных территорий общего пользования в населенных пунктах, объекты туризма и отдыха (за исключением гостиниц, кемпингов, мемориальных комплексов), площадки (зоны) отдыха, детские площадки;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открытые и полуоткрытые физкультурно-спортивные сооружения;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территории садоводческих товариществ и дачных кооперативов;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учреждения образования, за исключением учреждений среднего специального и высшего образования, не имеющих в своем составе открытых спортивных сооружений, учреждений образования, реализующих образовательные программы повышения квалификации;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санаторно-курортные и оздоровительные организации, организации здравоохранения с круглосуточным пребыванием пациентов;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объекты по выращиванию сельскохозяйственных культур, используемых для питания населения.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 В границах санитарных разрывов ВЛЭП не допускается размещение жилых и общественных зданий и сооружений.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 Размеры СЗЗ и (или) зоны ограничения застройки для объектов, являющихся источниками физических воздействий на здоровье населения, определяются в соответствии с нормативами допустимых уровней и (или) предельно допустимых уровней физических факторов на основании расчетов с учетом места расположения источников и характера создаваемых ими шума, вибрации, электромагнитных излучений, инфразвука и других физических факторов.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Для установления размеров СЗЗ и (или) зоны ограничения застройки расчетные параметры подтверждаются результатами аналитического (лабораторного) контроля и измерения уровней физического воздействия.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 Установление размера СЗЗ и зоны ограничения застройки в местах размещения передающих радиотехнических объектов проводится в соответствии с действующими нормативами электромагнитного излучения радиочастотного диапазона и методиками расчета интенсивности электромагнитного излучения радиочастот.</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1"/>
        <w:rPr>
          <w:rFonts w:ascii="Times New Roman" w:hAnsi="Times New Roman" w:cs="Times New Roman"/>
          <w:sz w:val="32"/>
          <w:szCs w:val="32"/>
        </w:rPr>
      </w:pPr>
      <w:r w:rsidRPr="003D40DC">
        <w:rPr>
          <w:rFonts w:ascii="Times New Roman" w:hAnsi="Times New Roman" w:cs="Times New Roman"/>
          <w:b/>
          <w:bCs/>
          <w:sz w:val="32"/>
          <w:szCs w:val="32"/>
        </w:rPr>
        <w:t>ГЛАВА 3</w:t>
      </w: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b/>
          <w:bCs/>
          <w:sz w:val="32"/>
          <w:szCs w:val="32"/>
        </w:rPr>
        <w:t>ПОРЯДОК ИЗМЕНЕНИЯ УСТАНОВЛЕННЫХ РАЗМЕРОВ СЗЗ</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20. Для действующих и проектируемых объектов основанием для уменьшения размера СЗЗ является: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соблюдение установленных гигиенических нормативов (предельно допустимых концентраций, ориентировочно безопасных уровней воздействия загрязняющих веществ в атмосферном воздухе, нормативов допустимых уровней, предельно допустимых уровней физических факторов) на границе расчетного размера СЗЗ объекта и за его пределами, подтвержденное результатами аналитического (лабораторного) контроля и измерения физических факторов;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обеспечение приемлемого уровня риска для жизни и здоровья населения.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 Изменение установленных размеров СЗЗ объектов осуществляется путем получения положительного санитарно-гигиенического заключения на проект СЗЗ объекта на основании: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санитарно-эпидемиологических требований, установленных гигиенических нормативов;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прогнозируемых значений приземных концентраций загрязняющих веществ в атмосферном воздухе, определенных на основании расчета рассеивания выбросов загрязняющих веществ (с учетом фона), уровней физического воздействия на границе СЗЗ объекта и за ее пределами;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оценки риска для жизни и здоровья населения.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22. Расчетный размер СЗЗ объекта является установленным при: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наличии положительного санитарно-гигиенического заключения на проект СЗЗ объекта;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реализации всех мероприятий, предусмотренных проектом СЗЗ объекта (при их наличии);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 xml:space="preserve">наличии результатов аналитического (лабораторного) контроля загрязняющих веществ в атмосферном воздухе и измерений физических </w:t>
      </w:r>
      <w:r w:rsidRPr="003D40DC">
        <w:rPr>
          <w:rFonts w:ascii="Times New Roman" w:hAnsi="Times New Roman" w:cs="Times New Roman"/>
          <w:sz w:val="32"/>
          <w:szCs w:val="32"/>
        </w:rPr>
        <w:lastRenderedPageBreak/>
        <w:t>факторов, подтверждающих размеры СЗЗ объекта.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 Временное сокращение объема производства не является основанием для изменения установленного базового размера СЗЗ объекта для максимальной проектной или фактически достигнутой мощности.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 Размер СЗЗ объекта увеличивается по сравнению с базовым при невозможности обеспечения техническими и технологическими средствами на границе СЗЗ нормативных уровней по любому фактору воздействия, полученному расчетным путем и (или) по результатам аналитического (лабораторного) контроля, измерений физических факторов.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 При изменении размера СЗЗ объекта: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учет загрязняющих химических веществ в атмосферном воздухе, обладающих эффектом суммации, выполняется в случае, если все вещества, входящие в рассматриваемую группу суммации, присутствуют в выбросах объекта;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учет фоновых концентраций загрязняющих веществ в атмосферном воздухе не требуется, если значение приземной концентрации загрязняющего вещества, создаваемой выбросами рассматриваемого объекта на границе СЗЗ и за ней, меньше 0,1 доли максимальной разовой предельно допустимой концентрации.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26. При необходимости изменения размеров СЗЗ объекта, размещенного в пределах границ (черты) населенного пункта в производственной зоне, оценка риска здоровью населения не выполняется при условии, что граница базовой или расчетной СЗЗ объекта не выходит за границы производственной зоны.</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right"/>
        <w:outlineLvl w:val="1"/>
        <w:rPr>
          <w:rFonts w:ascii="Times New Roman" w:hAnsi="Times New Roman" w:cs="Times New Roman"/>
          <w:sz w:val="32"/>
          <w:szCs w:val="32"/>
        </w:rPr>
      </w:pPr>
      <w:r w:rsidRPr="003D40DC">
        <w:rPr>
          <w:rFonts w:ascii="Times New Roman" w:hAnsi="Times New Roman" w:cs="Times New Roman"/>
          <w:sz w:val="32"/>
          <w:szCs w:val="32"/>
        </w:rPr>
        <w:t>Приложение 1</w:t>
      </w:r>
    </w:p>
    <w:p w:rsidR="003D40DC" w:rsidRPr="003D40DC" w:rsidRDefault="003D40DC">
      <w:pPr>
        <w:pStyle w:val="ConsPlusNormal"/>
        <w:jc w:val="right"/>
        <w:rPr>
          <w:rFonts w:ascii="Times New Roman" w:hAnsi="Times New Roman" w:cs="Times New Roman"/>
          <w:sz w:val="32"/>
          <w:szCs w:val="32"/>
        </w:rPr>
      </w:pPr>
      <w:r w:rsidRPr="003D40DC">
        <w:rPr>
          <w:rFonts w:ascii="Times New Roman" w:hAnsi="Times New Roman" w:cs="Times New Roman"/>
          <w:sz w:val="32"/>
          <w:szCs w:val="32"/>
        </w:rPr>
        <w:t>к специфическим санитарно-эпидемиологическим</w:t>
      </w:r>
    </w:p>
    <w:p w:rsidR="003D40DC" w:rsidRPr="003D40DC" w:rsidRDefault="003D40DC">
      <w:pPr>
        <w:pStyle w:val="ConsPlusNormal"/>
        <w:jc w:val="right"/>
        <w:rPr>
          <w:rFonts w:ascii="Times New Roman" w:hAnsi="Times New Roman" w:cs="Times New Roman"/>
          <w:sz w:val="32"/>
          <w:szCs w:val="32"/>
        </w:rPr>
      </w:pPr>
      <w:r w:rsidRPr="003D40DC">
        <w:rPr>
          <w:rFonts w:ascii="Times New Roman" w:hAnsi="Times New Roman" w:cs="Times New Roman"/>
          <w:sz w:val="32"/>
          <w:szCs w:val="32"/>
        </w:rPr>
        <w:t>требованиям к установлению санитарно-защитных</w:t>
      </w:r>
    </w:p>
    <w:p w:rsidR="003D40DC" w:rsidRPr="003D40DC" w:rsidRDefault="003D40DC">
      <w:pPr>
        <w:pStyle w:val="ConsPlusNormal"/>
        <w:jc w:val="right"/>
        <w:rPr>
          <w:rFonts w:ascii="Times New Roman" w:hAnsi="Times New Roman" w:cs="Times New Roman"/>
          <w:sz w:val="32"/>
          <w:szCs w:val="32"/>
        </w:rPr>
      </w:pPr>
      <w:r w:rsidRPr="003D40DC">
        <w:rPr>
          <w:rFonts w:ascii="Times New Roman" w:hAnsi="Times New Roman" w:cs="Times New Roman"/>
          <w:sz w:val="32"/>
          <w:szCs w:val="32"/>
        </w:rPr>
        <w:t>зон объектов, являющихся объектами воздействия</w:t>
      </w:r>
    </w:p>
    <w:p w:rsidR="003D40DC" w:rsidRPr="003D40DC" w:rsidRDefault="003D40DC">
      <w:pPr>
        <w:pStyle w:val="ConsPlusNormal"/>
        <w:jc w:val="right"/>
        <w:rPr>
          <w:rFonts w:ascii="Times New Roman" w:hAnsi="Times New Roman" w:cs="Times New Roman"/>
          <w:sz w:val="32"/>
          <w:szCs w:val="32"/>
        </w:rPr>
      </w:pPr>
      <w:r w:rsidRPr="003D40DC">
        <w:rPr>
          <w:rFonts w:ascii="Times New Roman" w:hAnsi="Times New Roman" w:cs="Times New Roman"/>
          <w:sz w:val="32"/>
          <w:szCs w:val="32"/>
        </w:rPr>
        <w:lastRenderedPageBreak/>
        <w:t>на здоровье человека и окружающую среду</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Title"/>
        <w:jc w:val="center"/>
        <w:rPr>
          <w:rFonts w:ascii="Times New Roman" w:hAnsi="Times New Roman" w:cs="Times New Roman"/>
          <w:sz w:val="32"/>
          <w:szCs w:val="32"/>
        </w:rPr>
      </w:pPr>
      <w:bookmarkStart w:id="2" w:name="Par130"/>
      <w:bookmarkEnd w:id="2"/>
      <w:r w:rsidRPr="003D40DC">
        <w:rPr>
          <w:rFonts w:ascii="Times New Roman" w:hAnsi="Times New Roman" w:cs="Times New Roman"/>
          <w:sz w:val="32"/>
          <w:szCs w:val="32"/>
        </w:rPr>
        <w:t>БАЗОВЫЕ РАЗМЕРЫ</w:t>
      </w:r>
    </w:p>
    <w:p w:rsidR="003D40DC" w:rsidRPr="003D40DC" w:rsidRDefault="003D40DC">
      <w:pPr>
        <w:pStyle w:val="ConsPlusTitle"/>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САНИТАРНО-ЗАЩИТНЫХ ЗОН ОБЪЕКТОВ</w:t>
      </w:r>
    </w:p>
    <w:p w:rsidR="003D40DC" w:rsidRPr="003D40DC" w:rsidRDefault="003D40DC">
      <w:pPr>
        <w:pStyle w:val="ConsPlusNormal"/>
        <w:rPr>
          <w:rFonts w:ascii="Times New Roman" w:hAnsi="Times New Roman" w:cs="Times New Roman"/>
          <w:sz w:val="32"/>
          <w:szCs w:val="32"/>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3D40DC" w:rsidRPr="00583297">
        <w:trPr>
          <w:jc w:val="center"/>
        </w:trPr>
        <w:tc>
          <w:tcPr>
            <w:tcW w:w="10147" w:type="dxa"/>
            <w:tcBorders>
              <w:left w:val="single" w:sz="24" w:space="0" w:color="CED3F1"/>
              <w:right w:val="single" w:sz="24" w:space="0" w:color="F4F3F8"/>
            </w:tcBorders>
            <w:shd w:val="clear" w:color="auto" w:fill="F4F3F8"/>
          </w:tcPr>
          <w:p w:rsidR="003D40DC" w:rsidRPr="00583297" w:rsidRDefault="003D40DC">
            <w:pPr>
              <w:pStyle w:val="ConsPlusNormal"/>
              <w:jc w:val="center"/>
              <w:rPr>
                <w:rFonts w:ascii="Times New Roman" w:hAnsi="Times New Roman" w:cs="Times New Roman"/>
                <w:color w:val="392C69"/>
                <w:sz w:val="32"/>
                <w:szCs w:val="32"/>
              </w:rPr>
            </w:pPr>
            <w:r w:rsidRPr="00583297">
              <w:rPr>
                <w:rFonts w:ascii="Times New Roman" w:hAnsi="Times New Roman" w:cs="Times New Roman"/>
                <w:color w:val="392C69"/>
                <w:sz w:val="32"/>
                <w:szCs w:val="32"/>
              </w:rPr>
              <w:t>(в ред. постановления Совмина от 03.03.2020 N 130)</w:t>
            </w:r>
          </w:p>
        </w:tc>
      </w:tr>
    </w:tbl>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СЕЛЬСКОЕ ХОЗЯЙСТВО, ОХОТА И ЛЕСНОЕ ХОЗЯЙСТВО</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1. Свиноводческие комплексы мощностью более 12 тыс. голов в 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 Птицефабрики на более чем 1 млн. посадочного поголовья цыплят-бройлеров, молодняка кур, гусей, уток, индюков с периодом содержания до 170 дней.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 Птицефабрики на более чем 400 тыс. посадочного поголовья кур-несушек, петухов, гусей, уток, индюков с периодом содержания более 170 дней.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 Фермы (комплексы) крупного рогатого скота на более чем 3 тыс. голов и более чем 6 тыс. скотомест молодняка.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5. Свиноводческие комплексы мощностью до 12 тыс. голов в 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 Фермы (комплексы) крупного рогатого скота на более чем 1,2 тыс. до 3 тыс. голов и на более чем 3 тыс. до 6 тыс. скотомест молодняка.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 Птицефабрики на более чем 500 тыс. до 1 млн. посадочного поголовья цыплят-бройлеров, молодняка кур, гусей, уток, индюков с периодом содержания до 170 дней.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 Птицефабрики на более чем 100 тыс. до 400 тыс. посадочного поголовья кур-несушек, петухов, гусей, уток, индюков с периодом содержания более 170 дней.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 xml:space="preserve">9. Фермы звероводческие (норки, лисы, нутрии, соболи, хорьки, </w:t>
      </w:r>
      <w:r w:rsidRPr="003D40DC">
        <w:rPr>
          <w:rFonts w:ascii="Times New Roman" w:hAnsi="Times New Roman" w:cs="Times New Roman"/>
          <w:sz w:val="32"/>
          <w:szCs w:val="32"/>
        </w:rPr>
        <w:lastRenderedPageBreak/>
        <w:t>песцы).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 Открытые хранилища (накопители) навоза (кроме свиноводческих комплексов на более чем 54 тыс. голов в год) и помета.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 Склады для хранения минеральных удобрений и средств защиты растений свыше 500 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 Производства по обработке и протравливанию семян.</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 Склады сжиженного аммиака.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14. Открытые хранилища биологически обработанной жидкой фракции навоза.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 Фермы (комплексы) крупного рогатого скота на менее чем 1,2 тыс. голов и менее чем 3 тыс. скотомест молодняка, фермы коневодческие, овцеводческие на менее чем 3 тыс. голов, летние лагеря для содержания скота.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 Птицефабрики на менее чем 500 тыс. посадочного поголовья цыплят-бройлеров, молодняка кур, гусей, уток, индюков с периодом содержания до 170 дней.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 Птицефабрики на менее чем 100 тыс. посадочного поголовья кур-несушек, петухов, гусей, уток, индюков с периодом содержания более 170 дней.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 Бойни мелких животных и птиц, а также скотобойные объекты сменной мощностью до 10 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 Склады для хранения минеральных удобрений и средств защиты растений от 50 до 500 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 Площадки для карантинирования подстилочного навоза, компоста и твердой фракции навоза.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 Приюты временного содержания домашних и безнадзорных животных, пункты передержки животных более 100 голов.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lastRenderedPageBreak/>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22. Крестьянские (фермерские) хозяйства с содержанием животных и птиц (свинарники, коровники, конюшни, зверофермы, птичники, кролиководческие фермы) от 50 до 100 голов в сумме.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 Ветеринарные лечебницы с содержанием животных, виварии, кинологические центры, приюты временного содержания домашних и безнадзорных животных, пункты передержки животных до 100 голов.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 Теплицы и парники промышленного производства, предприятия по выращиванию шампиньонов и других грибов.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 Склады для хранения минеральных удобрений и средств защиты растений до 50 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26. Мелиоративные объекты с использованием животноводческих стоков.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27. Гаражи и парки по ремонту, технологическому обслуживанию и хранению автомобилей и сельскохозяйственной техники грузоподъемностью более 3,5 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28. Склады горюче-смазочных материалов.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29. Комплексы зерноочистительно-сушильные.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 Пункты для обработки и протравливания семян, функционирующие ограниченный период времени (до 30 сут), использующие препараты III и IV классов опасности.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31. Площадки вынужденного убоя скота.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32. Склады для хранения минеральных удобрений, средств защиты растений, содержащих вещества III и IV классов опасности, до 5 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33. Хранилища картофеля, зерна.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 xml:space="preserve">34. Крестьянские (фермерские) хозяйства с содержанием животных и птиц (свинарники, коровники, конюшни, зверофермы, птичники, </w:t>
      </w:r>
      <w:r w:rsidRPr="003D40DC">
        <w:rPr>
          <w:rFonts w:ascii="Times New Roman" w:hAnsi="Times New Roman" w:cs="Times New Roman"/>
          <w:sz w:val="32"/>
          <w:szCs w:val="32"/>
        </w:rPr>
        <w:lastRenderedPageBreak/>
        <w:t>кролиководческие фермы) до 50 голов в сумме.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 Инкубатории птицеводческих предприятий.</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ГОРНОДОБЫВАЮЩАЯ ПРОМЫШЛЕННОСТЬ</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36. Предприятия по добыче нефти при выбросе сероводорода от 0,5 до 1 т/сут с высоким содержанием летучих углеводородов.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 Предприятия по добыче горных пород VIII - XI категорий открытой разработкой.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38. Горно-обогатительные комбинаты.</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39. Предприятия по добыче нефти при выбросе сероводорода до 0,5 т/сут с высоким содержанием летучих углеводородов.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40. Шахтные терриконы без мероприятий по подавлению самовозгорания.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41. Предприятия по добыче гипса.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 Предприятия по добыче горных пород открытой разработкой, в том числе карьеры нерудных стройматериалов.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43. Предприятия по добыче нефти при выбросе сероводорода до 0,5 т/сут с малым содержанием летучих углеводородов.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44. Предприятия по добыче торфа, каменного, бурого и других углей, по добыче доломитов открытой разработкой.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45. Предприятия по производству брикета из торфа и угля.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46. Предприятия по добыче каменной поваренной соли.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47. Предприятия по добыче торфа фрезерным способом.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48. Предприятия, в том числе карьеры, по добыче мрамора, песка, супеси, гравия, щебня, суглинка, глины открытой разработкой.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49. Предприятия по добыче карбоната калия открытой разработкой.</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ОБРАБАТЫВАЮЩАЯ ПРОМЫШЛЕННОСТЬ. ПРОИЗВОДСТВО ХИМИЧЕСКИХ ПРОДУКТОВ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50. Производство связанного азота (аммиак, азотная кислота, азотно-туковые и другие удобрения).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51. Предприятия по производству аммиака, азотосодержащих соединений (мочевина, тиомочевина, гидразин и его производные и другие), азотно-туковых, фосфатных, концентрированных минеральных удобрений, азотной кислоты и другого.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52. Производство продуктов и полупродуктов анилинокрасочной промышленности бензольного и эфирного ряда (анилин, нитробензол, нитроанилин, алкилбензол, нитрохлорбензол, фенол, ацетон, хлорбензол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53. Производство полупродуктов нафтолового и антраценового рядов (бетанафтол, аш-кислота, фенилперикислота, перикислота, антрахинон, фталиевый ангидрид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54. Производство целлюлозы и полуцеллюлозы по кислому сульфитному и бисульфитному или моносульфитному способам на основе сжигания серы или других серосодержащих материалов, а также производство целлюлозы по сульфатному способу (сульфат-целлюлоза).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55. Производство хлора электролитическим путем, полупродуктов и продуктов на основе хлора.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56. Производство искусственных и синтетических волокон (вискозное, капроновое, лавсан, нитрон, целлофан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57. Производство диметилтерефталата.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58. Производство капролактама.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59. Производство сероуглерода.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60. Производство продуктов и полупродуктов для синтетических полимерных материалов.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61. Производство мышьяка и его соединений.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62. Производства по переработке нефти, попутного нефтяного и природного газа.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63. Производство пикриновой кислоты.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64. Производство фтора, фтористого водорода, полупродуктов и продуктов на их основе (органических, неорганических).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65. Производство сажи.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66. Производство суперфосфатных удобрений.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67. Производство карбида кальция, ацетилена из карбида кальция и производных на основе ацетилена.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68. Производство искусственного и синтетического каучука.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69. Производство синильной кислоты, органических полупродуктов и продуктов на ее основе (ацетонциангидрин, этиленциангидрин, эфиры метакриловой и акриловой кислот, диизоцианаты и другие), производство цианистых солей (калия, натрия, меди и других), цианплава, дицианамида, цианамида кальция.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70. Производство ацетилена из углеводородных газов и продуктов на его основе.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71. Производство синтетических химико-фармацевтических и лекарственных препаратов.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72. Производство синтетических жирных кислот, высших жирных спиртов прямым окислением кислородом.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73. Производство меркаптанов, централизованные установки одорирования газа меркаптанами, склады одоранта.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74. Производство хрома, хромового ангидрида и солей на их основе.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75. Производство сложных эфиров.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76. Производство фенолформальдегидных, полиэфирных, эпоксидных и других искусственных смол.</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77. Производство метионина.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78. Производство карбонилов металлов.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79. Производство битума и других продуктов из остатков перегона каменноугольного дегтя, нефти, хвои (гудрон, полугудрон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80. Производство бериллия.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81. Производство синтетических спиртов (бутилового, пропилового, изопропилового, амилового).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82. Производство кормовых аминокислот (кормовой лизин, премиксы).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83. Производство пестицидов.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84. Производство боеприпасов, взрывчатых веществ.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85. Производство алифатических аминов (моно-, ди-, триметиламины, диэтил-, триэтиламины и другие) и продуктов на их основе (симазин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86. Производство магнезита, доломита и шамота с обжигом в шахтных, вращающихся и других печах.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87. Производство асбеста и изделий из него.</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88. Производство брома, полупродуктов и продуктов на его основе (органических, неорганических).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89. Производство газов (светильный, водяной, генераторный, нефтяной).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 xml:space="preserve">90. Производство органических растворителей и масел (бензол, </w:t>
      </w:r>
      <w:r w:rsidRPr="003D40DC">
        <w:rPr>
          <w:rFonts w:ascii="Times New Roman" w:hAnsi="Times New Roman" w:cs="Times New Roman"/>
          <w:sz w:val="32"/>
          <w:szCs w:val="32"/>
        </w:rPr>
        <w:lastRenderedPageBreak/>
        <w:t>толуол, ксилол, нафтол, крезол, антрацен, фенантрен, акридин, карбозол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91. Предприятия по химической переработке торфа.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92. Производство серной кислоты, олеума, сернистого газа.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93. Производство соляной кислоты.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94. Производство синтетического этилового спирта по сернокислотному способу или способу прямой гидратации.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95. Производство фосгена и продуктов на его основе (парофоры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96. Производство аминопеларгоновой, аминоэнантовой, аминоундекановой, тиодивалериановой, изофталевой кислот.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97. Производство нитрита натрия, тионилхлорида, углеаммонийных солей, аммония углекислого.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98. Производство диметилформамида.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99. Производство этиловой жидкости.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100. Производство катализаторов.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101. Производство сернистых органических красителей.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102. Производство калийных солей.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103. Производство искусственной кожи с применением летучих органических растворителей.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104. Производство кубовых красителей всех классов азотолов и азоаминов.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105. Производство окиси этилена, окиси пропилена, полиэтилена, полипропилена.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106. Производство 3,3-ди(хлорметил)оксоциклобутана, поликарбоната, сополимеров этилена с пропиленом, полимеров высших полиолефинов на базе нефтяных попутных газов.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107. Производство пластификаторов.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108. Производство пластмасс на основе хлорвинила.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109. Пункты очистки, промывки и пропарки цистерн (при перевозке нефти и нефтепродуктов).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110. Производство товаров бытовой химии при наличии производства исходных продуктов.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111. Производство бора и его соединений.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112. Производство парафина.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113. Производство дегтя, жидких и летучих погонов из древесины, метилового спирта, уксусной кислоты, скипидара, терпетинных масел, ацетона, креозота.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114. Производство уксусной кислоты.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115. Производство ацетилцеллюлозы с сырьевыми производствами уксусной кислоты и уксусного ангидрида.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116. Гидролизное производство на основе переработки растительного сырья пентозановыми соединениями.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117. Производство изоактилового спирта, масляного альдегида, масляной кислоты, пенопласта, винилтолуола, поливинилтолуола, формальдегида, полиформальдегида, метилпирролидона, поливинилпирролидона, пентаэритрита, уротропина, регенерация органических кислот (уксусной, масляной и других).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118. Производство капроновой и лавсановой ткани.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119. Производство цемента (портланд-, шлакопортланд-, глинит-, романцемент, пуццолановый, гипсошлаковый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120. Производство асфальтобетона на стационарных заводах.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121. Производство гипса (алебастра).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122. Производство извести (известковые заводы с шахтными и вращающимися печами).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123. Производство кальцинированной соды по аммиачному способу.</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124. Производство аммиачной, калиевой, натриевой, кальциевой селитры.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125. Производство химических реактивов.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126. Производство пластических масс из эфиров целлюлозы.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127. Производство корунда.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128. Производство бария и его соединений.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129. Производство ультрамарина.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130. Производство кормовых дрожжей и фурфурола из древесины и сельскохозяйственных отходов методом гидролиза.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131. Производство никотина.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132. Производство синтетической камфары изомеризационным способом.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133. Производство меламина и циануровой кислоты.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134. Производство поликарбонатов.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135. Производство минеральных солей, за исключением солей мышьяка, фосфора, хрома, свинца и ртути.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136. Производство пластмасс (карболита).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137. Производство фенолформальдегидных пресс-материалов, прессованных и намоточных изделий из бумаги, тканей на основе фенолформальдегидных смол.</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138. Производство искусственных минеральных красок.</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139. Производства по регенерации резины и каучука.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140. Производства по изготовлению шин, резинотехнических изделий, эбонита, клееной обуви, а также резиновых смесей для них.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141. Производства табачно-махорочные (табачно-ферментационные, табачные и сигаретно-махорочные фабрики).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142. Производство угольных изделий для электропромышленности (щетки, электроугли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143. Производства по вулканизации резины.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144. Производства и базисные склады аммиачной воды.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145. Производство ацетальдегида парофазным способом (без применения металлической ртути).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146. Производство полистирола и сополимеров стирола.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147. Производство кремнийорганических лаков, жидкостей и смол.</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148. Газораспределительные станции магистральных газопроводов с одоризационными установками от меркаптана.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149. Производство себациновой кислоты.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150. Производство винилацетата и продуктов на его основе (полвинилацетат, поливинилацетатная эмульсия, поливиниловый спирт, винифлекс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151. Производство лаков (масляный, спиртовой, типографский, изолирующий, для резиновой промышленности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152. Производство сжатых и сжиженных продуктов разделения.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153. Производство технического саломаса (с получением водорода неэлектролитическим способом).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154. Производство искусственной кожи на основе поливинилхлоридных и других смол без применения летучих органических растворителей.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155. Производство эпихлоргидрина.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156. Производство сжатого азота, кислорода.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157. Производства по переработке нефтепродуктов на установках с паровым испарением и мощностью не более 0,5 т/ч по перерабатываемому сырью.</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158. Производство синтетических смол производительностью до 400 тыс. т/год в натуральном исчислении.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159. Производство формалина на окисном катализаторе мощностью до 200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160. Производство художественного литья и хрусталя.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161. Производство стеклянной ваты и шлаковой шерсти.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162. Производство щебенки, гравия и песка, обогащение кварцевого песка.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163. Производство толя, рубероида и рулонных кровельных материалов.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164. Производство ферритов.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165. Производство строительных полимерных материалов.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166. Пересыпка сыпучих строительных грузов крановым способом.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167. Производство железобетонных и бетонных изделий с термообработкой.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168. Производство искусственных заполнителей (керамзит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169. Производство искусственных камней.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170. Производство строительных материалов из отходов теплоэлектростанций.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171. Производство фарфоровых и фаянсовых изделий.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172. Камнелитейные производства.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173. Предприятия по обработке естественных камней.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174. Предприятия по добыче камня невзрывным способом.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175. Производство фибролита, камышита, соломита, дифферента и другого.</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176. Производство тукосмесей.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177. Производства по переработке фторопластов.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178. Производство бумаги из готовой целлюлозы и тряпья.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179. Производство глицерина.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180. Производство галалита и иных белковых пластиков (аминопласты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181. Производство эмалей на конденсационных смолах.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182. Производство мыла и моющих средств, чистящих и полирующих средств.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183. Солеваренные и солеразмольные производства.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184. Производство фармацевтических солей калия (калий хлористый, сернокислый, поташ).</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185. Производство минеральных естественных красок (мел, охра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186. Производство парфюмерно-косметической продукции.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187. Производство дубильного экстракта.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188. Производство ванилина и сахарина.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189. Производство полиграфических красок.</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190. Производства фотохимические (фотобумага, фотопластинки, фото- и кинопленка).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191. Производство олифы.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192. Производство стекловолокна.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193. Производство медицинского стекла (без применения ртути).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194. Производства по переработке пластмасс (литье, экструзия, прессование, вакуумное формование).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195. Производство полиуретанов.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196. Производство кирпича (красного, силикатного), черепицы, огнеупорных изделий.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197. Производство глиняных (керамических) изделий.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198. Производство гипсовых изделий, мела.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199. Стеклодувное, зеркальное производство, шлифовка и травка стекол.</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200. Механическая обработка мрамора.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201. Производство стекла.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202. Производство строительных материалов и бетонных изделий холодным способом.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203. Производство товаров бытовой химии из готовых исходных продуктов и склады их хранения.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204. Производство готовых лекарственных форм (без изготовления составляющих).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205. Производство изделий из пластмасс, синтетических смол, резиновых технических изделий (механическая переработка).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206. Производство углекислоты и сухого льда.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207. Производство искусственного жемчуга.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208. Производство спичек.</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МЕТАЛЛУРГИЧЕСКОЕ ПРОИЗВОДСТВО. ПРОИЗВОДСТВО ГОТОВЫХ МЕТАЛЛИЧЕСКИХ ИЗДЕЛИЙ, МАШИН И ОБОРУДОВАНИЯ</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209. Производство фасонного цветного литья под давлением мощностью более 10 тыс. т/год (более 9,5 тыс. т/год из алюминиевых сплавов и более 500 т/год из цинковых сплавов).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210. Производства по вторичной переработке цветных металлов (медь, свинец, цинк и другие) мощностью более 3 тыс. т/год.</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lastRenderedPageBreak/>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211. Производства по выплавке чугуна при общем объеме доменных печей от 500 до 1500 куб.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212. Производства черной металлургии с полным металлургическим циклом мощностью до 1 млн. т/год чугуна и стали.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213. Производство стали мартеновским, электроплавильным и конвертерным способами с цехами по переработке отходов (размол томасшлака и другое) при выпуске основной продукции мощностью до 1 млн.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214. Производство магния (всеми способами, кроме хлоридного).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215. Производство чугунного и стального фасонного литья суммарной мощностью более 50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216. Производства по выжигу кокса.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217. Производство свинцовых аккумуляторов.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218. Производство воздушных судов, их техническое обслуживание.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219. Предприятия автомобильной промышленности.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220. Производство стальных конструкций при наличии литейных цехов мощностью более 100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221. Производство вагонов при наличии литейных и покрасочных цехов.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222. Производство фасонного цветного литья под давлением мощностью до 10 тыс. т/год (менее 9,5 тыс. т/год из алюминиевых сплавов и менее 500 т/год из цинковых сплавов).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223. Производства по вторичной переработке цветных металлов (медь, свинец, цинк и другие) мощностью от 1 до 3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224. Производство цветных металлов мощностью от 100 т/год до 2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225. Производства по размолу томасшлака.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226. Производство сурьмы пирометаллургическим и электролитическим способами.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227. Производство чугунного и стального фасонного литья суммарной мощностью от 20 до 50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228. Производство цинка, меди, никеля, кобальта способом электролиза водных растворов.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229. Производство металлических электродов (с использованием марганца).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230. Производство люминофоров.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231. Метизное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232. Производство санитарно-технических изделий.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233. Производство оборудования мясо-молочной промышленности.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234. Производство шахтной автоматики.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235. Шрифтолитейные заводы (при возможных выбросах свинца).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236. Производство твердых сплавов и тугоплавких металлов при отсутствии цехов химической обработки руд.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237. Производства по выплавке чугуна при общем объеме доменных печей менее 500 куб.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238. Производства по вторичной переработке алюминия до 30 тыс. т/год с использованием барабанных печей для плавки алюминия и роторных печей для плавки алюминиевой стружки и алюминиевых шлаков.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239. Предприятия металлообрабатывающей промышленности с чугунным, стальным (суммарной мощностью более 10 тыс. т/год) и цветным (мощностью более 100 т/год) литьем без литейных цехов.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240. Производства по переработке ртутьсодержащих отходов.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241. Производства по переработке отходов металлургического производства.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242. Производства по вторичной переработке цветных металлов (медь, свинец, цинк и другие) мощностью до 1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243. Производства по обогащению металлов без горячей обработки.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244. Производство кабеля освинцованного или с резиновой изоляцией.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245. Производство чугунного и стального фасонного литья суммарной мощностью от 10 до 20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246. Производство тяжелых прессов.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247. Производство машин и приборов электротехнической промышленности (динамо-машины, конденсаторы, трансформаторы, прожекторы и другие) при наличии небольших литейных и иных горячих цехов.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248. Производство приборов для электротехнической промышленности (электролампы, фонари и другие) и электротехнических изделий (микросхемы, чипы и другие) при отсутствии литейных цехов и без применения ртути.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249. Производство щелочных аккумуляторов.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250. Предприятия по ремонту дорожных машин и автомобилей, кузовов.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251. Предприятия по ремонту подвижного состава железнодорожного транспорта и метрополитена.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252. Производство координатно-расточных станков.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253. Предприятия металлообрабатывающей промышленности с чугунным и стальным (суммарной мощностью до 10 тыс. т/год), цветным (мощностью до 100 т/год) литьем без литейных цехов.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254. Производство металлических электродов.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255. Шрифтолитейные заводы (без выбросов свинца).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256. Полиграфические комбинаты.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257. Фабрики офсетной печати.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258. Типографии, применяющие свинец.</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259. Машиностроительные предприятия с металлообработкой, окраской, без литья.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260. Судостроительные, судоремонтные предприятия.</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261. Производство котлов.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262. Производство пневмоавтоматики.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263. Типографии, не применяющие свинец (использование офсетного, компьютерного набора).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264. Производство ювелирных изделий.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265. Предприятия металлообрабатывающей промышленности без окраски и литья.</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ОБРАБОТКА ДРЕВЕСИНЫ И ПРОИЗВОДСТВО ИЗДЕЛИЙ ИЗ ДЕРЕВА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266. Лесохимические комплексы (производства по химической переработке дерева и получению древесного угля).</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267. Производство древесного угля (углетомильные печи).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268. Предприятия по консервированию древесины пропиткой.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269. Предприятия по производству шпал и их пропитке.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270. Производство изделий из древесной шерсти (древесностружечные плиты, древесноволокнистые плиты) с использованием в качестве связующих синтетических смол.</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271. Деревообрабатывающее производство с пилорамой при наличии техпроцессов с применением формальдегида.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272. Производство хвойно-витаминной муки, хлорофилло-каротиновой пасты, хвойного экстракта.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273. Производства лесопильные, фанерные, деталей деревянных стандартных зданий с лакировкой и окраской, по изготовлению срубов из дерева.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274. Судостроительные верфи для изготовления деревянных судов (катеров, лодок).</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275. Производство древесной шерсти.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276. Сборка мебели с лакировкой и окраской.</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277. Обозное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278. Производство бондарных изделий из готовой клепки.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279. Рогожно-ткацкое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280. Предприятия по консервированию древесины солевыми и водными растворами (без солей мышьяка) с суперобмазкой.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281. Ремонт (реставрация) и сборка мебели из готовых изделий без лакировки и окраски.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282. Производства столярно-плотничные, мебельные, паркетные, ящичные без лакировки и окраски.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283. Деревообрабатывающее производство без пилорамы (с использованием обрезных деревообрабатывающих станков).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ТЕКСТИЛЬНОЕ И ШВЕЙНОЕ ПРОИЗВОДСТВО. ПРОИЗВОДСТВО КОЖИ И ИЗДЕЛИЙ ИЗ КОЖИ. ПРОИЗВОДСТВО ОБУВИ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284. Производства по первичной обработке растительного волокна (хлопок, лен, конопля, кендырь).</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285. Производство искусственной кожи и пленочных материалов, клеенки, пласткожи с применением летучих растворителей.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286. Производства по химической пропитке и обработке тканей сероуглеродом.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287. Производство по непрерывной пропитке тканей и бумаги масляными, масляно-асфальтовыми, бакелитовыми и другими лаками.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288. Производства по пропитке и обработке тканей (дерматин, гранитоль и другие) химическими веществами, за исключением сероуглерода.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289. Производство поливинилхлоридных односторонне армированных пленок, пленок из совмещенных полимеров, резин для низа обуви, регенерата с применением растворителей.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290. Прядильно-ткацкое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291. Производство обуви с капроновым и другим литьем.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292. Производства отбельные и красильно-аппретурные.</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293. Производство пряжи и тканей из шерсти, хлопка, льна, а также в смеси с синтетическими и искусственными волокнами при наличии красильных и отбельных цехов.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294. Производство галантерейно-кожевенного картона с отделкой полимерами с применением органических растворителей.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295. Пункты по приемке хлопка-сырца.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296. Производства по крашению меха.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297. Чулочное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298. Производство спортивных изделий (инвентаря).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299. Ситценабивное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300. Производство фурнитуры.</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301. Швейное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302. Производство обуви без литья.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303. Котонинное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304. Производства коконоразварочные и шелкоразмоточные.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305. Производства пенько-джутокрутильные, канатные, шпагатные, веревочные и по обработке концов.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306. Производство искусственного каракуля.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307. Производство пряжи и тканей из шерсти, хлопка, льна при отсутствии красильных и отбельных цехов.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308. Трикотажные и кружевные производства.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309. Шелкоткацкое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310. Производство ковров.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311. Производство обувных картонов на кожевенном и кожевенно-целлюлозном волокне без применения растворителей.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312. Шпульно-катушечное производство.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313. Производство обоев.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lastRenderedPageBreak/>
        <w:t>ОБРАБОТКА ЖИВОТНЫХ ПРОДУКТОВ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314. Производства клееварочные, по изготовлению клея из остатков кожи, полевой и свалочной кости и других животных отходов.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315. Производство технического желатина из полевой загнившей кости, мездры, остатков кожи и других животных отходов и отбросов с хранением их на складе.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316. Промышленные объекты по переработке павших животных, рыбы, их частей и других животных отходов и отбросов (превращение в жиры, корм для животных, удобрения и другое).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317. Костеобжигательные и костемольные производства.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318. Салотопенное производство (производство технического сала).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319. Центральные склады по сбору вторичного сырья.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320. Производства по обработке сырых меховых шкур животных и крашению (овчинно-шубные, овчинно-дубильные, меховые), производство замши, сафьяна.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321. Производства по обработке сырых кож животных (кожевенно-сыромятные, кожевенно-дубильные (производство подошвенного материала, полувала, выростки, опойки) с переработкой отходов.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322. Производство скелетов и наглядных пособий из трупов животных.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323. Производство кормов для животных из пищевых отходов.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324. Объекты по мойке шерсти.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325. Склады временного хранения мокросоленых и необработанных кож.</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326. Производства по обработке волоса, щетины, пуха, пера, рогов и копыт.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327. Валяльные, войлочные производства.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328. Производство лакированных кож.</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329. Кишечно-струнные и кетгутовые производства.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330. Производство изделий из выделанной кожи.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331. Производство щеток из щетины и волоса.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ПРОИЗВОДСТВО ПИЩЕВЫХ ПРОДУКТОВ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332. Мясокомбинаты и мясохладобойни сменной мощностью 50 т и выше.</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333. Производства по вытапливанию жира из морских животных.</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334. Производство рыбьего жира.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335. Кишечно-моечные производства.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336. Станции и пункты очистки и промывки вагонов после перевозки скота (дезопромывочные станции и пункты).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337. Мясокомбинаты и мясохладобойни сменной мощностью от 10 до 50 т.</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338. Производство пива с солодовнями, кваса и безалкогольных напитков, кроме производства на основе концентратов и эссенций.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339. Мельницы мощностью более 2 т/ч.</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340. Производства по варке товарного солода и приготовлению пищевых дрожжей.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341. Производства по розливу природных минеральных вод с выделением пахучих веществ.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342. Рыбокомбинаты, рыбоконсервные и рыбофилейные предприятия с цехами для вторичного сырья.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343. Мясоперерабатывающие и птицеперерабатывающие производства, производство мясных консервов и консервов из птицы сменной мощностью от 5 до 10 т/сут.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344. Мясо-рыбокоптильные производства с холодным и горячим копчением.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345. Свеклосахарные производства.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346. Элеваторы.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347. Кофеобжарочные производства.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348. Производство олеомаргарина и маргарина.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349. Производство пищевого спирта.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350. Кукурузно-крахмальные, кукурузно-паточные производства.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351. Производство крахмала.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352. Производства по переработке молока и изготовлению молочных продуктов сменной мощностью переработки молока более 10 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353. Мельницы мощностью от 0,5 до 2 т/ч, крупорушки, зернообдирочные предприятия и комбикормовые заводы.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354. Хлебозаводы, хлебопекарные и кондитерские производства мощностью более 2,5 т/сут.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355. Промышленные установки для низкотемпературного хранения пищевых продуктов (холодильники) вместимостью 600 т и более.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356. Производства по переработке мяса, птицы и выработке полуфабрикатов и копченостей сменной мощностью от 2,5 до 5 т/сут, производство мясных консервов и консервов из птицы сменной мощностью от 2,5 до 5 т/сут.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357. Производства по переработке рыбы, включая копчение, сменной мощностью до 5 т/сут.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358. Производство декстрина, глюкозы и патоки.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359. Маслобойные производства (производство растительного масла).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360. Чаеразвесочные предприятия.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361. Производство коньячного спирта.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362. Ликеро-водочные заводы.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363. Производство первичного вина.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364. Производство столового уксуса.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365. Производство макарон.</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366. Производство колбасных изделий без копчения.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367. Производства по переработке мяса, птицы и выработке полуфабрикатов и копченостей сменной мощностью от 0,5 до 2,5 т/сут.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368. Производства по переработке рыбы без копчения сменной мощностью до 10 т/сут.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369. Производства по переработке молока и изготовлению молочных продуктов сменной мощностью переработки молока до 10 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 xml:space="preserve">370. Производство хлеба и хлебобулочных изделий мощностью от 0,5 </w:t>
      </w:r>
      <w:r w:rsidRPr="003D40DC">
        <w:rPr>
          <w:rFonts w:ascii="Times New Roman" w:hAnsi="Times New Roman" w:cs="Times New Roman"/>
          <w:sz w:val="32"/>
          <w:szCs w:val="32"/>
        </w:rPr>
        <w:lastRenderedPageBreak/>
        <w:t>до 2,5 т/сут, кондитерских изделий - от 0,5 до 2,5 т/сут.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371. Мельницы и крупорушки мощностью до 0,5 т/ч.</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372. Промышленные установки для низкотемпературного хранения пищевых продуктов (холодильники) вместимостью до 600 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373. Производство фруктовых, ягодных, овощных соков и консервов.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374. Сахарорафинадные производства.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375. Производства по переработке и хранению фруктов и овощей (сушка, засолка, маринование и квашение).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376. Производства по доготовке и розливу вин.</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377. Производство пива, кваса и безалкогольных напитков на основе концентратов и эссенций, питьевой бутилированной воды.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378. Производство майонезов.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379. Производства меланжевые.</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МИКРОБИОЛОГИЧЕСКАЯ ПРОМЫШЛЕННОСТЬ</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380. Производство белково-витаминных концентратов из углеводородов (парафинов нефти, этанола, метанола, природного газа).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381. Производства, использующие в технологии микроорганизмы III и IV групп риска.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382. Производство кормового бацитрацина.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383. Производство кормовых аминокислот методом микробиологического синтеза.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384. Производство антибиотиков.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 xml:space="preserve">385. Производство ферментов различного назначения с </w:t>
      </w:r>
      <w:r w:rsidRPr="003D40DC">
        <w:rPr>
          <w:rFonts w:ascii="Times New Roman" w:hAnsi="Times New Roman" w:cs="Times New Roman"/>
          <w:sz w:val="32"/>
          <w:szCs w:val="32"/>
        </w:rPr>
        <w:lastRenderedPageBreak/>
        <w:t>поверхностным способом культивирования.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386. Производство пектинов из растительного сырья.</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387. Производство биопрепаратов (трихограммы и другие) для защиты сельскохозяйственных растений.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388. Производство средств защиты растений методом микробиологического синтеза.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389. Объекты микробиологического профиля.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390. Производство вакцин и сывороток.</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391. Производство ферментов различного назначения с глубинным способом культивирования.</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ПРОИЗВОДСТВО И РАСПРЕДЕЛЕНИЕ ЭЛЕКТРОЭНЕРГИИ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392. Тепловые электрические станции (далее - ТЭС), эквивалентные электрической мощности 600 МВт и выше, использующие в качестве топлива уголь и мазут, должны иметь СЗЗ не менее 1000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393. ТЭС, эквивалентные электрической мощности 600 МВт и выше, работающие на газовом и газомазутном топливе, должны иметь СЗЗ не менее 500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394. Тепловые электроцентрали и районные котельные тепловой мощностью 200 Гкал/ч и выше, работающие на угольном, мазутном и газомазутном топливе, должны иметь СЗЗ не менее 300 м, на газовом топливе - не менее 100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 xml:space="preserve">395. Для котельных, работающих на твердом, жидком и газообразном топливе, расчетный размер СЗЗ определяется на основании проекта СЗЗ с расчетами рассеивания выбросов загрязняющих веществ в приземном слое атмосферного воздуха и по вертикали с учетом высоты жилых зданий в зоне максимального загрязнения атмосферного воздуха (10 - 40 </w:t>
      </w:r>
      <w:r w:rsidRPr="003D40DC">
        <w:rPr>
          <w:rFonts w:ascii="Times New Roman" w:hAnsi="Times New Roman" w:cs="Times New Roman"/>
          <w:sz w:val="32"/>
          <w:szCs w:val="32"/>
        </w:rPr>
        <w:lastRenderedPageBreak/>
        <w:t>высот дымовой трубы), уровней физического воздействия.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396. Для котельных общей тепловой мощностью до 200 кВт размер расчетной СЗЗ определяется на основании расчетов рассеивания выбросов загрязняющих веществ в атмосферном воздухе (с учетом фона), уровней физического воздействия. Разработка проекта СЗЗ для котельных общей тепловой мощностью до 200 кВт не требуется.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397. Минимальная СЗЗ от золоотвала ТЭС должна быть не менее 300 м с посадкой деревьев и кустарников по периметру.</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398. При наличии на расстоянии 50 м и меньше от котельной жилых домов устье дымовой трубы должно располагаться не менее чем на 1,5 м выше конька кровли самого высокого жилого дома.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399. Минимальный размер СЗЗ от резервуаров и сливных эстакад для нефтепродуктов, используемых в качестве топлива для котельных, устанавливается в соответствии с законодательством.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ТРАНСПОРТНАЯ ДЕЯТЕЛЬНОСТЬ, СТРОИТЕЛЬСТВО И СВЯЗЬ. ПРЕДОСТАВЛЕНИЕ КОММУНАЛЬНЫХ, СОЦИАЛЬНЫХ И ПЕРСОНАЛЬНЫХ УСЛУГ. ТОРГОВЛЯ, РЕМОНТ АВТОМОБИЛЕЙ</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400. Предприятия по утилизации трупов животных и продуктов животного происхождения.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401. Полигоны опасных отходов производства, не подлежащих вторичной переработке.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402. Крематории при количестве печей более одной.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403. Мусоросжигательные и мусороперерабатывающие предприятия мощностью свыше 40 тыс. т/год.</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404. Скотомогильники для захоронения трупов животных в земляных ямах (траншеях), биотермических ямах (ямах Беккари).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405. Мусоросжигательные и мусороперерабатывающие предприятия мощностью менее 40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406. Полигоны твердых коммунальных отходов и полигоны неопасных отходов производства.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407. Участки компостирования твердых коммунальных отходов.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408. Крематории без подготовительных и обрядовых процессов с одной однокамерной печью.</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409. Оптовые рынки.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410. Станции сортировки коммунальных отходов и пункты досортировки (вторичных материальных ресурсов, отходов бытовой техники, отходов упаковки и другого).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411. Участки для парниковых и тепличных хозяйств с использованием отходов.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412. Мини-полигоны, участки с компостированием отходов без навоза и фекалий.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413. Предприятия по ремонту и (или) техническому обслуживанию грузовых автомобилей более 10 единиц одновременно.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414. Домостроительный комбинат.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415. Элеваторы цементов и других пылящих строительных материалов.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416. Битумные установки.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417. Механизированные транспортные парки по очистке города без ремонтной базы.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418. Автомобильные стоянки, парковки для хранения грузового автотранспорта, грузовые терминалы.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419. Автозаправочные станции для заправки грузового и легкового автотранспорта жидким и газовым топливом производительностью более 500 автомобилей в сутки.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420. Мойки грузовых автомобилей портального типа (размещаются в границах производственных и коммунально-складских зон, на магистралях на въезде в город, на территории автотранспортных предприятий), легковых автомобилей с количеством постов 10 и более.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421. Химчистки мощностью более 20 кг/ч.</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422. Открытые и полуоткрытые физкультурно-спортивные сооружения со стационарными трибунами вместимостью более 3000 зрителей.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423. Автобусные и троллейбусные парки, трамвайное депо.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424. Мусороперегрузочные станции.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425. Предприятия по ремонту и (или) техническому обслуживанию грузовых автомобилей до 10 единиц одновременно.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426. Предприятия по ремонту и (или) техническому обслуживанию легковых автомобилей более 10 единиц одновременно с выполнением малярных, сварочных, жестяных работ.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427. Таксомоторный парк.</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428. Сортировочно-прессовальные станции твердых коммунальных отходов.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429. Таможенные терминалы.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430. Логистические центры.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431. Автодромы.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432. Бетонно-растворный узел.</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433. Мойка легковых автомобилей с количеством постов до 10. &lt;*&gt;</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 xml:space="preserve">434. Банно-прачечные комбинаты, бани общественные, за </w:t>
      </w:r>
      <w:r w:rsidRPr="003D40DC">
        <w:rPr>
          <w:rFonts w:ascii="Times New Roman" w:hAnsi="Times New Roman" w:cs="Times New Roman"/>
          <w:sz w:val="32"/>
          <w:szCs w:val="32"/>
        </w:rPr>
        <w:lastRenderedPageBreak/>
        <w:t>исключением работающих на электрических тэнах, прачечные.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435. Мини-химчистки мощностью не более 20 кг/ч.</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436. Пожарное депо. &lt;*&gt;</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437. Автобусные вокзалы. &lt;*&gt;</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438. Многофункциональные комплексы и отдельно стоящие гипермаркеты (супермаркеты) торговой площадью от 5 тыс. кв. м, рынки продовольственных и промышленных товаров.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439. Станции скорой медицинской помощи. &lt;*&gt;</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440. Разворотно-отстойные площадки общественного транспорта. &lt;*&gt;</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&lt;*&gt; СЗЗ не устанавливается при размещении в производственной, коммунально-складской и коммунально-обслуживающей зонах.</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441. Предприятия по ремонту и (или) техническому обслуживанию легковых автомобилей до 10 единиц одновременно с выполнением малярных, сварочных, жестяных работ.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442. Автозаправочные станции для заправки грузового и легкового автотранспорта жидким и газовым топливом производительностью до 500 автомобилей в сутки включительно.</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outlineLvl w:val="2"/>
        <w:rPr>
          <w:rFonts w:ascii="Times New Roman" w:hAnsi="Times New Roman" w:cs="Times New Roman"/>
          <w:sz w:val="32"/>
          <w:szCs w:val="32"/>
        </w:rPr>
      </w:pPr>
      <w:r w:rsidRPr="003D40DC">
        <w:rPr>
          <w:rFonts w:ascii="Times New Roman" w:hAnsi="Times New Roman" w:cs="Times New Roman"/>
          <w:b/>
          <w:bCs/>
          <w:sz w:val="32"/>
          <w:szCs w:val="32"/>
        </w:rPr>
        <w:t>КАНАЛИЗАЦИОННЫЕ ОЧИСТНЫЕ СООРУЖЕНИЯ</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443. Базовые размеры СЗЗ для канализационных очистных сооружений устанавливаются в таблице.</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right"/>
        <w:rPr>
          <w:rFonts w:ascii="Times New Roman" w:hAnsi="Times New Roman" w:cs="Times New Roman"/>
          <w:sz w:val="32"/>
          <w:szCs w:val="32"/>
        </w:rPr>
      </w:pPr>
      <w:r w:rsidRPr="003D40DC">
        <w:rPr>
          <w:rFonts w:ascii="Times New Roman" w:hAnsi="Times New Roman" w:cs="Times New Roman"/>
          <w:sz w:val="32"/>
          <w:szCs w:val="32"/>
        </w:rPr>
        <w:t>Таблица</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Базовые размеры СЗЗ для канализационных очистных сооружений хозяйственно-бытовых и производственных сточных вод</w:t>
      </w:r>
    </w:p>
    <w:p w:rsidR="003D40DC" w:rsidRDefault="003D40DC">
      <w:pPr>
        <w:pStyle w:val="ConsPlusNormal"/>
      </w:pPr>
    </w:p>
    <w:p w:rsidR="003D40DC" w:rsidRDefault="003D40DC">
      <w:pPr>
        <w:pStyle w:val="ConsPlusNormal"/>
        <w:sectPr w:rsidR="003D40DC">
          <w:pgSz w:w="11906" w:h="16838"/>
          <w:pgMar w:top="1440" w:right="566" w:bottom="1440" w:left="1133" w:header="720" w:footer="72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205"/>
        <w:gridCol w:w="1305"/>
        <w:gridCol w:w="1740"/>
        <w:gridCol w:w="1575"/>
        <w:gridCol w:w="1740"/>
      </w:tblGrid>
      <w:tr w:rsidR="003D40DC" w:rsidRPr="00583297">
        <w:tc>
          <w:tcPr>
            <w:tcW w:w="5205" w:type="dxa"/>
            <w:vMerge w:val="restart"/>
            <w:tcBorders>
              <w:top w:val="single" w:sz="4" w:space="0" w:color="auto"/>
              <w:bottom w:val="single" w:sz="4" w:space="0" w:color="auto"/>
              <w:right w:val="single" w:sz="4" w:space="0" w:color="auto"/>
            </w:tcBorders>
            <w:vAlign w:val="center"/>
          </w:tcPr>
          <w:p w:rsidR="003D40DC" w:rsidRPr="00583297" w:rsidRDefault="003D40DC">
            <w:pPr>
              <w:pStyle w:val="ConsPlusNormal"/>
              <w:jc w:val="center"/>
            </w:pPr>
            <w:r w:rsidRPr="00583297">
              <w:lastRenderedPageBreak/>
              <w:t>Сооружения для очистки сточных вод</w:t>
            </w:r>
          </w:p>
        </w:tc>
        <w:tc>
          <w:tcPr>
            <w:tcW w:w="6360" w:type="dxa"/>
            <w:gridSpan w:val="4"/>
            <w:tcBorders>
              <w:top w:val="single" w:sz="4" w:space="0" w:color="auto"/>
              <w:left w:val="single" w:sz="4" w:space="0" w:color="auto"/>
              <w:bottom w:val="single" w:sz="4" w:space="0" w:color="auto"/>
            </w:tcBorders>
            <w:vAlign w:val="center"/>
          </w:tcPr>
          <w:p w:rsidR="003D40DC" w:rsidRPr="00583297" w:rsidRDefault="003D40DC">
            <w:pPr>
              <w:pStyle w:val="ConsPlusNormal"/>
              <w:jc w:val="center"/>
            </w:pPr>
            <w:r w:rsidRPr="00583297">
              <w:t>Расстояние в метрах при расчетной производительности очистных сооружений</w:t>
            </w:r>
          </w:p>
        </w:tc>
      </w:tr>
      <w:tr w:rsidR="003D40DC" w:rsidRPr="00583297">
        <w:tc>
          <w:tcPr>
            <w:tcW w:w="5205" w:type="dxa"/>
            <w:vMerge/>
            <w:tcBorders>
              <w:top w:val="single" w:sz="4" w:space="0" w:color="auto"/>
              <w:bottom w:val="single" w:sz="4" w:space="0" w:color="auto"/>
              <w:right w:val="single" w:sz="4" w:space="0" w:color="auto"/>
            </w:tcBorders>
          </w:tcPr>
          <w:p w:rsidR="003D40DC" w:rsidRPr="00583297" w:rsidRDefault="003D40DC">
            <w:pPr>
              <w:pStyle w:val="ConsPlusNormal"/>
            </w:pPr>
          </w:p>
        </w:tc>
        <w:tc>
          <w:tcPr>
            <w:tcW w:w="1305" w:type="dxa"/>
            <w:tcBorders>
              <w:top w:val="single" w:sz="4" w:space="0" w:color="auto"/>
              <w:left w:val="single" w:sz="4" w:space="0" w:color="auto"/>
              <w:bottom w:val="single" w:sz="4" w:space="0" w:color="auto"/>
              <w:right w:val="single" w:sz="4" w:space="0" w:color="auto"/>
            </w:tcBorders>
            <w:vAlign w:val="center"/>
          </w:tcPr>
          <w:p w:rsidR="003D40DC" w:rsidRPr="00583297" w:rsidRDefault="003D40DC">
            <w:pPr>
              <w:pStyle w:val="ConsPlusNormal"/>
              <w:jc w:val="center"/>
            </w:pPr>
            <w:r w:rsidRPr="00583297">
              <w:t>до 0,2 тыс. куб. м/сут</w:t>
            </w:r>
          </w:p>
        </w:tc>
        <w:tc>
          <w:tcPr>
            <w:tcW w:w="1740" w:type="dxa"/>
            <w:tcBorders>
              <w:top w:val="single" w:sz="4" w:space="0" w:color="auto"/>
              <w:left w:val="single" w:sz="4" w:space="0" w:color="auto"/>
              <w:bottom w:val="single" w:sz="4" w:space="0" w:color="auto"/>
              <w:right w:val="single" w:sz="4" w:space="0" w:color="auto"/>
            </w:tcBorders>
            <w:vAlign w:val="center"/>
          </w:tcPr>
          <w:p w:rsidR="003D40DC" w:rsidRPr="00583297" w:rsidRDefault="003D40DC">
            <w:pPr>
              <w:pStyle w:val="ConsPlusNormal"/>
              <w:jc w:val="center"/>
            </w:pPr>
            <w:r w:rsidRPr="00583297">
              <w:t>от 0,2 до 5 тыс. куб. м/сут</w:t>
            </w:r>
          </w:p>
        </w:tc>
        <w:tc>
          <w:tcPr>
            <w:tcW w:w="1575" w:type="dxa"/>
            <w:tcBorders>
              <w:top w:val="single" w:sz="4" w:space="0" w:color="auto"/>
              <w:left w:val="single" w:sz="4" w:space="0" w:color="auto"/>
              <w:bottom w:val="single" w:sz="4" w:space="0" w:color="auto"/>
              <w:right w:val="single" w:sz="4" w:space="0" w:color="auto"/>
            </w:tcBorders>
            <w:vAlign w:val="center"/>
          </w:tcPr>
          <w:p w:rsidR="003D40DC" w:rsidRPr="00583297" w:rsidRDefault="003D40DC">
            <w:pPr>
              <w:pStyle w:val="ConsPlusNormal"/>
              <w:jc w:val="center"/>
            </w:pPr>
            <w:r w:rsidRPr="00583297">
              <w:t>от 5 до 50 тыс. куб. м/сут</w:t>
            </w:r>
          </w:p>
        </w:tc>
        <w:tc>
          <w:tcPr>
            <w:tcW w:w="1740" w:type="dxa"/>
            <w:tcBorders>
              <w:top w:val="single" w:sz="4" w:space="0" w:color="auto"/>
              <w:left w:val="single" w:sz="4" w:space="0" w:color="auto"/>
              <w:bottom w:val="single" w:sz="4" w:space="0" w:color="auto"/>
            </w:tcBorders>
            <w:vAlign w:val="center"/>
          </w:tcPr>
          <w:p w:rsidR="003D40DC" w:rsidRPr="00583297" w:rsidRDefault="003D40DC">
            <w:pPr>
              <w:pStyle w:val="ConsPlusNormal"/>
              <w:jc w:val="center"/>
            </w:pPr>
            <w:r w:rsidRPr="00583297">
              <w:t>от 50 до 280 тыс. куб. м/сут</w:t>
            </w:r>
          </w:p>
        </w:tc>
      </w:tr>
      <w:tr w:rsidR="003D40DC" w:rsidRPr="00583297">
        <w:tc>
          <w:tcPr>
            <w:tcW w:w="5205" w:type="dxa"/>
            <w:tcBorders>
              <w:top w:val="single" w:sz="4" w:space="0" w:color="auto"/>
            </w:tcBorders>
          </w:tcPr>
          <w:p w:rsidR="003D40DC" w:rsidRPr="00583297" w:rsidRDefault="003D40DC">
            <w:pPr>
              <w:pStyle w:val="ConsPlusNormal"/>
            </w:pPr>
            <w:r w:rsidRPr="00583297">
              <w:t>1. Насосные станции и аварийно-регулирующие резервуары, локальные очистные сооружения компактного типа с полной биологической очисткой с аэробной стабилизацией ила</w:t>
            </w:r>
          </w:p>
        </w:tc>
        <w:tc>
          <w:tcPr>
            <w:tcW w:w="1305" w:type="dxa"/>
            <w:tcBorders>
              <w:top w:val="single" w:sz="4" w:space="0" w:color="auto"/>
            </w:tcBorders>
            <w:vAlign w:val="bottom"/>
          </w:tcPr>
          <w:p w:rsidR="003D40DC" w:rsidRPr="00583297" w:rsidRDefault="003D40DC">
            <w:pPr>
              <w:pStyle w:val="ConsPlusNormal"/>
              <w:jc w:val="center"/>
            </w:pPr>
            <w:r w:rsidRPr="00583297">
              <w:t>15</w:t>
            </w:r>
          </w:p>
        </w:tc>
        <w:tc>
          <w:tcPr>
            <w:tcW w:w="1740" w:type="dxa"/>
            <w:tcBorders>
              <w:top w:val="single" w:sz="4" w:space="0" w:color="auto"/>
            </w:tcBorders>
            <w:vAlign w:val="bottom"/>
          </w:tcPr>
          <w:p w:rsidR="003D40DC" w:rsidRPr="00583297" w:rsidRDefault="003D40DC">
            <w:pPr>
              <w:pStyle w:val="ConsPlusNormal"/>
              <w:jc w:val="center"/>
            </w:pPr>
            <w:r w:rsidRPr="00583297">
              <w:t>20</w:t>
            </w:r>
          </w:p>
        </w:tc>
        <w:tc>
          <w:tcPr>
            <w:tcW w:w="1575" w:type="dxa"/>
            <w:tcBorders>
              <w:top w:val="single" w:sz="4" w:space="0" w:color="auto"/>
            </w:tcBorders>
            <w:vAlign w:val="bottom"/>
          </w:tcPr>
          <w:p w:rsidR="003D40DC" w:rsidRPr="00583297" w:rsidRDefault="003D40DC">
            <w:pPr>
              <w:pStyle w:val="ConsPlusNormal"/>
              <w:jc w:val="center"/>
            </w:pPr>
            <w:r w:rsidRPr="00583297">
              <w:t>20</w:t>
            </w:r>
          </w:p>
        </w:tc>
        <w:tc>
          <w:tcPr>
            <w:tcW w:w="1740" w:type="dxa"/>
            <w:tcBorders>
              <w:top w:val="single" w:sz="4" w:space="0" w:color="auto"/>
            </w:tcBorders>
            <w:vAlign w:val="bottom"/>
          </w:tcPr>
          <w:p w:rsidR="003D40DC" w:rsidRPr="00583297" w:rsidRDefault="003D40DC">
            <w:pPr>
              <w:pStyle w:val="ConsPlusNormal"/>
              <w:jc w:val="center"/>
            </w:pPr>
            <w:r w:rsidRPr="00583297">
              <w:t>30</w:t>
            </w:r>
          </w:p>
        </w:tc>
      </w:tr>
      <w:tr w:rsidR="003D40DC" w:rsidRPr="00583297">
        <w:tc>
          <w:tcPr>
            <w:tcW w:w="5205" w:type="dxa"/>
          </w:tcPr>
          <w:p w:rsidR="003D40DC" w:rsidRPr="00583297" w:rsidRDefault="003D40DC">
            <w:pPr>
              <w:pStyle w:val="ConsPlusNormal"/>
            </w:pPr>
            <w:r w:rsidRPr="00583297">
              <w:t>2. Сооружения для механической и биологической очистки с иловыми площадками для сброженных осадков, а также иловые площадки</w:t>
            </w:r>
          </w:p>
        </w:tc>
        <w:tc>
          <w:tcPr>
            <w:tcW w:w="1305" w:type="dxa"/>
            <w:vAlign w:val="bottom"/>
          </w:tcPr>
          <w:p w:rsidR="003D40DC" w:rsidRPr="00583297" w:rsidRDefault="003D40DC">
            <w:pPr>
              <w:pStyle w:val="ConsPlusNormal"/>
              <w:jc w:val="center"/>
            </w:pPr>
            <w:r w:rsidRPr="00583297">
              <w:t>150</w:t>
            </w:r>
          </w:p>
        </w:tc>
        <w:tc>
          <w:tcPr>
            <w:tcW w:w="1740" w:type="dxa"/>
            <w:vAlign w:val="bottom"/>
          </w:tcPr>
          <w:p w:rsidR="003D40DC" w:rsidRPr="00583297" w:rsidRDefault="003D40DC">
            <w:pPr>
              <w:pStyle w:val="ConsPlusNormal"/>
              <w:jc w:val="center"/>
            </w:pPr>
            <w:r w:rsidRPr="00583297">
              <w:t>200</w:t>
            </w:r>
          </w:p>
        </w:tc>
        <w:tc>
          <w:tcPr>
            <w:tcW w:w="1575" w:type="dxa"/>
            <w:vAlign w:val="bottom"/>
          </w:tcPr>
          <w:p w:rsidR="003D40DC" w:rsidRPr="00583297" w:rsidRDefault="003D40DC">
            <w:pPr>
              <w:pStyle w:val="ConsPlusNormal"/>
              <w:jc w:val="center"/>
            </w:pPr>
            <w:r w:rsidRPr="00583297">
              <w:t>400</w:t>
            </w:r>
          </w:p>
        </w:tc>
        <w:tc>
          <w:tcPr>
            <w:tcW w:w="1740" w:type="dxa"/>
            <w:vAlign w:val="bottom"/>
          </w:tcPr>
          <w:p w:rsidR="003D40DC" w:rsidRPr="00583297" w:rsidRDefault="003D40DC">
            <w:pPr>
              <w:pStyle w:val="ConsPlusNormal"/>
              <w:jc w:val="center"/>
            </w:pPr>
            <w:r w:rsidRPr="00583297">
              <w:t>500</w:t>
            </w:r>
          </w:p>
        </w:tc>
      </w:tr>
      <w:tr w:rsidR="003D40DC" w:rsidRPr="00583297">
        <w:tc>
          <w:tcPr>
            <w:tcW w:w="5205" w:type="dxa"/>
          </w:tcPr>
          <w:p w:rsidR="003D40DC" w:rsidRPr="00583297" w:rsidRDefault="003D40DC">
            <w:pPr>
              <w:pStyle w:val="ConsPlusNormal"/>
            </w:pPr>
            <w:r w:rsidRPr="00583297">
              <w:t>3. Сооружения для механической и биологической очистки с термомеханической обработкой осадка в закрытых помещениях</w:t>
            </w:r>
          </w:p>
        </w:tc>
        <w:tc>
          <w:tcPr>
            <w:tcW w:w="1305" w:type="dxa"/>
            <w:vAlign w:val="bottom"/>
          </w:tcPr>
          <w:p w:rsidR="003D40DC" w:rsidRPr="00583297" w:rsidRDefault="003D40DC">
            <w:pPr>
              <w:pStyle w:val="ConsPlusNormal"/>
              <w:jc w:val="center"/>
            </w:pPr>
            <w:r w:rsidRPr="00583297">
              <w:t>100</w:t>
            </w:r>
          </w:p>
        </w:tc>
        <w:tc>
          <w:tcPr>
            <w:tcW w:w="1740" w:type="dxa"/>
            <w:vAlign w:val="bottom"/>
          </w:tcPr>
          <w:p w:rsidR="003D40DC" w:rsidRPr="00583297" w:rsidRDefault="003D40DC">
            <w:pPr>
              <w:pStyle w:val="ConsPlusNormal"/>
              <w:jc w:val="center"/>
            </w:pPr>
            <w:r w:rsidRPr="00583297">
              <w:t>150</w:t>
            </w:r>
          </w:p>
        </w:tc>
        <w:tc>
          <w:tcPr>
            <w:tcW w:w="1575" w:type="dxa"/>
            <w:vAlign w:val="bottom"/>
          </w:tcPr>
          <w:p w:rsidR="003D40DC" w:rsidRPr="00583297" w:rsidRDefault="003D40DC">
            <w:pPr>
              <w:pStyle w:val="ConsPlusNormal"/>
              <w:jc w:val="center"/>
            </w:pPr>
            <w:r w:rsidRPr="00583297">
              <w:t>300</w:t>
            </w:r>
          </w:p>
        </w:tc>
        <w:tc>
          <w:tcPr>
            <w:tcW w:w="1740" w:type="dxa"/>
            <w:vAlign w:val="bottom"/>
          </w:tcPr>
          <w:p w:rsidR="003D40DC" w:rsidRPr="00583297" w:rsidRDefault="003D40DC">
            <w:pPr>
              <w:pStyle w:val="ConsPlusNormal"/>
              <w:jc w:val="center"/>
            </w:pPr>
            <w:r w:rsidRPr="00583297">
              <w:t>400</w:t>
            </w:r>
          </w:p>
        </w:tc>
      </w:tr>
      <w:tr w:rsidR="003D40DC" w:rsidRPr="00583297">
        <w:tc>
          <w:tcPr>
            <w:tcW w:w="5205" w:type="dxa"/>
          </w:tcPr>
          <w:p w:rsidR="003D40DC" w:rsidRPr="00583297" w:rsidRDefault="003D40DC">
            <w:pPr>
              <w:pStyle w:val="ConsPlusNormal"/>
            </w:pPr>
            <w:r w:rsidRPr="00583297">
              <w:t>4. Поля:</w:t>
            </w:r>
          </w:p>
        </w:tc>
        <w:tc>
          <w:tcPr>
            <w:tcW w:w="1305" w:type="dxa"/>
            <w:vAlign w:val="bottom"/>
          </w:tcPr>
          <w:p w:rsidR="003D40DC" w:rsidRPr="00583297" w:rsidRDefault="003D40DC">
            <w:pPr>
              <w:pStyle w:val="ConsPlusNormal"/>
            </w:pPr>
          </w:p>
        </w:tc>
        <w:tc>
          <w:tcPr>
            <w:tcW w:w="1740" w:type="dxa"/>
            <w:vAlign w:val="bottom"/>
          </w:tcPr>
          <w:p w:rsidR="003D40DC" w:rsidRPr="00583297" w:rsidRDefault="003D40DC">
            <w:pPr>
              <w:pStyle w:val="ConsPlusNormal"/>
            </w:pPr>
          </w:p>
        </w:tc>
        <w:tc>
          <w:tcPr>
            <w:tcW w:w="1575" w:type="dxa"/>
            <w:vAlign w:val="bottom"/>
          </w:tcPr>
          <w:p w:rsidR="003D40DC" w:rsidRPr="00583297" w:rsidRDefault="003D40DC">
            <w:pPr>
              <w:pStyle w:val="ConsPlusNormal"/>
            </w:pPr>
          </w:p>
        </w:tc>
        <w:tc>
          <w:tcPr>
            <w:tcW w:w="1740" w:type="dxa"/>
            <w:vAlign w:val="bottom"/>
          </w:tcPr>
          <w:p w:rsidR="003D40DC" w:rsidRPr="00583297" w:rsidRDefault="003D40DC">
            <w:pPr>
              <w:pStyle w:val="ConsPlusNormal"/>
            </w:pPr>
          </w:p>
        </w:tc>
      </w:tr>
      <w:tr w:rsidR="003D40DC" w:rsidRPr="00583297">
        <w:tc>
          <w:tcPr>
            <w:tcW w:w="5205" w:type="dxa"/>
          </w:tcPr>
          <w:p w:rsidR="003D40DC" w:rsidRPr="00583297" w:rsidRDefault="003D40DC">
            <w:pPr>
              <w:pStyle w:val="ConsPlusNormal"/>
              <w:ind w:left="450"/>
            </w:pPr>
            <w:r w:rsidRPr="00583297">
              <w:t>фильтрации</w:t>
            </w:r>
          </w:p>
        </w:tc>
        <w:tc>
          <w:tcPr>
            <w:tcW w:w="1305" w:type="dxa"/>
            <w:vAlign w:val="bottom"/>
          </w:tcPr>
          <w:p w:rsidR="003D40DC" w:rsidRPr="00583297" w:rsidRDefault="003D40DC">
            <w:pPr>
              <w:pStyle w:val="ConsPlusNormal"/>
              <w:jc w:val="center"/>
            </w:pPr>
            <w:r w:rsidRPr="00583297">
              <w:t>200</w:t>
            </w:r>
          </w:p>
        </w:tc>
        <w:tc>
          <w:tcPr>
            <w:tcW w:w="1740" w:type="dxa"/>
            <w:vAlign w:val="bottom"/>
          </w:tcPr>
          <w:p w:rsidR="003D40DC" w:rsidRPr="00583297" w:rsidRDefault="003D40DC">
            <w:pPr>
              <w:pStyle w:val="ConsPlusNormal"/>
              <w:jc w:val="center"/>
            </w:pPr>
            <w:r w:rsidRPr="00583297">
              <w:t>300</w:t>
            </w:r>
          </w:p>
        </w:tc>
        <w:tc>
          <w:tcPr>
            <w:tcW w:w="1575" w:type="dxa"/>
            <w:vAlign w:val="bottom"/>
          </w:tcPr>
          <w:p w:rsidR="003D40DC" w:rsidRPr="00583297" w:rsidRDefault="003D40DC">
            <w:pPr>
              <w:pStyle w:val="ConsPlusNormal"/>
              <w:jc w:val="center"/>
            </w:pPr>
            <w:r w:rsidRPr="00583297">
              <w:t>500</w:t>
            </w:r>
          </w:p>
        </w:tc>
        <w:tc>
          <w:tcPr>
            <w:tcW w:w="1740" w:type="dxa"/>
            <w:vAlign w:val="bottom"/>
          </w:tcPr>
          <w:p w:rsidR="003D40DC" w:rsidRPr="00583297" w:rsidRDefault="003D40DC">
            <w:pPr>
              <w:pStyle w:val="ConsPlusNormal"/>
              <w:jc w:val="center"/>
            </w:pPr>
            <w:r w:rsidRPr="00583297">
              <w:t>1000</w:t>
            </w:r>
          </w:p>
        </w:tc>
      </w:tr>
      <w:tr w:rsidR="003D40DC" w:rsidRPr="00583297">
        <w:tc>
          <w:tcPr>
            <w:tcW w:w="5205" w:type="dxa"/>
          </w:tcPr>
          <w:p w:rsidR="003D40DC" w:rsidRPr="00583297" w:rsidRDefault="003D40DC">
            <w:pPr>
              <w:pStyle w:val="ConsPlusNormal"/>
              <w:ind w:left="450"/>
            </w:pPr>
            <w:r w:rsidRPr="00583297">
              <w:t>орошения</w:t>
            </w:r>
          </w:p>
        </w:tc>
        <w:tc>
          <w:tcPr>
            <w:tcW w:w="1305" w:type="dxa"/>
            <w:vAlign w:val="bottom"/>
          </w:tcPr>
          <w:p w:rsidR="003D40DC" w:rsidRPr="00583297" w:rsidRDefault="003D40DC">
            <w:pPr>
              <w:pStyle w:val="ConsPlusNormal"/>
              <w:jc w:val="center"/>
            </w:pPr>
            <w:r w:rsidRPr="00583297">
              <w:t>150</w:t>
            </w:r>
          </w:p>
        </w:tc>
        <w:tc>
          <w:tcPr>
            <w:tcW w:w="1740" w:type="dxa"/>
            <w:vAlign w:val="bottom"/>
          </w:tcPr>
          <w:p w:rsidR="003D40DC" w:rsidRPr="00583297" w:rsidRDefault="003D40DC">
            <w:pPr>
              <w:pStyle w:val="ConsPlusNormal"/>
              <w:jc w:val="center"/>
            </w:pPr>
            <w:r w:rsidRPr="00583297">
              <w:t>200</w:t>
            </w:r>
          </w:p>
        </w:tc>
        <w:tc>
          <w:tcPr>
            <w:tcW w:w="1575" w:type="dxa"/>
            <w:vAlign w:val="bottom"/>
          </w:tcPr>
          <w:p w:rsidR="003D40DC" w:rsidRPr="00583297" w:rsidRDefault="003D40DC">
            <w:pPr>
              <w:pStyle w:val="ConsPlusNormal"/>
              <w:jc w:val="center"/>
            </w:pPr>
            <w:r w:rsidRPr="00583297">
              <w:t>400</w:t>
            </w:r>
          </w:p>
        </w:tc>
        <w:tc>
          <w:tcPr>
            <w:tcW w:w="1740" w:type="dxa"/>
            <w:vAlign w:val="bottom"/>
          </w:tcPr>
          <w:p w:rsidR="003D40DC" w:rsidRPr="00583297" w:rsidRDefault="003D40DC">
            <w:pPr>
              <w:pStyle w:val="ConsPlusNormal"/>
              <w:jc w:val="center"/>
            </w:pPr>
            <w:r w:rsidRPr="00583297">
              <w:t>1000</w:t>
            </w:r>
          </w:p>
        </w:tc>
      </w:tr>
      <w:tr w:rsidR="003D40DC" w:rsidRPr="00583297">
        <w:tc>
          <w:tcPr>
            <w:tcW w:w="5205" w:type="dxa"/>
            <w:tcBorders>
              <w:bottom w:val="single" w:sz="4" w:space="0" w:color="auto"/>
            </w:tcBorders>
          </w:tcPr>
          <w:p w:rsidR="003D40DC" w:rsidRPr="00583297" w:rsidRDefault="003D40DC">
            <w:pPr>
              <w:pStyle w:val="ConsPlusNormal"/>
            </w:pPr>
            <w:r w:rsidRPr="00583297">
              <w:t>5. Биологические пруды</w:t>
            </w:r>
          </w:p>
        </w:tc>
        <w:tc>
          <w:tcPr>
            <w:tcW w:w="1305" w:type="dxa"/>
            <w:tcBorders>
              <w:bottom w:val="single" w:sz="4" w:space="0" w:color="auto"/>
            </w:tcBorders>
            <w:vAlign w:val="bottom"/>
          </w:tcPr>
          <w:p w:rsidR="003D40DC" w:rsidRPr="00583297" w:rsidRDefault="003D40DC">
            <w:pPr>
              <w:pStyle w:val="ConsPlusNormal"/>
              <w:jc w:val="center"/>
            </w:pPr>
            <w:r w:rsidRPr="00583297">
              <w:t>200</w:t>
            </w:r>
          </w:p>
        </w:tc>
        <w:tc>
          <w:tcPr>
            <w:tcW w:w="1740" w:type="dxa"/>
            <w:tcBorders>
              <w:bottom w:val="single" w:sz="4" w:space="0" w:color="auto"/>
            </w:tcBorders>
            <w:vAlign w:val="bottom"/>
          </w:tcPr>
          <w:p w:rsidR="003D40DC" w:rsidRPr="00583297" w:rsidRDefault="003D40DC">
            <w:pPr>
              <w:pStyle w:val="ConsPlusNormal"/>
              <w:jc w:val="center"/>
            </w:pPr>
            <w:r w:rsidRPr="00583297">
              <w:t>200</w:t>
            </w:r>
          </w:p>
        </w:tc>
        <w:tc>
          <w:tcPr>
            <w:tcW w:w="1575" w:type="dxa"/>
            <w:tcBorders>
              <w:bottom w:val="single" w:sz="4" w:space="0" w:color="auto"/>
            </w:tcBorders>
            <w:vAlign w:val="bottom"/>
          </w:tcPr>
          <w:p w:rsidR="003D40DC" w:rsidRPr="00583297" w:rsidRDefault="003D40DC">
            <w:pPr>
              <w:pStyle w:val="ConsPlusNormal"/>
              <w:jc w:val="center"/>
            </w:pPr>
            <w:r w:rsidRPr="00583297">
              <w:t>300</w:t>
            </w:r>
          </w:p>
        </w:tc>
        <w:tc>
          <w:tcPr>
            <w:tcW w:w="1740" w:type="dxa"/>
            <w:tcBorders>
              <w:bottom w:val="single" w:sz="4" w:space="0" w:color="auto"/>
            </w:tcBorders>
            <w:vAlign w:val="bottom"/>
          </w:tcPr>
          <w:p w:rsidR="003D40DC" w:rsidRPr="00583297" w:rsidRDefault="003D40DC">
            <w:pPr>
              <w:pStyle w:val="ConsPlusNormal"/>
              <w:jc w:val="center"/>
            </w:pPr>
            <w:r w:rsidRPr="00583297">
              <w:t>300</w:t>
            </w:r>
          </w:p>
        </w:tc>
      </w:tr>
    </w:tbl>
    <w:p w:rsidR="003D40DC" w:rsidRDefault="003D40DC">
      <w:pPr>
        <w:pStyle w:val="ConsPlusNormal"/>
        <w:sectPr w:rsidR="003D40DC">
          <w:pgSz w:w="16838" w:h="11906" w:orient="landscape"/>
          <w:pgMar w:top="1133" w:right="1440" w:bottom="566" w:left="1440" w:header="0" w:footer="0" w:gutter="0"/>
          <w:cols w:space="720"/>
          <w:noEndnote/>
        </w:sectPr>
      </w:pPr>
    </w:p>
    <w:p w:rsidR="003D40DC" w:rsidRPr="003D40DC" w:rsidRDefault="003D40DC">
      <w:pPr>
        <w:pStyle w:val="ConsPlusNormal"/>
        <w:jc w:val="both"/>
        <w:rPr>
          <w:rFonts w:ascii="Times New Roman" w:hAnsi="Times New Roman" w:cs="Times New Roman"/>
          <w:sz w:val="32"/>
          <w:szCs w:val="32"/>
        </w:rPr>
      </w:pPr>
      <w:r w:rsidRPr="003D40DC">
        <w:rPr>
          <w:rFonts w:ascii="Times New Roman" w:hAnsi="Times New Roman" w:cs="Times New Roman"/>
          <w:sz w:val="32"/>
          <w:szCs w:val="32"/>
        </w:rPr>
        <w:lastRenderedPageBreak/>
        <w:t>(в ред. постановления Совмина от 03.03.2020 N 130)</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444. Для полей фильтрации площадью до 0,5 га, полей орошения коммунального типа площадью до 1 га, сооружений механической и биологической очистки сточных вод производительностью до 50 куб. м/сут СЗЗ должна быть размером не менее 100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445. Размер СЗЗ от сливных станций должен быть не менее 300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446. Размер СЗЗ от очистных сооружений поверхностных сточных вод открытого типа (в том числе от прудов-испарителей) до жилой территории должен быть не менее 100 м, закрытого типа - 15 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447. От очистных сооружений и насосных станций производственной канализации, расположенных на территории промышленных предприятий и за ее пределами, при самостоятельной очистке и перекачке производственных сточных вод, при совместной их очистке с хозяйственно-бытовыми водами размер СЗЗ должен быть таким же, как для производств, от которых поступают сточные воды, но не менее указанных в таблице.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448. Размер СЗЗ от площадок для таяния снега и снегосплавных пунктов до жилой территории должен быть не менее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b/>
          <w:bCs/>
          <w:sz w:val="32"/>
          <w:szCs w:val="32"/>
        </w:rPr>
        <w:t>СКЛАДЫ, ПРИЧАЛЫ И МЕСТА ПЕРЕГРУЗКИ И ХРАНЕНИЯ ГРУЗОВ. МЕСТА ПРОИЗВОДСТВА ФУМИГАЦИИ ГРУЗОВ И СУДОВ, ГАЗОВОЙ ДЕЗИНФЕКЦИИ, ДЕРАТИЗАЦИИ И ДЕЗИНСЕКЦИИ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449. Открытые склады и места разгрузки апатитного концентрата, фосфоритной муки, цементов и других пылящих грузов при грузообороте более 150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450. Места перегрузки и хранения жидких химических грузов из сжиженных газов (метан, пропан, аммиак, хлор и другие), производственных соединений галогенов, серы, азота, углеводородов (метанол, бензол, толуол и другие), спиртов, альдегидов и иных соединений.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451. Зачистные и промывочно-пропарочные станции, дезинфекционно-промывочные предприятия, пункты зачистки судов, цистерн, приемно-очистные сооружения.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452. Причалы и места производства фумигации грузов и судов, газовой дезинфекции, дератизации и дезинсекции.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453. Открытые склады и места разгрузки апатитного концентрата, фосфоритной муки, цементов и других пылящих грузов при грузообороте менее 150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454. Открытые склады и места перегрузки угля.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455. Открытые склады и места перегрузки минеральных удобрений, асбеста, извести, руд (кроме радиоактивных) и иных минералов (сера, серный колчедан, гипс и другие).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456. Места перегрузки и хранения сырой нефти, битума, мазута и других вязких нефтепродуктов и химических грузов.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457. Открытые и закрытые склады и места перегрузки пека и пекосодержащих грузов.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458. Места хранения и перегрузки деревянных шпал, пропитанных антисептиками.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459. Санитарно-карантинные станции.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300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460. Открытые склады и места разгрузки и погрузки пылящих грузов (апатитный концентрат, фосфоритная мука, цемент и другие) при грузообороте менее 5 тыс. т/год.</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461. Открытые наземные склады и места отгрузки (разгрузки) магнезита, доломита и других пылящих грузов, сухого песка, гравия, камня и других минерально-строительных материалов.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 xml:space="preserve">462. Закрытые склады, склады пылящих и жидких грузов (аммиачная вода, удобрения, кальцинированная сода, лакокрасочные материалы и </w:t>
      </w:r>
      <w:r w:rsidRPr="003D40DC">
        <w:rPr>
          <w:rFonts w:ascii="Times New Roman" w:hAnsi="Times New Roman" w:cs="Times New Roman"/>
          <w:sz w:val="32"/>
          <w:szCs w:val="32"/>
        </w:rPr>
        <w:lastRenderedPageBreak/>
        <w:t>другие), места перегрузки и хранения затаренного химического груза (удобрения, органические растворители, кислоты и другое).</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463. Склады и участки перегрузки шрота, жмыха, копры и другой пылящей растительной продукции открытым способом.</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464. Склады и места перегрузки и хранения мокросоленых необработанных кож (более 200 шт.) и другого сырья животного происхождения.</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465. Участки постоянной перегрузки скота, животных и птиц.</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466. Склады и места перегрузки рыбы, рыбопродуктов.</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100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467. Склады и места перегрузки кожсырья (в том числе мокросоленых кож до 200 шт.).</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468. Склады и открытые места разгрузки зерна.</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469. Склады и открытые места разгрузки поваренной соли, песко-соляных смесей.</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470. Склады и открытые места разгрузки шерсти, волоса, щетины и другого.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471. Места транспортировки, перегрузки и хранения апатитового концентрата, фосфоритной муки, цемента и других пылящих грузов, перевозимых навалом с применением складских элеваторов и пневмотранспортных или других установок и хранилищ, исключающих вынос пыли во внешнюю среду.</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center"/>
        <w:rPr>
          <w:rFonts w:ascii="Times New Roman" w:hAnsi="Times New Roman" w:cs="Times New Roman"/>
          <w:sz w:val="32"/>
          <w:szCs w:val="32"/>
        </w:rPr>
      </w:pPr>
      <w:r w:rsidRPr="003D40DC">
        <w:rPr>
          <w:rFonts w:ascii="Times New Roman" w:hAnsi="Times New Roman" w:cs="Times New Roman"/>
          <w:sz w:val="32"/>
          <w:szCs w:val="32"/>
        </w:rPr>
        <w:t>Санитарно-защитная зона 50 м</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ind w:firstLine="540"/>
        <w:jc w:val="both"/>
        <w:rPr>
          <w:rFonts w:ascii="Times New Roman" w:hAnsi="Times New Roman" w:cs="Times New Roman"/>
          <w:sz w:val="32"/>
          <w:szCs w:val="32"/>
        </w:rPr>
      </w:pPr>
      <w:r w:rsidRPr="003D40DC">
        <w:rPr>
          <w:rFonts w:ascii="Times New Roman" w:hAnsi="Times New Roman" w:cs="Times New Roman"/>
          <w:sz w:val="32"/>
          <w:szCs w:val="32"/>
        </w:rPr>
        <w:t>472. Открытые склады и места перегрузки увлажненных минерально-строительных материалов (песок, гравий, щебень, камень и другие), материалов деревообработки.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473. Участки хранения и перегрузки прессованного жмыха, сена, соломы, табачно-махорочных изделий и другого.</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lastRenderedPageBreak/>
        <w:t>474. Участки хранения и налива пищевых грузов (вино, масло, соки).</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475. Участки разгрузки и погрузки рефрижераторных вагонов.</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476. Речные причалы.</w:t>
      </w:r>
    </w:p>
    <w:p w:rsidR="003D40DC" w:rsidRPr="003D40DC" w:rsidRDefault="003D40DC">
      <w:pPr>
        <w:pStyle w:val="ConsPlusNormal"/>
        <w:spacing w:before="200"/>
        <w:ind w:firstLine="540"/>
        <w:jc w:val="both"/>
        <w:rPr>
          <w:rFonts w:ascii="Times New Roman" w:hAnsi="Times New Roman" w:cs="Times New Roman"/>
          <w:sz w:val="32"/>
          <w:szCs w:val="32"/>
        </w:rPr>
      </w:pPr>
      <w:r w:rsidRPr="003D40DC">
        <w:rPr>
          <w:rFonts w:ascii="Times New Roman" w:hAnsi="Times New Roman" w:cs="Times New Roman"/>
          <w:sz w:val="32"/>
          <w:szCs w:val="32"/>
        </w:rPr>
        <w:t>477. Склады и места перегрузки и хранения вторичного сырья без переработки.</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Normal"/>
        <w:jc w:val="right"/>
        <w:outlineLvl w:val="1"/>
        <w:rPr>
          <w:rFonts w:ascii="Times New Roman" w:hAnsi="Times New Roman" w:cs="Times New Roman"/>
          <w:sz w:val="32"/>
          <w:szCs w:val="32"/>
        </w:rPr>
      </w:pPr>
      <w:r w:rsidRPr="003D40DC">
        <w:rPr>
          <w:rFonts w:ascii="Times New Roman" w:hAnsi="Times New Roman" w:cs="Times New Roman"/>
          <w:sz w:val="32"/>
          <w:szCs w:val="32"/>
        </w:rPr>
        <w:t>Приложение 2</w:t>
      </w:r>
    </w:p>
    <w:p w:rsidR="003D40DC" w:rsidRPr="003D40DC" w:rsidRDefault="003D40DC">
      <w:pPr>
        <w:pStyle w:val="ConsPlusNormal"/>
        <w:jc w:val="right"/>
        <w:rPr>
          <w:rFonts w:ascii="Times New Roman" w:hAnsi="Times New Roman" w:cs="Times New Roman"/>
          <w:sz w:val="32"/>
          <w:szCs w:val="32"/>
        </w:rPr>
      </w:pPr>
      <w:r w:rsidRPr="003D40DC">
        <w:rPr>
          <w:rFonts w:ascii="Times New Roman" w:hAnsi="Times New Roman" w:cs="Times New Roman"/>
          <w:sz w:val="32"/>
          <w:szCs w:val="32"/>
        </w:rPr>
        <w:t>к специфическим санитарно-эпидемиологическим</w:t>
      </w:r>
    </w:p>
    <w:p w:rsidR="003D40DC" w:rsidRPr="003D40DC" w:rsidRDefault="003D40DC">
      <w:pPr>
        <w:pStyle w:val="ConsPlusNormal"/>
        <w:jc w:val="right"/>
        <w:rPr>
          <w:rFonts w:ascii="Times New Roman" w:hAnsi="Times New Roman" w:cs="Times New Roman"/>
          <w:sz w:val="32"/>
          <w:szCs w:val="32"/>
        </w:rPr>
      </w:pPr>
      <w:r w:rsidRPr="003D40DC">
        <w:rPr>
          <w:rFonts w:ascii="Times New Roman" w:hAnsi="Times New Roman" w:cs="Times New Roman"/>
          <w:sz w:val="32"/>
          <w:szCs w:val="32"/>
        </w:rPr>
        <w:t>требованиям к установлению санитарно-защитных</w:t>
      </w:r>
    </w:p>
    <w:p w:rsidR="003D40DC" w:rsidRPr="003D40DC" w:rsidRDefault="003D40DC">
      <w:pPr>
        <w:pStyle w:val="ConsPlusNormal"/>
        <w:jc w:val="right"/>
        <w:rPr>
          <w:rFonts w:ascii="Times New Roman" w:hAnsi="Times New Roman" w:cs="Times New Roman"/>
          <w:sz w:val="32"/>
          <w:szCs w:val="32"/>
        </w:rPr>
      </w:pPr>
      <w:r w:rsidRPr="003D40DC">
        <w:rPr>
          <w:rFonts w:ascii="Times New Roman" w:hAnsi="Times New Roman" w:cs="Times New Roman"/>
          <w:sz w:val="32"/>
          <w:szCs w:val="32"/>
        </w:rPr>
        <w:t>зон объектов, являющихся объектами воздействия</w:t>
      </w:r>
    </w:p>
    <w:p w:rsidR="003D40DC" w:rsidRPr="003D40DC" w:rsidRDefault="003D40DC">
      <w:pPr>
        <w:pStyle w:val="ConsPlusNormal"/>
        <w:jc w:val="right"/>
        <w:rPr>
          <w:rFonts w:ascii="Times New Roman" w:hAnsi="Times New Roman" w:cs="Times New Roman"/>
          <w:sz w:val="32"/>
          <w:szCs w:val="32"/>
        </w:rPr>
      </w:pPr>
      <w:r w:rsidRPr="003D40DC">
        <w:rPr>
          <w:rFonts w:ascii="Times New Roman" w:hAnsi="Times New Roman" w:cs="Times New Roman"/>
          <w:sz w:val="32"/>
          <w:szCs w:val="32"/>
        </w:rPr>
        <w:t>на здоровье человека и окружающую среду</w:t>
      </w:r>
    </w:p>
    <w:p w:rsidR="003D40DC" w:rsidRPr="003D40DC" w:rsidRDefault="003D40DC">
      <w:pPr>
        <w:pStyle w:val="ConsPlusNormal"/>
        <w:rPr>
          <w:rFonts w:ascii="Times New Roman" w:hAnsi="Times New Roman" w:cs="Times New Roman"/>
          <w:sz w:val="32"/>
          <w:szCs w:val="32"/>
        </w:rPr>
      </w:pPr>
    </w:p>
    <w:p w:rsidR="003D40DC" w:rsidRPr="003D40DC" w:rsidRDefault="003D40DC">
      <w:pPr>
        <w:pStyle w:val="ConsPlusTitle"/>
        <w:jc w:val="center"/>
        <w:rPr>
          <w:rFonts w:ascii="Times New Roman" w:hAnsi="Times New Roman" w:cs="Times New Roman"/>
          <w:sz w:val="32"/>
          <w:szCs w:val="32"/>
        </w:rPr>
      </w:pPr>
      <w:bookmarkStart w:id="3" w:name="Par856"/>
      <w:bookmarkEnd w:id="3"/>
      <w:r w:rsidRPr="003D40DC">
        <w:rPr>
          <w:rFonts w:ascii="Times New Roman" w:hAnsi="Times New Roman" w:cs="Times New Roman"/>
          <w:sz w:val="32"/>
          <w:szCs w:val="32"/>
        </w:rPr>
        <w:t>САНИТАРНЫЙ РАЗРЫВ</w:t>
      </w:r>
    </w:p>
    <w:p w:rsidR="003D40DC" w:rsidRPr="003D40DC" w:rsidRDefault="003D40DC">
      <w:pPr>
        <w:pStyle w:val="ConsPlusTitle"/>
        <w:jc w:val="center"/>
        <w:rPr>
          <w:rFonts w:ascii="Times New Roman" w:hAnsi="Times New Roman" w:cs="Times New Roman"/>
          <w:sz w:val="32"/>
          <w:szCs w:val="32"/>
        </w:rPr>
      </w:pPr>
      <w:r w:rsidRPr="003D40DC">
        <w:rPr>
          <w:rFonts w:ascii="Times New Roman" w:hAnsi="Times New Roman" w:cs="Times New Roman"/>
          <w:sz w:val="32"/>
          <w:szCs w:val="32"/>
        </w:rPr>
        <w:t>ОТ АВТОМОБИЛЬНЫХ СТОЯНОК И ПАРКОВОК ДО ОБЪЕКТОВ РАЗЛИЧНОГО НАЗНАЧЕНИЯ</w:t>
      </w:r>
    </w:p>
    <w:p w:rsidR="003D40DC" w:rsidRDefault="003D40DC">
      <w:pPr>
        <w:pStyle w:val="ConsPlusNormal"/>
      </w:pPr>
    </w:p>
    <w:p w:rsidR="003D40DC" w:rsidRDefault="003D40DC">
      <w:pPr>
        <w:pStyle w:val="ConsPlusNormal"/>
        <w:sectPr w:rsidR="003D40DC">
          <w:pgSz w:w="11906" w:h="16838"/>
          <w:pgMar w:top="1440" w:right="566" w:bottom="1440" w:left="1133"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00"/>
        <w:gridCol w:w="1455"/>
        <w:gridCol w:w="1380"/>
        <w:gridCol w:w="1530"/>
        <w:gridCol w:w="1380"/>
        <w:gridCol w:w="1920"/>
      </w:tblGrid>
      <w:tr w:rsidR="003D40DC" w:rsidRPr="00583297">
        <w:tc>
          <w:tcPr>
            <w:tcW w:w="3900" w:type="dxa"/>
            <w:vMerge w:val="restart"/>
            <w:tcBorders>
              <w:top w:val="single" w:sz="4" w:space="0" w:color="auto"/>
              <w:bottom w:val="single" w:sz="4" w:space="0" w:color="auto"/>
              <w:right w:val="single" w:sz="4" w:space="0" w:color="auto"/>
            </w:tcBorders>
            <w:vAlign w:val="center"/>
          </w:tcPr>
          <w:p w:rsidR="003D40DC" w:rsidRPr="00583297" w:rsidRDefault="003D40DC">
            <w:pPr>
              <w:pStyle w:val="ConsPlusNormal"/>
              <w:jc w:val="center"/>
            </w:pPr>
            <w:r w:rsidRPr="00583297">
              <w:lastRenderedPageBreak/>
              <w:t>Объекты, до которых исчисляется расстояние</w:t>
            </w:r>
          </w:p>
        </w:tc>
        <w:tc>
          <w:tcPr>
            <w:tcW w:w="7665" w:type="dxa"/>
            <w:gridSpan w:val="5"/>
            <w:tcBorders>
              <w:top w:val="single" w:sz="4" w:space="0" w:color="auto"/>
              <w:left w:val="single" w:sz="4" w:space="0" w:color="auto"/>
              <w:bottom w:val="single" w:sz="4" w:space="0" w:color="auto"/>
            </w:tcBorders>
            <w:vAlign w:val="center"/>
          </w:tcPr>
          <w:p w:rsidR="003D40DC" w:rsidRPr="00583297" w:rsidRDefault="003D40DC">
            <w:pPr>
              <w:pStyle w:val="ConsPlusNormal"/>
              <w:jc w:val="center"/>
            </w:pPr>
            <w:r w:rsidRPr="00583297">
              <w:t>Санитарный разрыв (метров) в зависимости от вместимости стоянок и парковок</w:t>
            </w:r>
          </w:p>
        </w:tc>
      </w:tr>
      <w:tr w:rsidR="003D40DC" w:rsidRPr="00583297">
        <w:tc>
          <w:tcPr>
            <w:tcW w:w="3900" w:type="dxa"/>
            <w:vMerge/>
            <w:tcBorders>
              <w:top w:val="single" w:sz="4" w:space="0" w:color="auto"/>
              <w:bottom w:val="single" w:sz="4" w:space="0" w:color="auto"/>
              <w:right w:val="single" w:sz="4" w:space="0" w:color="auto"/>
            </w:tcBorders>
          </w:tcPr>
          <w:p w:rsidR="003D40DC" w:rsidRPr="00583297" w:rsidRDefault="003D40DC">
            <w:pPr>
              <w:pStyle w:val="ConsPlusNormal"/>
            </w:pPr>
          </w:p>
        </w:tc>
        <w:tc>
          <w:tcPr>
            <w:tcW w:w="1455" w:type="dxa"/>
            <w:tcBorders>
              <w:top w:val="single" w:sz="4" w:space="0" w:color="auto"/>
              <w:left w:val="single" w:sz="4" w:space="0" w:color="auto"/>
              <w:bottom w:val="single" w:sz="4" w:space="0" w:color="auto"/>
              <w:right w:val="single" w:sz="4" w:space="0" w:color="auto"/>
            </w:tcBorders>
            <w:vAlign w:val="center"/>
          </w:tcPr>
          <w:p w:rsidR="003D40DC" w:rsidRPr="00583297" w:rsidRDefault="003D40DC">
            <w:pPr>
              <w:pStyle w:val="ConsPlusNormal"/>
              <w:jc w:val="center"/>
            </w:pPr>
            <w:r w:rsidRPr="00583297">
              <w:t>10 и менее машино-</w:t>
            </w:r>
            <w:r w:rsidRPr="00583297">
              <w:br/>
              <w:t>мест</w:t>
            </w:r>
          </w:p>
        </w:tc>
        <w:tc>
          <w:tcPr>
            <w:tcW w:w="1380" w:type="dxa"/>
            <w:tcBorders>
              <w:top w:val="single" w:sz="4" w:space="0" w:color="auto"/>
              <w:left w:val="single" w:sz="4" w:space="0" w:color="auto"/>
              <w:bottom w:val="single" w:sz="4" w:space="0" w:color="auto"/>
              <w:right w:val="single" w:sz="4" w:space="0" w:color="auto"/>
            </w:tcBorders>
            <w:vAlign w:val="center"/>
          </w:tcPr>
          <w:p w:rsidR="003D40DC" w:rsidRPr="00583297" w:rsidRDefault="003D40DC">
            <w:pPr>
              <w:pStyle w:val="ConsPlusNormal"/>
              <w:jc w:val="center"/>
            </w:pPr>
            <w:r w:rsidRPr="00583297">
              <w:t>11 - 50 машино-</w:t>
            </w:r>
            <w:r w:rsidRPr="00583297">
              <w:br/>
              <w:t>мест</w:t>
            </w:r>
          </w:p>
        </w:tc>
        <w:tc>
          <w:tcPr>
            <w:tcW w:w="1530" w:type="dxa"/>
            <w:tcBorders>
              <w:top w:val="single" w:sz="4" w:space="0" w:color="auto"/>
              <w:left w:val="single" w:sz="4" w:space="0" w:color="auto"/>
              <w:bottom w:val="single" w:sz="4" w:space="0" w:color="auto"/>
              <w:right w:val="single" w:sz="4" w:space="0" w:color="auto"/>
            </w:tcBorders>
            <w:vAlign w:val="center"/>
          </w:tcPr>
          <w:p w:rsidR="003D40DC" w:rsidRPr="00583297" w:rsidRDefault="003D40DC">
            <w:pPr>
              <w:pStyle w:val="ConsPlusNormal"/>
              <w:jc w:val="center"/>
            </w:pPr>
            <w:r w:rsidRPr="00583297">
              <w:t>51 - 100 машино-</w:t>
            </w:r>
            <w:r w:rsidRPr="00583297">
              <w:br/>
              <w:t>мест</w:t>
            </w:r>
          </w:p>
        </w:tc>
        <w:tc>
          <w:tcPr>
            <w:tcW w:w="1380" w:type="dxa"/>
            <w:tcBorders>
              <w:top w:val="single" w:sz="4" w:space="0" w:color="auto"/>
              <w:left w:val="single" w:sz="4" w:space="0" w:color="auto"/>
              <w:bottom w:val="single" w:sz="4" w:space="0" w:color="auto"/>
              <w:right w:val="single" w:sz="4" w:space="0" w:color="auto"/>
            </w:tcBorders>
            <w:vAlign w:val="center"/>
          </w:tcPr>
          <w:p w:rsidR="003D40DC" w:rsidRPr="00583297" w:rsidRDefault="003D40DC">
            <w:pPr>
              <w:pStyle w:val="ConsPlusNormal"/>
              <w:jc w:val="center"/>
            </w:pPr>
            <w:r w:rsidRPr="00583297">
              <w:t>101 - 300 машино-</w:t>
            </w:r>
            <w:r w:rsidRPr="00583297">
              <w:br/>
              <w:t>мест</w:t>
            </w:r>
          </w:p>
        </w:tc>
        <w:tc>
          <w:tcPr>
            <w:tcW w:w="1920" w:type="dxa"/>
            <w:tcBorders>
              <w:top w:val="single" w:sz="4" w:space="0" w:color="auto"/>
              <w:left w:val="single" w:sz="4" w:space="0" w:color="auto"/>
              <w:bottom w:val="single" w:sz="4" w:space="0" w:color="auto"/>
            </w:tcBorders>
            <w:vAlign w:val="center"/>
          </w:tcPr>
          <w:p w:rsidR="003D40DC" w:rsidRPr="00583297" w:rsidRDefault="003D40DC">
            <w:pPr>
              <w:pStyle w:val="ConsPlusNormal"/>
              <w:jc w:val="center"/>
            </w:pPr>
            <w:r w:rsidRPr="00583297">
              <w:t>301 - 500 машино-</w:t>
            </w:r>
            <w:r w:rsidRPr="00583297">
              <w:br/>
              <w:t>мест</w:t>
            </w:r>
          </w:p>
        </w:tc>
      </w:tr>
      <w:tr w:rsidR="003D40DC" w:rsidRPr="00583297">
        <w:tc>
          <w:tcPr>
            <w:tcW w:w="3900" w:type="dxa"/>
            <w:tcBorders>
              <w:top w:val="single" w:sz="4" w:space="0" w:color="auto"/>
            </w:tcBorders>
          </w:tcPr>
          <w:p w:rsidR="003D40DC" w:rsidRPr="00583297" w:rsidRDefault="003D40DC">
            <w:pPr>
              <w:pStyle w:val="ConsPlusNormal"/>
            </w:pPr>
            <w:r w:rsidRPr="00583297">
              <w:t>1. Фасады и торцы с окнами жилых домов</w:t>
            </w:r>
          </w:p>
        </w:tc>
        <w:tc>
          <w:tcPr>
            <w:tcW w:w="1455" w:type="dxa"/>
            <w:tcBorders>
              <w:top w:val="single" w:sz="4" w:space="0" w:color="auto"/>
            </w:tcBorders>
          </w:tcPr>
          <w:p w:rsidR="003D40DC" w:rsidRPr="00583297" w:rsidRDefault="003D40DC">
            <w:pPr>
              <w:pStyle w:val="ConsPlusNormal"/>
              <w:jc w:val="center"/>
            </w:pPr>
            <w:r w:rsidRPr="00583297">
              <w:t>6</w:t>
            </w:r>
          </w:p>
        </w:tc>
        <w:tc>
          <w:tcPr>
            <w:tcW w:w="1380" w:type="dxa"/>
            <w:tcBorders>
              <w:top w:val="single" w:sz="4" w:space="0" w:color="auto"/>
            </w:tcBorders>
          </w:tcPr>
          <w:p w:rsidR="003D40DC" w:rsidRPr="00583297" w:rsidRDefault="003D40DC">
            <w:pPr>
              <w:pStyle w:val="ConsPlusNormal"/>
              <w:jc w:val="center"/>
            </w:pPr>
            <w:r w:rsidRPr="00583297">
              <w:t>10</w:t>
            </w:r>
          </w:p>
        </w:tc>
        <w:tc>
          <w:tcPr>
            <w:tcW w:w="1530" w:type="dxa"/>
            <w:tcBorders>
              <w:top w:val="single" w:sz="4" w:space="0" w:color="auto"/>
            </w:tcBorders>
          </w:tcPr>
          <w:p w:rsidR="003D40DC" w:rsidRPr="00583297" w:rsidRDefault="003D40DC">
            <w:pPr>
              <w:pStyle w:val="ConsPlusNormal"/>
              <w:jc w:val="center"/>
            </w:pPr>
            <w:r w:rsidRPr="00583297">
              <w:t>18</w:t>
            </w:r>
          </w:p>
        </w:tc>
        <w:tc>
          <w:tcPr>
            <w:tcW w:w="1380" w:type="dxa"/>
            <w:tcBorders>
              <w:top w:val="single" w:sz="4" w:space="0" w:color="auto"/>
            </w:tcBorders>
          </w:tcPr>
          <w:p w:rsidR="003D40DC" w:rsidRPr="00583297" w:rsidRDefault="003D40DC">
            <w:pPr>
              <w:pStyle w:val="ConsPlusNormal"/>
              <w:jc w:val="center"/>
            </w:pPr>
            <w:r w:rsidRPr="00583297">
              <w:t>25</w:t>
            </w:r>
          </w:p>
        </w:tc>
        <w:tc>
          <w:tcPr>
            <w:tcW w:w="1920" w:type="dxa"/>
            <w:tcBorders>
              <w:top w:val="single" w:sz="4" w:space="0" w:color="auto"/>
            </w:tcBorders>
          </w:tcPr>
          <w:p w:rsidR="003D40DC" w:rsidRPr="00583297" w:rsidRDefault="003D40DC">
            <w:pPr>
              <w:pStyle w:val="ConsPlusNormal"/>
              <w:jc w:val="center"/>
            </w:pPr>
            <w:r w:rsidRPr="00583297">
              <w:t>35</w:t>
            </w:r>
          </w:p>
        </w:tc>
      </w:tr>
      <w:tr w:rsidR="003D40DC" w:rsidRPr="00583297">
        <w:tc>
          <w:tcPr>
            <w:tcW w:w="3900" w:type="dxa"/>
          </w:tcPr>
          <w:p w:rsidR="003D40DC" w:rsidRPr="00583297" w:rsidRDefault="003D40DC">
            <w:pPr>
              <w:pStyle w:val="ConsPlusNormal"/>
            </w:pPr>
            <w:r w:rsidRPr="00583297">
              <w:t>2. Торцы жилых домов без окон, границы земельных участков (при усадебном типе застройки)</w:t>
            </w:r>
          </w:p>
        </w:tc>
        <w:tc>
          <w:tcPr>
            <w:tcW w:w="1455" w:type="dxa"/>
          </w:tcPr>
          <w:p w:rsidR="003D40DC" w:rsidRPr="00583297" w:rsidRDefault="003D40DC">
            <w:pPr>
              <w:pStyle w:val="ConsPlusNormal"/>
              <w:jc w:val="center"/>
            </w:pPr>
            <w:r w:rsidRPr="00583297">
              <w:t>6</w:t>
            </w:r>
          </w:p>
        </w:tc>
        <w:tc>
          <w:tcPr>
            <w:tcW w:w="1380" w:type="dxa"/>
          </w:tcPr>
          <w:p w:rsidR="003D40DC" w:rsidRPr="00583297" w:rsidRDefault="003D40DC">
            <w:pPr>
              <w:pStyle w:val="ConsPlusNormal"/>
              <w:jc w:val="center"/>
            </w:pPr>
            <w:r w:rsidRPr="00583297">
              <w:t>6</w:t>
            </w:r>
          </w:p>
        </w:tc>
        <w:tc>
          <w:tcPr>
            <w:tcW w:w="1530" w:type="dxa"/>
          </w:tcPr>
          <w:p w:rsidR="003D40DC" w:rsidRPr="00583297" w:rsidRDefault="003D40DC">
            <w:pPr>
              <w:pStyle w:val="ConsPlusNormal"/>
              <w:jc w:val="center"/>
            </w:pPr>
            <w:r w:rsidRPr="00583297">
              <w:t>10</w:t>
            </w:r>
          </w:p>
        </w:tc>
        <w:tc>
          <w:tcPr>
            <w:tcW w:w="1380" w:type="dxa"/>
          </w:tcPr>
          <w:p w:rsidR="003D40DC" w:rsidRPr="00583297" w:rsidRDefault="003D40DC">
            <w:pPr>
              <w:pStyle w:val="ConsPlusNormal"/>
              <w:jc w:val="center"/>
            </w:pPr>
            <w:r w:rsidRPr="00583297">
              <w:t>18</w:t>
            </w:r>
          </w:p>
        </w:tc>
        <w:tc>
          <w:tcPr>
            <w:tcW w:w="1920" w:type="dxa"/>
          </w:tcPr>
          <w:p w:rsidR="003D40DC" w:rsidRPr="00583297" w:rsidRDefault="003D40DC">
            <w:pPr>
              <w:pStyle w:val="ConsPlusNormal"/>
              <w:jc w:val="center"/>
            </w:pPr>
            <w:r w:rsidRPr="00583297">
              <w:t>25</w:t>
            </w:r>
          </w:p>
        </w:tc>
      </w:tr>
      <w:tr w:rsidR="003D40DC" w:rsidRPr="00583297">
        <w:tc>
          <w:tcPr>
            <w:tcW w:w="3900" w:type="dxa"/>
          </w:tcPr>
          <w:p w:rsidR="003D40DC" w:rsidRPr="00583297" w:rsidRDefault="003D40DC">
            <w:pPr>
              <w:pStyle w:val="ConsPlusNormal"/>
            </w:pPr>
            <w:r w:rsidRPr="00583297">
              <w:t>3. Границы территорий учреждений образования, за исключением учреждений среднего специального и высшего образования, не имеющих в своем составе открытых спортивных сооружений, учреждения образования, реализующие образовательные программы повышения квалификации, площадки (зоны) отдыха, детские площадки</w:t>
            </w:r>
          </w:p>
        </w:tc>
        <w:tc>
          <w:tcPr>
            <w:tcW w:w="1455" w:type="dxa"/>
          </w:tcPr>
          <w:p w:rsidR="003D40DC" w:rsidRPr="00583297" w:rsidRDefault="003D40DC">
            <w:pPr>
              <w:pStyle w:val="ConsPlusNormal"/>
              <w:jc w:val="center"/>
            </w:pPr>
            <w:r w:rsidRPr="00583297">
              <w:t>10</w:t>
            </w:r>
          </w:p>
        </w:tc>
        <w:tc>
          <w:tcPr>
            <w:tcW w:w="1380" w:type="dxa"/>
          </w:tcPr>
          <w:p w:rsidR="003D40DC" w:rsidRPr="00583297" w:rsidRDefault="003D40DC">
            <w:pPr>
              <w:pStyle w:val="ConsPlusNormal"/>
              <w:jc w:val="center"/>
            </w:pPr>
            <w:r w:rsidRPr="00583297">
              <w:t>18</w:t>
            </w:r>
          </w:p>
        </w:tc>
        <w:tc>
          <w:tcPr>
            <w:tcW w:w="1530" w:type="dxa"/>
          </w:tcPr>
          <w:p w:rsidR="003D40DC" w:rsidRPr="00583297" w:rsidRDefault="003D40DC">
            <w:pPr>
              <w:pStyle w:val="ConsPlusNormal"/>
              <w:jc w:val="center"/>
            </w:pPr>
            <w:r w:rsidRPr="00583297">
              <w:t>25</w:t>
            </w:r>
          </w:p>
        </w:tc>
        <w:tc>
          <w:tcPr>
            <w:tcW w:w="1380" w:type="dxa"/>
          </w:tcPr>
          <w:p w:rsidR="003D40DC" w:rsidRPr="00583297" w:rsidRDefault="003D40DC">
            <w:pPr>
              <w:pStyle w:val="ConsPlusNormal"/>
              <w:jc w:val="center"/>
            </w:pPr>
            <w:r w:rsidRPr="00583297">
              <w:t>35</w:t>
            </w:r>
          </w:p>
        </w:tc>
        <w:tc>
          <w:tcPr>
            <w:tcW w:w="1920" w:type="dxa"/>
          </w:tcPr>
          <w:p w:rsidR="003D40DC" w:rsidRPr="00583297" w:rsidRDefault="003D40DC">
            <w:pPr>
              <w:pStyle w:val="ConsPlusNormal"/>
              <w:jc w:val="center"/>
            </w:pPr>
            <w:r w:rsidRPr="00583297">
              <w:t>определяется в соответствии с пунктом 3 примечаний к настоящему приложению</w:t>
            </w:r>
          </w:p>
        </w:tc>
      </w:tr>
      <w:tr w:rsidR="003D40DC" w:rsidRPr="00583297">
        <w:tc>
          <w:tcPr>
            <w:tcW w:w="3900" w:type="dxa"/>
            <w:tcBorders>
              <w:bottom w:val="single" w:sz="4" w:space="0" w:color="auto"/>
            </w:tcBorders>
          </w:tcPr>
          <w:p w:rsidR="003D40DC" w:rsidRPr="00583297" w:rsidRDefault="003D40DC">
            <w:pPr>
              <w:pStyle w:val="ConsPlusNormal"/>
            </w:pPr>
            <w:r w:rsidRPr="00583297">
              <w:t>4. Границы территорий организаций здравоохранения, оказывающих медицинскую помощь в стационарных условиях, открытых и полуоткрытых физкультурно-спортивных сооружений</w:t>
            </w:r>
          </w:p>
        </w:tc>
        <w:tc>
          <w:tcPr>
            <w:tcW w:w="1455" w:type="dxa"/>
            <w:tcBorders>
              <w:bottom w:val="single" w:sz="4" w:space="0" w:color="auto"/>
            </w:tcBorders>
          </w:tcPr>
          <w:p w:rsidR="003D40DC" w:rsidRPr="00583297" w:rsidRDefault="003D40DC">
            <w:pPr>
              <w:pStyle w:val="ConsPlusNormal"/>
              <w:jc w:val="center"/>
            </w:pPr>
            <w:r w:rsidRPr="00583297">
              <w:t>10</w:t>
            </w:r>
          </w:p>
        </w:tc>
        <w:tc>
          <w:tcPr>
            <w:tcW w:w="1380" w:type="dxa"/>
            <w:tcBorders>
              <w:bottom w:val="single" w:sz="4" w:space="0" w:color="auto"/>
            </w:tcBorders>
          </w:tcPr>
          <w:p w:rsidR="003D40DC" w:rsidRPr="00583297" w:rsidRDefault="003D40DC">
            <w:pPr>
              <w:pStyle w:val="ConsPlusNormal"/>
              <w:jc w:val="center"/>
            </w:pPr>
            <w:r w:rsidRPr="00583297">
              <w:t>15</w:t>
            </w:r>
          </w:p>
        </w:tc>
        <w:tc>
          <w:tcPr>
            <w:tcW w:w="2910" w:type="dxa"/>
            <w:gridSpan w:val="2"/>
            <w:tcBorders>
              <w:bottom w:val="single" w:sz="4" w:space="0" w:color="auto"/>
            </w:tcBorders>
          </w:tcPr>
          <w:p w:rsidR="003D40DC" w:rsidRPr="00583297" w:rsidRDefault="003D40DC">
            <w:pPr>
              <w:pStyle w:val="ConsPlusNormal"/>
              <w:jc w:val="center"/>
            </w:pPr>
            <w:r w:rsidRPr="00583297">
              <w:t>определяется в соответствии с пунктом 3 примечаний к настоящему приложению</w:t>
            </w:r>
          </w:p>
        </w:tc>
        <w:tc>
          <w:tcPr>
            <w:tcW w:w="1920" w:type="dxa"/>
            <w:tcBorders>
              <w:bottom w:val="single" w:sz="4" w:space="0" w:color="auto"/>
            </w:tcBorders>
          </w:tcPr>
          <w:p w:rsidR="003D40DC" w:rsidRPr="00583297" w:rsidRDefault="003D40DC">
            <w:pPr>
              <w:pStyle w:val="ConsPlusNormal"/>
              <w:jc w:val="center"/>
            </w:pPr>
            <w:r w:rsidRPr="00583297">
              <w:t>"</w:t>
            </w:r>
          </w:p>
        </w:tc>
      </w:tr>
    </w:tbl>
    <w:p w:rsidR="003D40DC" w:rsidRDefault="003D40DC">
      <w:pPr>
        <w:pStyle w:val="ConsPlusNormal"/>
      </w:pPr>
    </w:p>
    <w:p w:rsidR="003D40DC" w:rsidRDefault="003D40DC">
      <w:pPr>
        <w:pStyle w:val="ConsPlusNormal"/>
        <w:ind w:firstLine="540"/>
        <w:jc w:val="both"/>
      </w:pPr>
      <w:r>
        <w:t>Примечания:</w:t>
      </w:r>
    </w:p>
    <w:p w:rsidR="003D40DC" w:rsidRDefault="003D40DC">
      <w:pPr>
        <w:pStyle w:val="ConsPlusNormal"/>
        <w:spacing w:before="200"/>
        <w:ind w:firstLine="540"/>
        <w:jc w:val="both"/>
      </w:pPr>
      <w:r>
        <w:t>1. Санитарный разрыв определяется от крайнего источника выбросов загрязняющих веществ (парковочного места).</w:t>
      </w:r>
    </w:p>
    <w:p w:rsidR="003D40DC" w:rsidRDefault="003D40DC">
      <w:pPr>
        <w:pStyle w:val="ConsPlusNormal"/>
        <w:spacing w:before="200"/>
        <w:ind w:firstLine="540"/>
        <w:jc w:val="both"/>
      </w:pPr>
      <w:r>
        <w:t>2. Расчет машино-мест приведен на легковые автомобили. При вместимости автомобильных стоянок и парковок более 500 машино-мест санитарный разрыв устанавливается расчетным способом, но не менее 35 метров.</w:t>
      </w:r>
    </w:p>
    <w:p w:rsidR="003D40DC" w:rsidRDefault="003D40DC">
      <w:pPr>
        <w:pStyle w:val="ConsPlusNormal"/>
        <w:spacing w:before="200"/>
        <w:ind w:firstLine="540"/>
        <w:jc w:val="both"/>
      </w:pPr>
      <w:bookmarkStart w:id="4" w:name="Par893"/>
      <w:bookmarkEnd w:id="4"/>
      <w:r>
        <w:t>3. Санитарный разрыв определяется на основании расчетов рассеивания выбросов загрязняющих веществ в атмосферном воздухе и уровней физического воздействия с учетом пропускной способности автомобильных стоянок и парковок не менее 40 процентов от общей вместимости.</w:t>
      </w:r>
    </w:p>
    <w:p w:rsidR="003D40DC" w:rsidRDefault="003D40DC">
      <w:pPr>
        <w:pStyle w:val="ConsPlusNormal"/>
      </w:pPr>
    </w:p>
    <w:sectPr w:rsidR="003D40DC">
      <w:pgSz w:w="16838" w:h="11906" w:orient="landscape"/>
      <w:pgMar w:top="1133" w:right="1440" w:bottom="566" w:left="1440"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D40DC"/>
    <w:rsid w:val="003D40DC"/>
    <w:rsid w:val="005832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894177E-9939-435B-868D-6110C31D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8806</Words>
  <Characters>50196</Characters>
  <Application>Microsoft Office Word</Application>
  <DocSecurity>2</DocSecurity>
  <Lines>418</Lines>
  <Paragraphs>117</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58885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2025-10-15T12:31:00Z</dcterms:created>
  <dcterms:modified xsi:type="dcterms:W3CDTF">2025-10-15T12:31:00Z</dcterms:modified>
</cp:coreProperties>
</file>