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 xml:space="preserve">Требования безопасности при эксплуатации средств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подмащивания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установлены Правилами по охране труда при выполнении строительных работ, утвержденными постановлением Министерства труда и социальной защиты Республики Беларусь, Министерства архитектуры и строительства Республики Беларусь от 31.05.2019 № 24/33.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 xml:space="preserve">Поверхность грунта, на которую устанавливаются средства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подмащивания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, должна быть спланирована (выровнена и утрамбована) с обеспечением отвода с нее поверхностных вод. В тех случаях, когда невозможно выполнить эти требования, средства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подмащивания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должны быть оборудованы регулируемыми опорами (домкратами) для обеспечения горизонтальности установки или установлены временные опорные сооружения, обеспечивающие горизонтальность установки средств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подмащивания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>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Неинвентарные деревянные леса и подмости изготавливаются в соответствии с проектной документацией. Все основные элементы лесов и подмостей рассчитываются на прочность, а леса и подмости - на устойчивость.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Инвентарные леса, не обладающие собственной расчетной устойчивостью, должны быть прикреплены к зданию способами, указанными в эксплуатационных документах или в технологической документации на производство работ.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При отсутствии особых указаний в проекте производства работ или эксплуатационных документах крепление инвентарных лесов к стенам зданий должно осуществляться не менее чем через один ярус - для крайних стоек, через два пролета - для верхнего яруса и не менее одного крепления на каждые 50 м</w:t>
      </w:r>
      <w:proofErr w:type="gramStart"/>
      <w:r>
        <w:rPr>
          <w:rFonts w:ascii="Helvetica" w:hAnsi="Helvetica" w:cs="Helvetica"/>
          <w:color w:val="333333"/>
          <w:sz w:val="15"/>
          <w:szCs w:val="15"/>
        </w:rPr>
        <w:t>2</w:t>
      </w:r>
      <w:proofErr w:type="gramEnd"/>
      <w:r>
        <w:rPr>
          <w:rFonts w:ascii="Helvetica" w:hAnsi="Helvetica" w:cs="Helvetica"/>
          <w:color w:val="333333"/>
          <w:sz w:val="15"/>
          <w:szCs w:val="15"/>
        </w:rPr>
        <w:t xml:space="preserve"> проекции поверхности лесов на фасад здания.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Не допускается крепить инвентарные леса к парапетам, карнизам, балконам и другим выступающим частям зданий и сооружений.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 xml:space="preserve">Средства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подмащивания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>, расположенные вблизи проездов транспортных средств, должны быть ограждены отбойными брусьями с таким расчетом, чтобы они находились на расстоянии не менее 0,6 м от габарита транспортных средств.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В местах подъема работающих на леса и подмости должны быть установлены схемы размещения и величин допускаемых нагрузок, а также схемы эвакуации работающих в случае возникновения аварийной ситуации.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 xml:space="preserve">Для подъема и </w:t>
      </w:r>
      <w:proofErr w:type="gramStart"/>
      <w:r>
        <w:rPr>
          <w:rFonts w:ascii="Helvetica" w:hAnsi="Helvetica" w:cs="Helvetica"/>
          <w:color w:val="333333"/>
          <w:sz w:val="15"/>
          <w:szCs w:val="15"/>
        </w:rPr>
        <w:t>спуска</w:t>
      </w:r>
      <w:proofErr w:type="gramEnd"/>
      <w:r>
        <w:rPr>
          <w:rFonts w:ascii="Helvetica" w:hAnsi="Helvetica" w:cs="Helvetica"/>
          <w:color w:val="333333"/>
          <w:sz w:val="15"/>
          <w:szCs w:val="15"/>
        </w:rPr>
        <w:t xml:space="preserve"> работающих средства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подмащивания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должны быть оборудованы лестницами.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 xml:space="preserve">Средства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подмащивания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>, применяемые при штукатурных или малярных работах в местах, под которыми ведутся другие работы или есть проход, должны иметь настил без зазоров.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Соединение щитов настилов внахлестку допускается только по их длине, причем концы стыкуемых элементов должны быть расположены на опоре и перекрывать ее не менее чем на 0,2 м в каждую сторону.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Леса и подмости высотой до 4 м допускаются в эксплуатацию только после их приемки линейным руководителем работ и регистрации их в журнале приемки и осмотра лесов и подмостей, а леса выше 4 м - после приемки комиссией, назначенной руководителем строительно-монтажной организации, и оформления акта приемки.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Акт приемки лесов утверждается главным инженером (техническим директором) организации, принимающей леса в эксплуатацию. Не допускается выполнение работ с лесов до утверждения акта.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При приемке лесов и подмостей должны быть проверены: наличие связей и креплений, обеспечивающих устойчивость, узлы крепления отдельных элементов, наличие рабочих настилов и ограждений, вертикальность стоек, надежность опорных площадок и заземление (для металлических лесов).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proofErr w:type="gramStart"/>
      <w:r>
        <w:rPr>
          <w:rFonts w:ascii="Helvetica" w:hAnsi="Helvetica" w:cs="Helvetica"/>
          <w:color w:val="333333"/>
          <w:sz w:val="15"/>
          <w:szCs w:val="15"/>
        </w:rPr>
        <w:t>При выполнении работ с лесов высотой 6 м и более должно быть не менее двух настилов: рабочий (верхний) и защитный (нижний), а каждое рабочее место на лесах, примыкающих к зданию или сооружению, должно быть, кроме того, защищено сверху настилом, расположенным на расстоянии по высоте не более 2 м от рабочего настила.</w:t>
      </w:r>
      <w:proofErr w:type="gramEnd"/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В случаях, когда выполнение работ, движение людей или транспорта под лесами и вблизи от них не предусматривается, устройство защитного (нижнего) настила необязательно.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 xml:space="preserve">При организации массового прохода людей в непосредственной близости к средствам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подмащивания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места прохода должны быть оборудованы сплошным защитным навесом, а фасад лесов - закрыт защитной сеткой с размерами ячеек не более 50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x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50 мм.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proofErr w:type="gramStart"/>
      <w:r>
        <w:rPr>
          <w:rFonts w:ascii="Helvetica" w:hAnsi="Helvetica" w:cs="Helvetica"/>
          <w:color w:val="333333"/>
          <w:sz w:val="15"/>
          <w:szCs w:val="15"/>
        </w:rPr>
        <w:t xml:space="preserve">Средства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подмащивания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и лестницы в процессе эксплуатации должны осматриваться линейным руководителем работ не реже чем через каждые 10 дней и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ежесменно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- работающим, на которого возложены обязанности по осмотру средств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подмащивания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и лестниц.</w:t>
      </w:r>
      <w:proofErr w:type="gramEnd"/>
      <w:r>
        <w:rPr>
          <w:rFonts w:ascii="Helvetica" w:hAnsi="Helvetica" w:cs="Helvetica"/>
          <w:color w:val="333333"/>
          <w:sz w:val="15"/>
          <w:szCs w:val="15"/>
        </w:rPr>
        <w:t xml:space="preserve"> Результаты осмотра записываются в журнал приемки и осмотра лесов и подмостей.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 xml:space="preserve">Средства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подмащивания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>, с которых работа не производилась в течение месяца и более, перед возобновлением работ допускаются в эксплуатацию только после их приемки.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 xml:space="preserve">Средства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подмащивания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подлежат дополнительному осмотру после дождя, ветра, оттепели, землетрясения, которые могут повлиять на несущую способность основания под ними, а также на деформацию несущих их элементов.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Во время разборки лесов, примыкающих к зданию, все дверные проемы первого этажа и выходы на балконы всех этажей (в пределах разбираемого участка) должны быть закрыты.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 xml:space="preserve">Подвесные леса и подмости после монтажа могут быть допущены к эксплуатации только после того, как они выдержат в течение 1 ч испытания статической нагрузкой, превышающей </w:t>
      </w:r>
      <w:proofErr w:type="gramStart"/>
      <w:r>
        <w:rPr>
          <w:rFonts w:ascii="Helvetica" w:hAnsi="Helvetica" w:cs="Helvetica"/>
          <w:color w:val="333333"/>
          <w:sz w:val="15"/>
          <w:szCs w:val="15"/>
        </w:rPr>
        <w:t>нормативную</w:t>
      </w:r>
      <w:proofErr w:type="gramEnd"/>
      <w:r>
        <w:rPr>
          <w:rFonts w:ascii="Helvetica" w:hAnsi="Helvetica" w:cs="Helvetica"/>
          <w:color w:val="333333"/>
          <w:sz w:val="15"/>
          <w:szCs w:val="15"/>
        </w:rPr>
        <w:t xml:space="preserve"> на 20%.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Подъемные подмости, кроме того, должны быть испытаны на динамическую нагрузку, превышающую нормативную на 10%.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Результаты испытаний подвесных лесов и подмостей должны быть отражены в акте приемки лесов и подмостей или в журнале приемки и осмотра лесов и подмостей.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В случаях повторного использования подвесных лесов или подмостей они могут быть допущены к эксплуатации после их осмотра без испытания при условии, что конструкция, на которую подвешиваются леса (подмости), проверена на нагрузку, превышающую расчетную не менее чем в 2 раза, а закрепление лесов выполнено типовыми узлами (устройствами), выдержавшими необходимые испытания.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 xml:space="preserve">Неинвентарные средства </w:t>
      </w:r>
      <w:proofErr w:type="spellStart"/>
      <w:r>
        <w:rPr>
          <w:rFonts w:ascii="Helvetica" w:hAnsi="Helvetica" w:cs="Helvetica"/>
          <w:color w:val="333333"/>
          <w:sz w:val="15"/>
          <w:szCs w:val="15"/>
        </w:rPr>
        <w:t>подмащивания</w:t>
      </w:r>
      <w:proofErr w:type="spellEnd"/>
      <w:r>
        <w:rPr>
          <w:rFonts w:ascii="Helvetica" w:hAnsi="Helvetica" w:cs="Helvetica"/>
          <w:color w:val="333333"/>
          <w:sz w:val="15"/>
          <w:szCs w:val="15"/>
        </w:rPr>
        <w:t xml:space="preserve"> должны изготавливаться из металла или пиломатериалов хвойных пород 1 и 2 сортов.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lastRenderedPageBreak/>
        <w:drawing>
          <wp:inline distT="0" distB="0" distL="0" distR="0">
            <wp:extent cx="4600348" cy="3600000"/>
            <wp:effectExtent l="19050" t="0" r="0" b="0"/>
            <wp:docPr id="1" name="Рисунок 1" descr="les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sa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348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Style w:val="a4"/>
          <w:rFonts w:ascii="Helvetica" w:hAnsi="Helvetica" w:cs="Helvetica"/>
          <w:color w:val="333333"/>
          <w:sz w:val="15"/>
          <w:szCs w:val="15"/>
        </w:rPr>
        <w:t xml:space="preserve">Поверхность грунта, на которую установлены средства </w:t>
      </w:r>
      <w:proofErr w:type="spellStart"/>
      <w:r>
        <w:rPr>
          <w:rStyle w:val="a4"/>
          <w:rFonts w:ascii="Helvetica" w:hAnsi="Helvetica" w:cs="Helvetica"/>
          <w:color w:val="333333"/>
          <w:sz w:val="15"/>
          <w:szCs w:val="15"/>
        </w:rPr>
        <w:t>подмащивания</w:t>
      </w:r>
      <w:proofErr w:type="spellEnd"/>
      <w:r>
        <w:rPr>
          <w:rStyle w:val="a4"/>
          <w:rFonts w:ascii="Helvetica" w:hAnsi="Helvetica" w:cs="Helvetica"/>
          <w:color w:val="333333"/>
          <w:sz w:val="15"/>
          <w:szCs w:val="15"/>
        </w:rPr>
        <w:t>, не спланирована (не выровнена и не утрамбована)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drawing>
          <wp:inline distT="0" distB="0" distL="0" distR="0">
            <wp:extent cx="4842176" cy="3600000"/>
            <wp:effectExtent l="19050" t="0" r="0" b="0"/>
            <wp:docPr id="2" name="Рисунок 2" descr="les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sa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176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Style w:val="a4"/>
          <w:rFonts w:ascii="Helvetica" w:hAnsi="Helvetica" w:cs="Helvetica"/>
          <w:color w:val="333333"/>
          <w:sz w:val="15"/>
          <w:szCs w:val="15"/>
        </w:rPr>
        <w:t>Установка лесов выполнена с нарушением требований безопасности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lastRenderedPageBreak/>
        <w:drawing>
          <wp:inline distT="0" distB="0" distL="0" distR="0">
            <wp:extent cx="5510817" cy="2880000"/>
            <wp:effectExtent l="19050" t="0" r="0" b="0"/>
            <wp:docPr id="3" name="Рисунок 3" descr="les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esa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817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Style w:val="a4"/>
          <w:rFonts w:ascii="Helvetica" w:hAnsi="Helvetica" w:cs="Helvetica"/>
          <w:color w:val="333333"/>
          <w:sz w:val="15"/>
          <w:szCs w:val="15"/>
        </w:rPr>
        <w:t xml:space="preserve">Самодельные средства </w:t>
      </w:r>
      <w:proofErr w:type="spellStart"/>
      <w:r>
        <w:rPr>
          <w:rStyle w:val="a4"/>
          <w:rFonts w:ascii="Helvetica" w:hAnsi="Helvetica" w:cs="Helvetica"/>
          <w:color w:val="333333"/>
          <w:sz w:val="15"/>
          <w:szCs w:val="15"/>
        </w:rPr>
        <w:t>подмащивания</w:t>
      </w:r>
      <w:proofErr w:type="spellEnd"/>
      <w:r>
        <w:rPr>
          <w:rStyle w:val="a4"/>
          <w:rFonts w:ascii="Helvetica" w:hAnsi="Helvetica" w:cs="Helvetica"/>
          <w:color w:val="333333"/>
          <w:sz w:val="15"/>
          <w:szCs w:val="15"/>
        </w:rPr>
        <w:t xml:space="preserve"> изготовлены не по типовым проектам и не взяты организацией на инвентарный учет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drawing>
          <wp:inline distT="0" distB="0" distL="0" distR="0">
            <wp:extent cx="3401776" cy="3600000"/>
            <wp:effectExtent l="19050" t="0" r="8174" b="0"/>
            <wp:docPr id="4" name="Рисунок 4" descr="les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esa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776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Style w:val="a4"/>
          <w:rFonts w:ascii="Helvetica" w:hAnsi="Helvetica" w:cs="Helvetica"/>
          <w:color w:val="333333"/>
          <w:sz w:val="15"/>
          <w:szCs w:val="15"/>
        </w:rPr>
        <w:t xml:space="preserve">На средствах </w:t>
      </w:r>
      <w:proofErr w:type="spellStart"/>
      <w:r>
        <w:rPr>
          <w:rStyle w:val="a4"/>
          <w:rFonts w:ascii="Helvetica" w:hAnsi="Helvetica" w:cs="Helvetica"/>
          <w:color w:val="333333"/>
          <w:sz w:val="15"/>
          <w:szCs w:val="15"/>
        </w:rPr>
        <w:t>подмащивания</w:t>
      </w:r>
      <w:proofErr w:type="spellEnd"/>
      <w:r>
        <w:rPr>
          <w:rStyle w:val="a4"/>
          <w:rFonts w:ascii="Helvetica" w:hAnsi="Helvetica" w:cs="Helvetica"/>
          <w:color w:val="333333"/>
          <w:sz w:val="15"/>
          <w:szCs w:val="15"/>
        </w:rPr>
        <w:t xml:space="preserve"> отсутствуют ограждения, ширина настила на подмостях при выполнении каменных работ менее 2 м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noProof/>
          <w:color w:val="333333"/>
          <w:sz w:val="15"/>
          <w:szCs w:val="15"/>
        </w:rPr>
        <w:lastRenderedPageBreak/>
        <w:drawing>
          <wp:inline distT="0" distB="0" distL="0" distR="0">
            <wp:extent cx="5666523" cy="3600000"/>
            <wp:effectExtent l="19050" t="0" r="0" b="0"/>
            <wp:docPr id="5" name="Рисунок 5" descr="les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esa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523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jc w:val="center"/>
        <w:rPr>
          <w:rFonts w:ascii="Helvetica" w:hAnsi="Helvetica" w:cs="Helvetica"/>
          <w:color w:val="333333"/>
          <w:sz w:val="15"/>
          <w:szCs w:val="15"/>
        </w:rPr>
      </w:pPr>
      <w:r>
        <w:rPr>
          <w:rStyle w:val="a4"/>
          <w:rFonts w:ascii="Helvetica" w:hAnsi="Helvetica" w:cs="Helvetica"/>
          <w:color w:val="333333"/>
          <w:sz w:val="15"/>
          <w:szCs w:val="15"/>
        </w:rPr>
        <w:t>На лесах отсутствуют необходимые защитные ограждения, нарушены требования по охране труда при устройстве настилов.</w:t>
      </w:r>
      <w:r>
        <w:rPr>
          <w:rFonts w:ascii="Helvetica" w:hAnsi="Helvetica" w:cs="Helvetica"/>
          <w:i/>
          <w:iCs/>
          <w:color w:val="333333"/>
          <w:sz w:val="15"/>
          <w:szCs w:val="15"/>
        </w:rPr>
        <w:br/>
      </w:r>
      <w:r>
        <w:rPr>
          <w:rStyle w:val="a4"/>
          <w:rFonts w:ascii="Helvetica" w:hAnsi="Helvetica" w:cs="Helvetica"/>
          <w:color w:val="333333"/>
          <w:sz w:val="15"/>
          <w:szCs w:val="15"/>
        </w:rPr>
        <w:t>Выполнение работ без применения средств индивидуальной защиты</w:t>
      </w:r>
    </w:p>
    <w:p w:rsidR="00D41D4C" w:rsidRDefault="00D41D4C" w:rsidP="00D41D4C">
      <w:pPr>
        <w:pStyle w:val="a3"/>
        <w:shd w:val="clear" w:color="auto" w:fill="FFFFFF"/>
        <w:spacing w:before="0" w:beforeAutospacing="0" w:after="164" w:afterAutospacing="0"/>
        <w:rPr>
          <w:rFonts w:ascii="Helvetica" w:hAnsi="Helvetica" w:cs="Helvetica"/>
          <w:color w:val="333333"/>
          <w:sz w:val="15"/>
          <w:szCs w:val="15"/>
        </w:rPr>
      </w:pPr>
      <w:r>
        <w:rPr>
          <w:rFonts w:ascii="Helvetica" w:hAnsi="Helvetica" w:cs="Helvetica"/>
          <w:color w:val="333333"/>
          <w:sz w:val="15"/>
          <w:szCs w:val="15"/>
        </w:rPr>
        <w:t>Источник: </w:t>
      </w:r>
      <w:hyperlink r:id="rId9" w:tgtFrame="_blank" w:history="1">
        <w:r>
          <w:rPr>
            <w:rStyle w:val="a5"/>
            <w:rFonts w:ascii="Helvetica" w:hAnsi="Helvetica" w:cs="Helvetica"/>
            <w:color w:val="37AFCD"/>
            <w:sz w:val="15"/>
            <w:szCs w:val="15"/>
            <w:u w:val="none"/>
          </w:rPr>
          <w:t>сайт Департамента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D41D4C"/>
    <w:rsid w:val="001C4C48"/>
    <w:rsid w:val="002E0980"/>
    <w:rsid w:val="00814FC8"/>
    <w:rsid w:val="008706BA"/>
    <w:rsid w:val="00C25F7D"/>
    <w:rsid w:val="00D41D4C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41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D41D4C"/>
    <w:rPr>
      <w:i/>
      <w:iCs/>
    </w:rPr>
  </w:style>
  <w:style w:type="character" w:styleId="a5">
    <w:name w:val="Hyperlink"/>
    <w:basedOn w:val="a0"/>
    <w:uiPriority w:val="99"/>
    <w:semiHidden/>
    <w:unhideWhenUsed/>
    <w:rsid w:val="00D41D4C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D41D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41D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88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git.gov.b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969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2025-11-23T11:33:00Z</dcterms:created>
  <dcterms:modified xsi:type="dcterms:W3CDTF">2025-11-23T11:35:00Z</dcterms:modified>
</cp:coreProperties>
</file>