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400" w:after="300"/>
        <w:jc w:val="center"/>
        <w:rPr>
          <w:color w:val="000000"/>
        </w:rPr>
      </w:pPr>
      <w:r>
        <w:rPr/>
        <w:drawing>
          <wp:inline distT="0" distB="0" distL="0" distR="0">
            <wp:extent cx="121920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219200" cy="1533525"/>
                    </a:xfrm>
                    <a:prstGeom prst="rect">
                      <a:avLst/>
                    </a:prstGeom>
                    <a:noFill/>
                  </pic:spPr>
                </pic:pic>
              </a:graphicData>
            </a:graphic>
          </wp:inline>
        </w:drawing>
      </w:r>
    </w:p>
    <w:p>
      <w:pPr>
        <w:pStyle w:val="Normal"/>
        <w:bidi w:val="0"/>
        <w:spacing w:lineRule="auto" w:line="276"/>
        <w:jc w:val="center"/>
        <w:rPr>
          <w:color w:val="000000"/>
        </w:rPr>
      </w:pPr>
      <w:r>
        <w:rPr>
          <w:rFonts w:eastAsia="Calibri" w:cs="Calibri"/>
          <w:color w:val="000000"/>
          <w:sz w:val="21"/>
          <w:szCs w:val="21"/>
        </w:rPr>
        <w:t>Universidad Santiago de Cali</w:t>
      </w:r>
    </w:p>
    <w:p>
      <w:pPr>
        <w:pStyle w:val="Normal"/>
        <w:bidi w:val="0"/>
        <w:spacing w:lineRule="auto" w:line="276" w:before="0" w:after="900"/>
        <w:jc w:val="center"/>
        <w:rPr>
          <w:color w:val="000000"/>
        </w:rPr>
      </w:pPr>
      <w:r>
        <w:rPr>
          <w:rFonts w:eastAsia="Calibri" w:cs="Calibri"/>
          <w:color w:val="000000"/>
          <w:sz w:val="21"/>
          <w:szCs w:val="21"/>
        </w:rPr>
        <w:t>Facultad de Ingeniería — Programa de Ingeniería de Sistemas</w:t>
      </w:r>
    </w:p>
    <w:p>
      <w:pPr>
        <w:pStyle w:val="Normal"/>
        <w:bidi w:val="0"/>
        <w:spacing w:before="0" w:after="100"/>
        <w:jc w:val="center"/>
        <w:rPr>
          <w:color w:val="000000"/>
        </w:rPr>
      </w:pPr>
      <w:r>
        <w:rPr>
          <w:rFonts w:eastAsia="Calibri" w:cs="Calibri"/>
          <w:b/>
          <w:bCs/>
          <w:color w:val="000000"/>
          <w:sz w:val="40"/>
          <w:szCs w:val="40"/>
          <w:lang w:val="es-ES" w:eastAsia="zh-CN" w:bidi="ar-SA"/>
        </w:rPr>
        <w:t xml:space="preserve"> </w:t>
      </w:r>
      <w:r>
        <w:rPr>
          <w:rFonts w:eastAsia="Calibri" w:cs="Calibri"/>
          <w:b/>
          <w:bCs/>
          <w:color w:val="000000"/>
          <w:sz w:val="40"/>
          <w:szCs w:val="40"/>
          <w:lang w:val="es-ES" w:eastAsia="zh-CN" w:bidi="ar-SA"/>
        </w:rPr>
        <w:t>Cronograma del Proyecto</w:t>
      </w:r>
    </w:p>
    <w:p>
      <w:pPr>
        <w:pStyle w:val="Normal"/>
        <w:bidi w:val="0"/>
        <w:spacing w:before="0" w:after="800"/>
        <w:jc w:val="center"/>
        <w:rPr>
          <w:color w:val="000000"/>
        </w:rPr>
      </w:pPr>
      <w:r>
        <w:rPr>
          <w:rFonts w:eastAsia="Calibri" w:cs="Calibri"/>
          <w:b/>
          <w:bCs/>
          <w:color w:val="000000"/>
          <w:sz w:val="32"/>
          <w:szCs w:val="32"/>
        </w:rPr>
        <w:t>Gastro AI</w:t>
      </w:r>
    </w:p>
    <w:tbl>
      <w:tblPr>
        <w:tblW w:w="3800" w:type="dxa"/>
        <w:jc w:val="center"/>
        <w:tblInd w:w="0" w:type="dxa"/>
        <w:tblLayout w:type="fixed"/>
        <w:tblCellMar>
          <w:top w:w="50" w:type="dxa"/>
          <w:start w:w="85" w:type="dxa"/>
          <w:bottom w:w="50" w:type="dxa"/>
          <w:end w:w="85" w:type="dxa"/>
        </w:tblCellMar>
        <w:tblLook w:noHBand="0" w:noVBand="0" w:firstColumn="0" w:lastRow="0" w:lastColumn="0" w:firstRow="0" w:val="0000"/>
      </w:tblPr>
      <w:tblGrid>
        <w:gridCol w:w="2099"/>
        <w:gridCol w:w="1701"/>
      </w:tblGrid>
      <w:tr>
        <w:trPr>
          <w:cantSplit/>
        </w:trPr>
        <w:tc>
          <w:tcPr>
            <w:tcW w:w="2099" w:type="dxa"/>
            <w:tcBorders>
              <w:top w:val="single" w:sz="2" w:space="0" w:color="7F7F7F"/>
              <w:start w:val="single" w:sz="2" w:space="0" w:color="7F7F7F"/>
              <w:bottom w:val="single" w:sz="2" w:space="0" w:color="7F7F7F"/>
              <w:end w:val="single" w:sz="2" w:space="0" w:color="7F7F7F"/>
            </w:tcBorders>
            <w:vAlign w:val="center"/>
          </w:tcPr>
          <w:p>
            <w:pPr>
              <w:pStyle w:val="Normal"/>
              <w:bidi w:val="0"/>
              <w:spacing w:lineRule="auto" w:line="252" w:before="40" w:after="40"/>
              <w:rPr>
                <w:color w:val="000000"/>
              </w:rPr>
            </w:pPr>
            <w:r>
              <w:rPr>
                <w:rFonts w:eastAsia="Calibri" w:cs="Calibri"/>
                <w:color w:val="000000"/>
                <w:sz w:val="19"/>
                <w:szCs w:val="19"/>
              </w:rPr>
              <w:t>Fecha:</w:t>
            </w:r>
          </w:p>
        </w:tc>
        <w:tc>
          <w:tcPr>
            <w:tcW w:w="1701" w:type="dxa"/>
            <w:tcBorders>
              <w:top w:val="single" w:sz="2" w:space="0" w:color="7F7F7F"/>
              <w:start w:val="single" w:sz="2" w:space="0" w:color="7F7F7F"/>
              <w:bottom w:val="single" w:sz="2" w:space="0" w:color="7F7F7F"/>
              <w:end w:val="single" w:sz="2" w:space="0" w:color="7F7F7F"/>
            </w:tcBorders>
            <w:vAlign w:val="center"/>
          </w:tcPr>
          <w:p>
            <w:pPr>
              <w:pStyle w:val="Normal"/>
              <w:bidi w:val="0"/>
              <w:spacing w:lineRule="auto" w:line="252" w:before="40" w:after="40"/>
              <w:rPr>
                <w:color w:val="000000"/>
              </w:rPr>
            </w:pPr>
            <w:r>
              <w:rPr>
                <w:rFonts w:eastAsia="Calibri" w:cs="Calibri"/>
                <w:color w:val="000000"/>
                <w:sz w:val="19"/>
                <w:szCs w:val="19"/>
              </w:rPr>
              <w:t>15/10/2026</w:t>
            </w:r>
          </w:p>
        </w:tc>
      </w:tr>
      <w:tr>
        <w:trPr>
          <w:cantSplit/>
        </w:trPr>
        <w:tc>
          <w:tcPr>
            <w:tcW w:w="2099" w:type="dxa"/>
            <w:tcBorders>
              <w:top w:val="single" w:sz="2" w:space="0" w:color="7F7F7F"/>
              <w:start w:val="single" w:sz="2" w:space="0" w:color="7F7F7F"/>
              <w:bottom w:val="single" w:sz="2" w:space="0" w:color="7F7F7F"/>
              <w:end w:val="single" w:sz="2" w:space="0" w:color="7F7F7F"/>
            </w:tcBorders>
            <w:vAlign w:val="center"/>
          </w:tcPr>
          <w:p>
            <w:pPr>
              <w:pStyle w:val="Normal"/>
              <w:bidi w:val="0"/>
              <w:spacing w:lineRule="auto" w:line="252" w:before="40" w:after="40"/>
              <w:rPr>
                <w:color w:val="000000"/>
              </w:rPr>
            </w:pPr>
            <w:r>
              <w:rPr>
                <w:rFonts w:eastAsia="Calibri" w:cs="Calibri"/>
                <w:color w:val="000000"/>
                <w:sz w:val="19"/>
                <w:szCs w:val="19"/>
              </w:rPr>
              <w:t>Versión:</w:t>
            </w:r>
          </w:p>
        </w:tc>
        <w:tc>
          <w:tcPr>
            <w:tcW w:w="1701" w:type="dxa"/>
            <w:tcBorders>
              <w:top w:val="single" w:sz="2" w:space="0" w:color="7F7F7F"/>
              <w:start w:val="single" w:sz="2" w:space="0" w:color="7F7F7F"/>
              <w:bottom w:val="single" w:sz="2" w:space="0" w:color="7F7F7F"/>
              <w:end w:val="single" w:sz="2" w:space="0" w:color="7F7F7F"/>
            </w:tcBorders>
            <w:vAlign w:val="center"/>
          </w:tcPr>
          <w:p>
            <w:pPr>
              <w:pStyle w:val="Normal"/>
              <w:bidi w:val="0"/>
              <w:spacing w:lineRule="auto" w:line="252" w:before="40" w:after="40"/>
              <w:rPr>
                <w:color w:val="000000"/>
              </w:rPr>
            </w:pPr>
            <w:r>
              <w:rPr>
                <w:rFonts w:eastAsia="Calibri" w:cs="Calibri"/>
                <w:color w:val="000000"/>
                <w:sz w:val="19"/>
                <w:szCs w:val="19"/>
              </w:rPr>
              <w:t>1.0</w:t>
            </w:r>
          </w:p>
        </w:tc>
      </w:tr>
      <w:tr>
        <w:trPr>
          <w:cantSplit/>
        </w:trPr>
        <w:tc>
          <w:tcPr>
            <w:tcW w:w="2099" w:type="dxa"/>
            <w:tcBorders>
              <w:top w:val="single" w:sz="2" w:space="0" w:color="7F7F7F"/>
              <w:start w:val="single" w:sz="2" w:space="0" w:color="7F7F7F"/>
              <w:bottom w:val="single" w:sz="2" w:space="0" w:color="7F7F7F"/>
              <w:end w:val="single" w:sz="2" w:space="0" w:color="7F7F7F"/>
            </w:tcBorders>
            <w:vAlign w:val="center"/>
          </w:tcPr>
          <w:p>
            <w:pPr>
              <w:pStyle w:val="Normal"/>
              <w:bidi w:val="0"/>
              <w:spacing w:lineRule="auto" w:line="252" w:before="40" w:after="40"/>
              <w:rPr>
                <w:color w:val="000000"/>
              </w:rPr>
            </w:pPr>
            <w:r>
              <w:rPr>
                <w:rFonts w:eastAsia="Calibri" w:cs="Calibri"/>
                <w:color w:val="000000"/>
                <w:sz w:val="19"/>
                <w:szCs w:val="19"/>
              </w:rPr>
              <w:t>Versión de Plantilla:</w:t>
            </w:r>
          </w:p>
        </w:tc>
        <w:tc>
          <w:tcPr>
            <w:tcW w:w="1701" w:type="dxa"/>
            <w:tcBorders>
              <w:top w:val="single" w:sz="2" w:space="0" w:color="7F7F7F"/>
              <w:start w:val="single" w:sz="2" w:space="0" w:color="7F7F7F"/>
              <w:bottom w:val="single" w:sz="2" w:space="0" w:color="7F7F7F"/>
              <w:end w:val="single" w:sz="2" w:space="0" w:color="7F7F7F"/>
            </w:tcBorders>
            <w:vAlign w:val="center"/>
          </w:tcPr>
          <w:p>
            <w:pPr>
              <w:pStyle w:val="Normal"/>
              <w:bidi w:val="0"/>
              <w:spacing w:lineRule="auto" w:line="252" w:before="40" w:after="40"/>
              <w:rPr>
                <w:color w:val="000000"/>
              </w:rPr>
            </w:pPr>
            <w:r>
              <w:rPr>
                <w:rFonts w:eastAsia="Calibri" w:cs="Calibri"/>
                <w:color w:val="000000"/>
                <w:sz w:val="19"/>
                <w:szCs w:val="19"/>
              </w:rPr>
              <w:t>3.0.1</w:t>
            </w:r>
          </w:p>
        </w:tc>
      </w:tr>
    </w:tbl>
    <w:p>
      <w:pPr>
        <w:pStyle w:val="Normal"/>
        <w:bidi w:val="0"/>
        <w:spacing w:lineRule="auto" w:line="276" w:before="0" w:after="600"/>
        <w:jc w:val="both"/>
        <w:rPr>
          <w:color w:val="000000"/>
        </w:rPr>
      </w:pPr>
      <w:r>
        <w:rPr>
          <w:color w:val="000000"/>
        </w:rPr>
      </w:r>
    </w:p>
    <w:p>
      <w:pPr>
        <w:pStyle w:val="Normal"/>
        <w:bidi w:val="0"/>
        <w:spacing w:lineRule="auto" w:line="276" w:before="0" w:after="60"/>
        <w:jc w:val="center"/>
        <w:rPr>
          <w:rFonts w:ascii="Calibri" w:hAnsi="Calibri" w:eastAsia="Calibri" w:cs="Calibri"/>
          <w:i/>
          <w:iCs/>
          <w:sz w:val="18"/>
          <w:szCs w:val="18"/>
        </w:rPr>
      </w:pPr>
      <w:r>
        <w:rPr>
          <w:rFonts w:eastAsia="Calibri" w:cs="Calibri"/>
          <w:i/>
          <w:iCs/>
          <w:sz w:val="18"/>
          <w:szCs w:val="18"/>
        </w:rPr>
      </w:r>
    </w:p>
    <w:p>
      <w:pPr>
        <w:pStyle w:val="Normal"/>
        <w:bidi w:val="0"/>
        <w:spacing w:lineRule="auto" w:line="276" w:before="0" w:after="0"/>
        <w:jc w:val="center"/>
        <w:rPr>
          <w:rFonts w:ascii="Calibri" w:hAnsi="Calibri" w:eastAsia="Calibri" w:cs="Calibri"/>
          <w:i/>
          <w:iCs/>
          <w:color w:val="000000"/>
          <w:sz w:val="18"/>
          <w:szCs w:val="18"/>
        </w:rPr>
      </w:pPr>
      <w:r>
        <w:rPr>
          <w:rFonts w:eastAsia="Calibri" w:cs="Calibri"/>
          <w:i/>
          <w:iCs/>
          <w:color w:val="000000"/>
          <w:sz w:val="18"/>
          <w:szCs w:val="18"/>
        </w:rPr>
      </w:r>
    </w:p>
    <w:p>
      <w:pPr>
        <w:pStyle w:val="Normal"/>
        <w:bidi w:val="0"/>
        <w:spacing w:lineRule="auto" w:line="276" w:before="0" w:after="0"/>
        <w:jc w:val="center"/>
        <w:rPr>
          <w:rFonts w:ascii="Calibri" w:hAnsi="Calibri" w:eastAsia="Calibri" w:cs="Calibri"/>
          <w:i/>
          <w:iCs/>
          <w:color w:val="000000"/>
          <w:sz w:val="18"/>
          <w:szCs w:val="18"/>
        </w:rPr>
      </w:pPr>
      <w:r>
        <w:rPr>
          <w:rFonts w:eastAsia="Calibri" w:cs="Calibri"/>
          <w:i/>
          <w:iCs/>
          <w:color w:val="000000"/>
          <w:sz w:val="18"/>
          <w:szCs w:val="18"/>
        </w:rPr>
      </w:r>
    </w:p>
    <w:p>
      <w:pPr>
        <w:pStyle w:val="Normal"/>
        <w:bidi w:val="0"/>
        <w:spacing w:lineRule="auto" w:line="276" w:before="0" w:after="0"/>
        <w:jc w:val="center"/>
        <w:rPr>
          <w:rFonts w:ascii="Calibri" w:hAnsi="Calibri" w:eastAsia="Calibri" w:cs="Calibri"/>
          <w:i/>
          <w:iCs/>
          <w:color w:val="000000"/>
          <w:sz w:val="18"/>
          <w:szCs w:val="18"/>
        </w:rPr>
      </w:pPr>
      <w:r>
        <w:rPr>
          <w:rFonts w:eastAsia="Calibri" w:cs="Calibri"/>
          <w:i/>
          <w:iCs/>
          <w:color w:val="000000"/>
          <w:sz w:val="18"/>
          <w:szCs w:val="18"/>
        </w:rPr>
      </w:r>
    </w:p>
    <w:p>
      <w:pPr>
        <w:pStyle w:val="Normal"/>
        <w:bidi w:val="0"/>
        <w:spacing w:lineRule="auto" w:line="276" w:before="0" w:after="0"/>
        <w:jc w:val="center"/>
        <w:rPr>
          <w:rFonts w:ascii="Calibri" w:hAnsi="Calibri" w:eastAsia="Calibri" w:cs="Calibri"/>
          <w:i/>
          <w:iCs/>
          <w:color w:val="000000"/>
          <w:sz w:val="18"/>
          <w:szCs w:val="18"/>
        </w:rPr>
      </w:pPr>
      <w:r>
        <w:rPr>
          <w:rFonts w:eastAsia="Calibri" w:cs="Calibri"/>
          <w:i/>
          <w:iCs/>
          <w:color w:val="000000"/>
          <w:sz w:val="18"/>
          <w:szCs w:val="18"/>
        </w:rPr>
      </w:r>
    </w:p>
    <w:p>
      <w:pPr>
        <w:pStyle w:val="Normal"/>
        <w:bidi w:val="0"/>
        <w:spacing w:lineRule="auto" w:line="276" w:before="0" w:after="0"/>
        <w:jc w:val="center"/>
        <w:rPr>
          <w:rFonts w:ascii="Calibri" w:hAnsi="Calibri" w:eastAsia="Calibri" w:cs="Calibri"/>
          <w:i/>
          <w:iCs/>
          <w:color w:val="000000"/>
          <w:sz w:val="18"/>
          <w:szCs w:val="18"/>
        </w:rPr>
      </w:pPr>
      <w:r>
        <w:rPr>
          <w:rFonts w:eastAsia="Calibri" w:cs="Calibri"/>
          <w:i/>
          <w:iCs/>
          <w:color w:val="000000"/>
          <w:sz w:val="18"/>
          <w:szCs w:val="18"/>
        </w:rPr>
      </w:r>
    </w:p>
    <w:p>
      <w:pPr>
        <w:pStyle w:val="Normal"/>
        <w:bidi w:val="0"/>
        <w:spacing w:lineRule="auto" w:line="276" w:before="0" w:after="0"/>
        <w:jc w:val="center"/>
        <w:rPr>
          <w:rFonts w:ascii="Calibri" w:hAnsi="Calibri" w:eastAsia="Calibri" w:cs="Calibri"/>
          <w:i/>
          <w:iCs/>
          <w:color w:val="000000"/>
          <w:sz w:val="18"/>
          <w:szCs w:val="18"/>
        </w:rPr>
      </w:pPr>
      <w:r>
        <w:rPr>
          <w:rFonts w:eastAsia="Calibri" w:cs="Calibri"/>
          <w:i/>
          <w:iCs/>
          <w:color w:val="000000"/>
          <w:sz w:val="18"/>
          <w:szCs w:val="18"/>
        </w:rPr>
      </w:r>
    </w:p>
    <w:p>
      <w:pPr>
        <w:pStyle w:val="Normal"/>
        <w:bidi w:val="0"/>
        <w:spacing w:lineRule="auto" w:line="276" w:before="0" w:after="0"/>
        <w:jc w:val="center"/>
        <w:rPr>
          <w:rFonts w:ascii="Calibri" w:hAnsi="Calibri" w:eastAsia="Calibri" w:cs="Calibri"/>
          <w:i/>
          <w:iCs/>
          <w:color w:val="000000"/>
          <w:sz w:val="18"/>
          <w:szCs w:val="18"/>
        </w:rPr>
      </w:pPr>
      <w:r>
        <w:rPr>
          <w:rFonts w:eastAsia="Calibri" w:cs="Calibri"/>
          <w:i/>
          <w:iCs/>
          <w:color w:val="000000"/>
          <w:sz w:val="18"/>
          <w:szCs w:val="18"/>
        </w:rPr>
      </w:r>
    </w:p>
    <w:p>
      <w:pPr>
        <w:pStyle w:val="Normal"/>
        <w:bidi w:val="0"/>
        <w:spacing w:lineRule="auto" w:line="276" w:before="0" w:after="0"/>
        <w:jc w:val="center"/>
        <w:rPr>
          <w:rFonts w:ascii="Calibri" w:hAnsi="Calibri" w:eastAsia="Calibri" w:cs="Calibri"/>
          <w:i/>
          <w:iCs/>
          <w:color w:val="000000"/>
          <w:sz w:val="18"/>
          <w:szCs w:val="18"/>
        </w:rPr>
        <w:sectPr>
          <w:type w:val="nextPage"/>
          <w:pgSz w:w="11906" w:h="16838"/>
          <w:pgMar w:left="1800" w:right="1800" w:gutter="0" w:header="0" w:top="1440" w:footer="0" w:bottom="1440"/>
          <w:pgNumType w:fmt="decimal"/>
          <w:formProt w:val="false"/>
          <w:textDirection w:val="lrTb"/>
          <w:docGrid w:type="lines" w:linePitch="312" w:charSpace="0"/>
        </w:sectPr>
      </w:pPr>
      <w:r>
        <w:rPr>
          <w:rFonts w:eastAsia="Calibri" w:cs="Calibri"/>
          <w:i/>
          <w:iCs/>
          <w:color w:val="000000"/>
          <w:sz w:val="18"/>
          <w:szCs w:val="18"/>
        </w:rPr>
      </w:r>
    </w:p>
    <w:p>
      <w:pPr>
        <w:pStyle w:val="Heading1"/>
        <w:keepNext w:val="true"/>
        <w:bidi w:val="0"/>
        <w:spacing w:before="260" w:after="120"/>
        <w:ind w:hanging="0" w:start="0"/>
        <w:rPr>
          <w:rFonts w:ascii="Arial" w:hAnsi="Arial" w:eastAsia="Arial" w:cs="Arial"/>
          <w:color w:val="000000"/>
        </w:rPr>
      </w:pPr>
      <w:r>
        <w:rPr>
          <w:rFonts w:eastAsia="Arial" w:cs="Arial"/>
          <w:color w:val="000000"/>
        </w:rPr>
        <w:t>1. Introducción</w:t>
      </w:r>
    </w:p>
    <w:p>
      <w:pPr>
        <w:pStyle w:val="Normal"/>
        <w:bidi w:val="0"/>
        <w:spacing w:lineRule="exact" w:line="272" w:before="0" w:after="100"/>
        <w:rPr>
          <w:rFonts w:ascii="Arial" w:hAnsi="Arial" w:eastAsia="Arial" w:cs="Arial"/>
          <w:color w:val="000000"/>
        </w:rPr>
      </w:pPr>
      <w:r>
        <w:rPr>
          <w:rFonts w:eastAsia="Arial" w:cs="Arial" w:ascii="Arial" w:hAnsi="Arial"/>
          <w:color w:val="000000"/>
        </w:rPr>
        <w:t>Este documento presenta la evidencia del diagrama de Gantt del proyecto Gastro-AI, construido en la vista Roadmap de GitHub Projects. El cronograma se generó a partir de los documentos de planeación del proyecto —la Lista de Actividades, la Estructura de Desglose del Trabajo (EDT/WBS) y la Matriz de Trazabilidad de Requisitos— y organiza el trabajo en sprints semanales entre el 10 de agosto y el 11 de diciembre de 2026.</w:t>
      </w:r>
    </w:p>
    <w:p>
      <w:pPr>
        <w:pStyle w:val="Normal"/>
        <w:bidi w:val="0"/>
        <w:spacing w:lineRule="exact" w:line="272" w:before="0" w:after="100"/>
        <w:rPr>
          <w:rFonts w:ascii="Arial" w:hAnsi="Arial" w:eastAsia="Arial" w:cs="Arial"/>
          <w:color w:val="000000"/>
        </w:rPr>
      </w:pPr>
      <w:r>
        <w:rPr>
          <w:rFonts w:eastAsia="Arial" w:cs="Arial" w:ascii="Arial" w:hAnsi="Arial"/>
          <w:color w:val="000000"/>
        </w:rPr>
        <w:t>Primero se explica cómo está construido el cronograma (sección 3) y después se incluyen las capturas del Roadmap, cada una con su explicación (sección 4).</w:t>
      </w:r>
    </w:p>
    <w:p>
      <w:pPr>
        <w:pStyle w:val="Heading1"/>
        <w:keepNext w:val="true"/>
        <w:bidi w:val="0"/>
        <w:spacing w:before="260" w:after="120"/>
        <w:ind w:hanging="0" w:start="0"/>
        <w:rPr>
          <w:rFonts w:ascii="Arial" w:hAnsi="Arial" w:eastAsia="Arial" w:cs="Arial"/>
          <w:color w:val="000000"/>
        </w:rPr>
      </w:pPr>
      <w:r>
        <w:rPr>
          <w:rFonts w:eastAsia="Arial" w:cs="Arial"/>
          <w:color w:val="000000"/>
        </w:rPr>
        <w:t>2. Enlace al GitHub Project</w:t>
      </w:r>
    </w:p>
    <w:p>
      <w:pPr>
        <w:pStyle w:val="Normal"/>
        <w:bidi w:val="0"/>
        <w:spacing w:lineRule="exact" w:line="272" w:before="0" w:after="100"/>
        <w:rPr>
          <w:rFonts w:ascii="Arial" w:hAnsi="Arial" w:eastAsia="Arial" w:cs="Arial"/>
          <w:color w:val="000000"/>
        </w:rPr>
      </w:pPr>
      <w:r>
        <w:rPr>
          <w:rFonts w:eastAsia="Arial" w:cs="Arial" w:ascii="Arial" w:hAnsi="Arial"/>
          <w:color w:val="000000"/>
        </w:rPr>
        <w:t>Espacio reservado para el enlace del tablero que contiene el diagrama de Gantt:</w:t>
      </w:r>
    </w:p>
    <w:tbl>
      <w:tblPr>
        <w:tblW w:w="9026" w:type="dxa"/>
        <w:jc w:val="start"/>
        <w:tblInd w:w="115" w:type="dxa"/>
        <w:tblLayout w:type="fixed"/>
        <w:tblCellMar>
          <w:top w:w="45" w:type="dxa"/>
          <w:start w:w="110" w:type="dxa"/>
          <w:bottom w:w="45" w:type="dxa"/>
          <w:end w:w="110" w:type="dxa"/>
        </w:tblCellMar>
      </w:tblPr>
      <w:tblGrid>
        <w:gridCol w:w="2698"/>
        <w:gridCol w:w="6328"/>
      </w:tblGrid>
      <w:tr>
        <w:trPr>
          <w:trHeight w:val="900" w:hRule="atLeast"/>
        </w:trPr>
        <w:tc>
          <w:tcPr>
            <w:tcW w:w="269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bidi w:val="0"/>
              <w:spacing w:before="0" w:after="0"/>
              <w:rPr>
                <w:rFonts w:ascii="Arial" w:hAnsi="Arial" w:eastAsia="Arial" w:cs="Arial"/>
                <w:b/>
                <w:bCs/>
                <w:color w:val="000000"/>
                <w:sz w:val="21"/>
                <w:szCs w:val="21"/>
              </w:rPr>
            </w:pPr>
            <w:r>
              <w:rPr>
                <w:rFonts w:eastAsia="Arial" w:cs="Arial" w:ascii="Arial" w:hAnsi="Arial"/>
                <w:b/>
                <w:bCs/>
                <w:color w:val="000000"/>
                <w:sz w:val="21"/>
                <w:szCs w:val="21"/>
              </w:rPr>
              <w:t>Enlace al GitHub Project</w:t>
            </w:r>
          </w:p>
        </w:tc>
        <w:tc>
          <w:tcPr>
            <w:tcW w:w="6328" w:type="dxa"/>
            <w:tcBorders>
              <w:top w:val="single" w:sz="4" w:space="0" w:color="BFBFBF"/>
              <w:start w:val="single" w:sz="4" w:space="0" w:color="BFBFBF"/>
              <w:bottom w:val="single" w:sz="4" w:space="0" w:color="BFBFBF"/>
              <w:end w:val="single" w:sz="4" w:space="0" w:color="BFBFBF"/>
            </w:tcBorders>
            <w:vAlign w:val="center"/>
          </w:tcPr>
          <w:p>
            <w:pPr>
              <w:pStyle w:val="Normal"/>
              <w:bidi w:val="0"/>
              <w:spacing w:before="0" w:after="0"/>
              <w:rPr>
                <w:rFonts w:ascii="Arial" w:hAnsi="Arial" w:eastAsia="Arial" w:cs="Arial"/>
                <w:color w:val="000000"/>
                <w:sz w:val="21"/>
                <w:szCs w:val="21"/>
              </w:rPr>
            </w:pPr>
            <w:r>
              <w:rPr>
                <w:rFonts w:eastAsia="Arial" w:cs="Arial" w:ascii="Arial" w:hAnsi="Arial"/>
                <w:color w:val="000000"/>
                <w:sz w:val="21"/>
                <w:szCs w:val="21"/>
              </w:rPr>
              <w:t xml:space="preserve"> </w:t>
            </w:r>
            <w:r>
              <w:rPr>
                <w:rFonts w:eastAsia="Arial" w:cs="Arial" w:ascii="Arial" w:hAnsi="Arial"/>
                <w:color w:val="000000"/>
                <w:sz w:val="21"/>
                <w:szCs w:val="21"/>
              </w:rPr>
              <w:t>https://github.com/users/pro158127/projects/3/views/1</w:t>
            </w:r>
          </w:p>
        </w:tc>
      </w:tr>
      <w:tr>
        <w:trPr/>
        <w:tc>
          <w:tcPr>
            <w:tcW w:w="269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bidi w:val="0"/>
              <w:spacing w:before="0" w:after="0"/>
              <w:rPr>
                <w:rFonts w:ascii="Arial" w:hAnsi="Arial" w:eastAsia="Arial" w:cs="Arial"/>
                <w:b/>
                <w:bCs/>
                <w:color w:val="000000"/>
                <w:sz w:val="21"/>
                <w:szCs w:val="21"/>
              </w:rPr>
            </w:pPr>
            <w:r>
              <w:rPr>
                <w:rFonts w:eastAsia="Arial" w:cs="Arial" w:ascii="Arial" w:hAnsi="Arial"/>
                <w:b/>
                <w:bCs/>
                <w:color w:val="000000"/>
                <w:sz w:val="21"/>
                <w:szCs w:val="21"/>
              </w:rPr>
              <w:t>Tablero</w:t>
            </w:r>
          </w:p>
        </w:tc>
        <w:tc>
          <w:tcPr>
            <w:tcW w:w="6328" w:type="dxa"/>
            <w:tcBorders>
              <w:top w:val="single" w:sz="4" w:space="0" w:color="BFBFBF"/>
              <w:start w:val="single" w:sz="4" w:space="0" w:color="BFBFBF"/>
              <w:bottom w:val="single" w:sz="4" w:space="0" w:color="BFBFBF"/>
              <w:end w:val="single" w:sz="4" w:space="0" w:color="BFBFBF"/>
            </w:tcBorders>
            <w:vAlign w:val="center"/>
          </w:tcPr>
          <w:p>
            <w:pPr>
              <w:pStyle w:val="Normal"/>
              <w:bidi w:val="0"/>
              <w:spacing w:before="0" w:after="0"/>
              <w:rPr>
                <w:rFonts w:ascii="Arial" w:hAnsi="Arial" w:eastAsia="Arial" w:cs="Arial"/>
                <w:color w:val="000000"/>
                <w:sz w:val="21"/>
                <w:szCs w:val="21"/>
              </w:rPr>
            </w:pPr>
            <w:r>
              <w:rPr>
                <w:rFonts w:eastAsia="Arial" w:cs="Arial" w:ascii="Arial" w:hAnsi="Arial"/>
                <w:color w:val="000000"/>
                <w:sz w:val="21"/>
                <w:szCs w:val="21"/>
              </w:rPr>
              <w:t>Gastro AI-RagnarTech</w:t>
            </w:r>
          </w:p>
        </w:tc>
      </w:tr>
      <w:tr>
        <w:trPr/>
        <w:tc>
          <w:tcPr>
            <w:tcW w:w="2698" w:type="dxa"/>
            <w:tcBorders>
              <w:top w:val="single" w:sz="4" w:space="0" w:color="BFBFBF"/>
              <w:start w:val="single" w:sz="4" w:space="0" w:color="BFBFBF"/>
              <w:bottom w:val="single" w:sz="4" w:space="0" w:color="BFBFBF"/>
              <w:end w:val="single" w:sz="4" w:space="0" w:color="BFBFBF"/>
            </w:tcBorders>
            <w:shd w:fill="F2F2F2" w:val="clear"/>
            <w:vAlign w:val="center"/>
          </w:tcPr>
          <w:p>
            <w:pPr>
              <w:pStyle w:val="Normal"/>
              <w:bidi w:val="0"/>
              <w:spacing w:before="0" w:after="0"/>
              <w:rPr>
                <w:rFonts w:ascii="Arial" w:hAnsi="Arial" w:eastAsia="Arial" w:cs="Arial"/>
                <w:b/>
                <w:bCs/>
                <w:color w:val="000000"/>
                <w:sz w:val="21"/>
                <w:szCs w:val="21"/>
              </w:rPr>
            </w:pPr>
            <w:r>
              <w:rPr>
                <w:rFonts w:eastAsia="Arial" w:cs="Arial" w:ascii="Arial" w:hAnsi="Arial"/>
                <w:b/>
                <w:bCs/>
                <w:color w:val="000000"/>
                <w:sz w:val="21"/>
                <w:szCs w:val="21"/>
              </w:rPr>
              <w:t>Vista de las capturas</w:t>
            </w:r>
          </w:p>
        </w:tc>
        <w:tc>
          <w:tcPr>
            <w:tcW w:w="6328" w:type="dxa"/>
            <w:tcBorders>
              <w:top w:val="single" w:sz="4" w:space="0" w:color="BFBFBF"/>
              <w:start w:val="single" w:sz="4" w:space="0" w:color="BFBFBF"/>
              <w:bottom w:val="single" w:sz="4" w:space="0" w:color="BFBFBF"/>
              <w:end w:val="single" w:sz="4" w:space="0" w:color="BFBFBF"/>
            </w:tcBorders>
            <w:vAlign w:val="center"/>
          </w:tcPr>
          <w:p>
            <w:pPr>
              <w:pStyle w:val="Normal"/>
              <w:bidi w:val="0"/>
              <w:spacing w:before="0" w:after="0"/>
              <w:rPr>
                <w:rFonts w:ascii="Arial" w:hAnsi="Arial" w:eastAsia="Arial" w:cs="Arial"/>
                <w:color w:val="000000"/>
                <w:sz w:val="21"/>
                <w:szCs w:val="21"/>
              </w:rPr>
            </w:pPr>
            <w:r>
              <w:rPr>
                <w:rFonts w:eastAsia="Arial" w:cs="Arial" w:ascii="Arial" w:hAnsi="Arial"/>
                <w:color w:val="000000"/>
                <w:sz w:val="21"/>
                <w:szCs w:val="21"/>
              </w:rPr>
              <w:t>Roadmap</w:t>
            </w:r>
          </w:p>
        </w:tc>
      </w:tr>
    </w:tbl>
    <w:p>
      <w:pPr>
        <w:pStyle w:val="Heading1"/>
        <w:keepNext w:val="true"/>
        <w:bidi w:val="0"/>
        <w:spacing w:before="260" w:after="120"/>
        <w:ind w:hanging="0" w:start="0"/>
        <w:rPr>
          <w:rFonts w:ascii="Arial" w:hAnsi="Arial" w:eastAsia="Arial" w:cs="Arial"/>
          <w:color w:val="000000"/>
        </w:rPr>
      </w:pPr>
      <w:r>
        <w:rPr>
          <w:rFonts w:eastAsia="Arial" w:cs="Arial"/>
          <w:color w:val="000000"/>
        </w:rPr>
        <w:t>3. Acerca del cronograma</w:t>
      </w:r>
    </w:p>
    <w:p>
      <w:pPr>
        <w:pStyle w:val="Heading2"/>
        <w:keepNext w:val="true"/>
        <w:bidi w:val="0"/>
        <w:spacing w:before="180" w:after="90"/>
        <w:ind w:hanging="0" w:start="0"/>
        <w:rPr>
          <w:rFonts w:ascii="Arial" w:hAnsi="Arial" w:eastAsia="Arial" w:cs="Arial"/>
          <w:color w:val="000000"/>
        </w:rPr>
      </w:pPr>
      <w:r>
        <w:rPr>
          <w:rFonts w:eastAsia="Arial" w:cs="Arial"/>
          <w:color w:val="000000"/>
        </w:rPr>
        <w:t>3.1 Alcance y enfoque</w:t>
      </w:r>
    </w:p>
    <w:p>
      <w:pPr>
        <w:pStyle w:val="Normal"/>
        <w:bidi w:val="0"/>
        <w:spacing w:lineRule="exact" w:line="272" w:before="0" w:after="100"/>
        <w:rPr>
          <w:rFonts w:ascii="Arial" w:hAnsi="Arial" w:eastAsia="Arial" w:cs="Arial"/>
          <w:color w:val="000000"/>
        </w:rPr>
      </w:pPr>
      <w:r>
        <w:rPr>
          <w:rFonts w:eastAsia="Arial" w:cs="Arial" w:ascii="Arial" w:hAnsi="Arial"/>
          <w:color w:val="000000"/>
        </w:rPr>
        <w:t>El cronograma cubre las cinco fases de la EDT del proyecto —Inicio (1.1), Planeación (1.2), Ejecución (1.3), Monitoreo y control (1.4) y Cierre (1.5)— y se desarrolla entre el lunes 10 de agosto y el viernes 11 de diciembre de 2026.</w:t>
      </w:r>
    </w:p>
    <w:p>
      <w:pPr>
        <w:pStyle w:val="Normal"/>
        <w:bidi w:val="0"/>
        <w:spacing w:lineRule="exact" w:line="272" w:before="0" w:after="100"/>
        <w:rPr>
          <w:rFonts w:ascii="Arial" w:hAnsi="Arial" w:eastAsia="Arial" w:cs="Arial"/>
          <w:color w:val="000000"/>
        </w:rPr>
      </w:pPr>
      <w:r>
        <w:rPr>
          <w:rFonts w:eastAsia="Arial" w:cs="Arial" w:ascii="Arial" w:hAnsi="Arial"/>
          <w:color w:val="000000"/>
        </w:rPr>
        <w:t>Se adoptó una planificación por sprints de una semana (de lunes a viernes). En total son 18 sprints, desde el S1 (10 de agosto) hasta el S18 (7 al 11 de diciembre). Cada tarea empieza y termina dentro de las fechas de uno o varios sprints, de modo que en el Roadmap se ve siempre dónde comienza y dónde termina.</w:t>
      </w:r>
    </w:p>
    <w:p>
      <w:pPr>
        <w:pStyle w:val="Normal"/>
        <w:bidi w:val="0"/>
        <w:spacing w:lineRule="exact" w:line="272" w:before="0" w:after="100"/>
        <w:rPr>
          <w:rFonts w:ascii="Arial" w:hAnsi="Arial" w:eastAsia="Arial" w:cs="Arial"/>
          <w:color w:val="000000"/>
        </w:rPr>
      </w:pPr>
      <w:r>
        <w:rPr>
          <w:rFonts w:eastAsia="Arial" w:cs="Arial" w:ascii="Arial" w:hAnsi="Arial"/>
          <w:color w:val="000000"/>
        </w:rPr>
        <w:t>Además, cada actividad tiene registradas sus predecesoras, es decir, las tareas que deben completarse antes. Por ejemplo, el Acta de Constitución va antes de la gestión del alcance, y la EDT antes de la lista de actividades y del cronograma.</w:t>
      </w:r>
    </w:p>
    <w:p>
      <w:pPr>
        <w:pStyle w:val="Heading2"/>
        <w:keepNext w:val="true"/>
        <w:bidi w:val="0"/>
        <w:spacing w:before="180" w:after="90"/>
        <w:ind w:hanging="0" w:start="0"/>
        <w:rPr>
          <w:rFonts w:ascii="Arial" w:hAnsi="Arial" w:eastAsia="Arial" w:cs="Arial"/>
          <w:color w:val="000000"/>
        </w:rPr>
      </w:pPr>
      <w:r>
        <w:rPr>
          <w:rFonts w:eastAsia="Arial" w:cs="Arial"/>
          <w:color w:val="000000"/>
        </w:rPr>
        <w:t>3.2 Fases y periodos</w:t>
      </w:r>
    </w:p>
    <w:tbl>
      <w:tblPr>
        <w:tblW w:w="9026" w:type="dxa"/>
        <w:jc w:val="start"/>
        <w:tblInd w:w="5" w:type="dxa"/>
        <w:tblLayout w:type="fixed"/>
        <w:tblCellMar>
          <w:top w:w="0" w:type="dxa"/>
          <w:start w:w="0" w:type="dxa"/>
          <w:bottom w:w="0" w:type="dxa"/>
          <w:end w:w="0" w:type="dxa"/>
        </w:tblCellMar>
      </w:tblPr>
      <w:tblGrid>
        <w:gridCol w:w="2000"/>
        <w:gridCol w:w="1698"/>
        <w:gridCol w:w="2326"/>
        <w:gridCol w:w="1802"/>
        <w:gridCol w:w="1200"/>
      </w:tblGrid>
      <w:tr>
        <w:trPr/>
        <w:tc>
          <w:tcPr>
            <w:tcW w:w="2000"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Fase (Status)</w:t>
            </w:r>
          </w:p>
        </w:tc>
        <w:tc>
          <w:tcPr>
            <w:tcW w:w="1698"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Paquete EDT</w:t>
            </w:r>
          </w:p>
        </w:tc>
        <w:tc>
          <w:tcPr>
            <w:tcW w:w="2326"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Tarjetas generadas</w:t>
            </w:r>
          </w:p>
        </w:tc>
        <w:tc>
          <w:tcPr>
            <w:tcW w:w="1802"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Periodo</w:t>
            </w:r>
          </w:p>
        </w:tc>
        <w:tc>
          <w:tcPr>
            <w:tcW w:w="1200"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Sprints</w:t>
            </w:r>
          </w:p>
        </w:tc>
      </w:tr>
      <w:tr>
        <w:trPr>
          <w:cantSplit/>
        </w:trPr>
        <w:tc>
          <w:tcPr>
            <w:tcW w:w="2000"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Inicio</w:t>
            </w:r>
          </w:p>
        </w:tc>
        <w:tc>
          <w:tcPr>
            <w:tcW w:w="16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1.1</w:t>
            </w:r>
          </w:p>
        </w:tc>
        <w:tc>
          <w:tcPr>
            <w:tcW w:w="2326"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8 actividades</w:t>
            </w:r>
          </w:p>
        </w:tc>
        <w:tc>
          <w:tcPr>
            <w:tcW w:w="1802"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10 ago – 18 sep</w:t>
            </w:r>
          </w:p>
        </w:tc>
        <w:tc>
          <w:tcPr>
            <w:tcW w:w="1200"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S1 – S6</w:t>
            </w:r>
          </w:p>
        </w:tc>
      </w:tr>
      <w:tr>
        <w:trPr>
          <w:cantSplit/>
        </w:trPr>
        <w:tc>
          <w:tcPr>
            <w:tcW w:w="2000"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Planeación</w:t>
            </w:r>
          </w:p>
        </w:tc>
        <w:tc>
          <w:tcPr>
            <w:tcW w:w="169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1.2</w:t>
            </w:r>
          </w:p>
        </w:tc>
        <w:tc>
          <w:tcPr>
            <w:tcW w:w="2326"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30 actividades</w:t>
            </w:r>
          </w:p>
        </w:tc>
        <w:tc>
          <w:tcPr>
            <w:tcW w:w="1802"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14 sep – 30 oct</w:t>
            </w:r>
          </w:p>
        </w:tc>
        <w:tc>
          <w:tcPr>
            <w:tcW w:w="1200"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S6 – S12</w:t>
            </w:r>
          </w:p>
        </w:tc>
      </w:tr>
      <w:tr>
        <w:trPr>
          <w:cantSplit/>
        </w:trPr>
        <w:tc>
          <w:tcPr>
            <w:tcW w:w="2000"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Ejecución</w:t>
            </w:r>
          </w:p>
        </w:tc>
        <w:tc>
          <w:tcPr>
            <w:tcW w:w="16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1.3</w:t>
            </w:r>
          </w:p>
        </w:tc>
        <w:tc>
          <w:tcPr>
            <w:tcW w:w="2326"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20 paquetes de trabajo</w:t>
            </w:r>
          </w:p>
        </w:tc>
        <w:tc>
          <w:tcPr>
            <w:tcW w:w="1802"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26 oct – 11 dic</w:t>
            </w:r>
          </w:p>
        </w:tc>
        <w:tc>
          <w:tcPr>
            <w:tcW w:w="1200"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S12 – S18</w:t>
            </w:r>
          </w:p>
        </w:tc>
      </w:tr>
      <w:tr>
        <w:trPr>
          <w:cantSplit/>
        </w:trPr>
        <w:tc>
          <w:tcPr>
            <w:tcW w:w="2000"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Monitoreo y control</w:t>
            </w:r>
          </w:p>
        </w:tc>
        <w:tc>
          <w:tcPr>
            <w:tcW w:w="169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1.4</w:t>
            </w:r>
          </w:p>
        </w:tc>
        <w:tc>
          <w:tcPr>
            <w:tcW w:w="2326"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 paquete de trabajo</w:t>
            </w:r>
          </w:p>
        </w:tc>
        <w:tc>
          <w:tcPr>
            <w:tcW w:w="1802"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10 ago – 11 dic</w:t>
            </w:r>
          </w:p>
        </w:tc>
        <w:tc>
          <w:tcPr>
            <w:tcW w:w="1200"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S1 – S18</w:t>
            </w:r>
          </w:p>
        </w:tc>
      </w:tr>
      <w:tr>
        <w:trPr>
          <w:cantSplit/>
        </w:trPr>
        <w:tc>
          <w:tcPr>
            <w:tcW w:w="2000"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Cierre</w:t>
            </w:r>
          </w:p>
        </w:tc>
        <w:tc>
          <w:tcPr>
            <w:tcW w:w="16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1.5</w:t>
            </w:r>
          </w:p>
        </w:tc>
        <w:tc>
          <w:tcPr>
            <w:tcW w:w="2326"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7 paquetes de trabajo</w:t>
            </w:r>
          </w:p>
        </w:tc>
        <w:tc>
          <w:tcPr>
            <w:tcW w:w="1802"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30 nov – 11 dic</w:t>
            </w:r>
          </w:p>
        </w:tc>
        <w:tc>
          <w:tcPr>
            <w:tcW w:w="1200"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S17 – S18</w:t>
            </w:r>
          </w:p>
        </w:tc>
      </w:tr>
      <w:tr>
        <w:trPr>
          <w:cantSplit/>
        </w:trPr>
        <w:tc>
          <w:tcPr>
            <w:tcW w:w="2000"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Trazabilidad</w:t>
            </w:r>
          </w:p>
        </w:tc>
        <w:tc>
          <w:tcPr>
            <w:tcW w:w="169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Matriz de requisitos</w:t>
            </w:r>
          </w:p>
        </w:tc>
        <w:tc>
          <w:tcPr>
            <w:tcW w:w="2326"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69 requisitos</w:t>
            </w:r>
          </w:p>
        </w:tc>
        <w:tc>
          <w:tcPr>
            <w:tcW w:w="1802"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26 oct – 11 dic</w:t>
            </w:r>
          </w:p>
        </w:tc>
        <w:tc>
          <w:tcPr>
            <w:tcW w:w="1200"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S12 – S18</w:t>
            </w:r>
          </w:p>
        </w:tc>
      </w:tr>
    </w:tbl>
    <w:p>
      <w:pPr>
        <w:pStyle w:val="Normal"/>
        <w:bidi w:val="0"/>
        <w:spacing w:lineRule="exact" w:line="272" w:before="100" w:after="100"/>
        <w:rPr>
          <w:color w:val="000000"/>
        </w:rPr>
      </w:pPr>
      <w:r>
        <w:rPr>
          <w:rFonts w:eastAsia="Arial" w:cs="Arial" w:ascii="Arial" w:hAnsi="Arial"/>
          <w:color w:val="000000"/>
        </w:rPr>
        <w:t>En Inicio y Planeación se programan las actividades de la Lista de Actividades; en Ejecución, Monitoreo y control, y Cierre se programan los paquetes de trabajo de la EDT.</w:t>
      </w:r>
    </w:p>
    <w:p>
      <w:pPr>
        <w:pStyle w:val="Heading2"/>
        <w:keepNext w:val="true"/>
        <w:bidi w:val="0"/>
        <w:spacing w:before="180" w:after="90"/>
        <w:ind w:hanging="0" w:start="0"/>
        <w:rPr>
          <w:rFonts w:ascii="Arial" w:hAnsi="Arial" w:eastAsia="Arial" w:cs="Arial"/>
          <w:color w:val="000000"/>
        </w:rPr>
      </w:pPr>
      <w:r>
        <w:rPr>
          <w:rFonts w:eastAsia="Arial" w:cs="Arial"/>
          <w:color w:val="000000"/>
        </w:rPr>
        <w:t>3.3 Tarjetas del tablero</w:t>
      </w:r>
    </w:p>
    <w:p>
      <w:pPr>
        <w:pStyle w:val="Normal"/>
        <w:bidi w:val="0"/>
        <w:spacing w:lineRule="exact" w:line="272" w:before="0" w:after="100"/>
        <w:rPr>
          <w:rFonts w:ascii="Arial" w:hAnsi="Arial" w:eastAsia="Arial" w:cs="Arial"/>
          <w:color w:val="000000"/>
        </w:rPr>
      </w:pPr>
      <w:r>
        <w:rPr>
          <w:rFonts w:eastAsia="Arial" w:cs="Arial" w:ascii="Arial" w:hAnsi="Arial"/>
          <w:color w:val="000000"/>
        </w:rPr>
        <w:t>Cada actividad y cada requisito es una tarjeta individual; no se agrupan. Se generaron 135 tarjetas: 66 actividades y 69 requisitos (35 funcionales RF, 26 no funcionales RNF y 8 de modelo RM). El tablero muestra 150 elementos porque, además de estas tarjetas, conserva elementos creados antes en el proyecto (issues numerados, como #1 Matriz de Interesados o #2 Acta de Inicio).</w:t>
      </w:r>
    </w:p>
    <w:p>
      <w:pPr>
        <w:pStyle w:val="Normal"/>
        <w:bidi w:val="0"/>
        <w:spacing w:lineRule="exact" w:line="272" w:before="0" w:after="100"/>
        <w:rPr>
          <w:rFonts w:ascii="Arial" w:hAnsi="Arial" w:eastAsia="Arial" w:cs="Arial"/>
          <w:color w:val="000000"/>
        </w:rPr>
      </w:pPr>
      <w:r>
        <w:rPr>
          <w:rFonts w:eastAsia="Arial" w:cs="Arial" w:ascii="Arial" w:hAnsi="Arial"/>
          <w:color w:val="000000"/>
        </w:rPr>
        <w:t>Las tarjetas de actividad indican su responsable, el apoyo, el paquete de la EDT y las predecesoras. Las de requisito incluyen la descripción, los criterios de aceptación y los paquetes de la EDT a los que se vinculan, tomados de la matriz de trazabilidad.</w:t>
      </w:r>
    </w:p>
    <w:p>
      <w:pPr>
        <w:pStyle w:val="Heading2"/>
        <w:keepNext w:val="true"/>
        <w:bidi w:val="0"/>
        <w:spacing w:before="180" w:after="90"/>
        <w:ind w:hanging="0" w:start="0"/>
        <w:rPr>
          <w:rFonts w:ascii="Arial" w:hAnsi="Arial" w:eastAsia="Arial" w:cs="Arial"/>
          <w:color w:val="000000"/>
        </w:rPr>
      </w:pPr>
      <w:r>
        <w:rPr>
          <w:rFonts w:eastAsia="Arial" w:cs="Arial"/>
          <w:color w:val="000000"/>
        </w:rPr>
        <w:t>3.4 Campos de cada tarjeta</w:t>
      </w:r>
    </w:p>
    <w:tbl>
      <w:tblPr>
        <w:tblW w:w="9026" w:type="dxa"/>
        <w:jc w:val="start"/>
        <w:tblInd w:w="5" w:type="dxa"/>
        <w:tblLayout w:type="fixed"/>
        <w:tblCellMar>
          <w:top w:w="0" w:type="dxa"/>
          <w:start w:w="0" w:type="dxa"/>
          <w:bottom w:w="0" w:type="dxa"/>
          <w:end w:w="0" w:type="dxa"/>
        </w:tblCellMar>
      </w:tblPr>
      <w:tblGrid>
        <w:gridCol w:w="2298"/>
        <w:gridCol w:w="6728"/>
      </w:tblGrid>
      <w:tr>
        <w:trPr/>
        <w:tc>
          <w:tcPr>
            <w:tcW w:w="2298"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Campo</w:t>
            </w:r>
          </w:p>
        </w:tc>
        <w:tc>
          <w:tcPr>
            <w:tcW w:w="6728"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Qué registra</w:t>
            </w:r>
          </w:p>
        </w:tc>
      </w:tr>
      <w:tr>
        <w:trPr>
          <w:cantSplit/>
        </w:trPr>
        <w:tc>
          <w:tcPr>
            <w:tcW w:w="22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Start date / Target date</w:t>
            </w:r>
          </w:p>
        </w:tc>
        <w:tc>
          <w:tcPr>
            <w:tcW w:w="672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Fecha de inicio (lunes del primer sprint) y de fin (viernes del último sprint). Definen la barra del Roadmap.</w:t>
            </w:r>
          </w:p>
        </w:tc>
      </w:tr>
      <w:tr>
        <w:trPr>
          <w:cantSplit/>
        </w:trPr>
        <w:tc>
          <w:tcPr>
            <w:tcW w:w="229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Status</w:t>
            </w:r>
          </w:p>
        </w:tc>
        <w:tc>
          <w:tcPr>
            <w:tcW w:w="672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Fase del proyecto: Inicio, Planeación, Ejecución, Monitoreo y control, Cierre o Trazabilidad.</w:t>
            </w:r>
          </w:p>
        </w:tc>
      </w:tr>
      <w:tr>
        <w:trPr>
          <w:cantSplit/>
        </w:trPr>
        <w:tc>
          <w:tcPr>
            <w:tcW w:w="22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Avance</w:t>
            </w:r>
          </w:p>
        </w:tc>
        <w:tc>
          <w:tcPr>
            <w:tcW w:w="672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Estado de la tarjeta: Pendiente, En curso o Hecho.</w:t>
            </w:r>
          </w:p>
        </w:tc>
      </w:tr>
      <w:tr>
        <w:trPr>
          <w:cantSplit/>
        </w:trPr>
        <w:tc>
          <w:tcPr>
            <w:tcW w:w="229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Tipo</w:t>
            </w:r>
          </w:p>
        </w:tc>
        <w:tc>
          <w:tcPr>
            <w:tcW w:w="672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Actividad o Requisito.</w:t>
            </w:r>
          </w:p>
        </w:tc>
      </w:tr>
      <w:tr>
        <w:trPr>
          <w:cantSplit/>
        </w:trPr>
        <w:tc>
          <w:tcPr>
            <w:tcW w:w="22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Responsable / Apoyo</w:t>
            </w:r>
          </w:p>
        </w:tc>
        <w:tc>
          <w:tcPr>
            <w:tcW w:w="672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Persona responsable de la tarea y personas de apoyo.</w:t>
            </w:r>
          </w:p>
        </w:tc>
      </w:tr>
      <w:tr>
        <w:trPr>
          <w:cantSplit/>
        </w:trPr>
        <w:tc>
          <w:tcPr>
            <w:tcW w:w="229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Sprint</w:t>
            </w:r>
          </w:p>
        </w:tc>
        <w:tc>
          <w:tcPr>
            <w:tcW w:w="672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Sprint o sprints en los que se ejecuta (por ejemplo, S6 o S13-S16).</w:t>
            </w:r>
          </w:p>
        </w:tc>
      </w:tr>
      <w:tr>
        <w:trPr>
          <w:cantSplit/>
        </w:trPr>
        <w:tc>
          <w:tcPr>
            <w:tcW w:w="22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Paquete EDT</w:t>
            </w:r>
          </w:p>
        </w:tc>
        <w:tc>
          <w:tcPr>
            <w:tcW w:w="672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Código del paquete de la EDT al que pertenece la tarjeta.</w:t>
            </w:r>
          </w:p>
        </w:tc>
      </w:tr>
      <w:tr>
        <w:trPr>
          <w:cantSplit/>
        </w:trPr>
        <w:tc>
          <w:tcPr>
            <w:tcW w:w="229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Predecesoras</w:t>
            </w:r>
          </w:p>
        </w:tc>
        <w:tc>
          <w:tcPr>
            <w:tcW w:w="6728"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Actividades que deben terminar antes de comenzar la tarea.</w:t>
            </w:r>
          </w:p>
        </w:tc>
      </w:tr>
      <w:tr>
        <w:trPr>
          <w:cantSplit/>
        </w:trPr>
        <w:tc>
          <w:tcPr>
            <w:tcW w:w="229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Prioridad</w:t>
            </w:r>
          </w:p>
        </w:tc>
        <w:tc>
          <w:tcPr>
            <w:tcW w:w="6728"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Must, Should o Could (clasificación MoSCoW de la matriz; solo en requisitos).</w:t>
            </w:r>
          </w:p>
        </w:tc>
      </w:tr>
    </w:tbl>
    <w:p>
      <w:pPr>
        <w:pStyle w:val="Heading2"/>
        <w:keepNext w:val="true"/>
        <w:bidi w:val="0"/>
        <w:spacing w:before="180" w:after="90"/>
        <w:ind w:hanging="0" w:start="0"/>
        <w:rPr>
          <w:rFonts w:ascii="Arial" w:hAnsi="Arial" w:eastAsia="Arial" w:cs="Arial"/>
          <w:color w:val="000000"/>
        </w:rPr>
      </w:pPr>
      <w:r>
        <w:rPr>
          <w:rFonts w:eastAsia="Arial" w:cs="Arial"/>
          <w:color w:val="000000"/>
        </w:rPr>
        <w:t>3.5 Distribución de las actividades por responsable</w:t>
      </w:r>
    </w:p>
    <w:tbl>
      <w:tblPr>
        <w:tblW w:w="9026" w:type="dxa"/>
        <w:jc w:val="start"/>
        <w:tblInd w:w="5" w:type="dxa"/>
        <w:tblLayout w:type="fixed"/>
        <w:tblCellMar>
          <w:top w:w="0" w:type="dxa"/>
          <w:start w:w="0" w:type="dxa"/>
          <w:bottom w:w="0" w:type="dxa"/>
          <w:end w:w="0" w:type="dxa"/>
        </w:tblCellMar>
      </w:tblPr>
      <w:tblGrid>
        <w:gridCol w:w="5024"/>
        <w:gridCol w:w="4002"/>
      </w:tblGrid>
      <w:tr>
        <w:trPr/>
        <w:tc>
          <w:tcPr>
            <w:tcW w:w="5024"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Responsable</w:t>
            </w:r>
          </w:p>
        </w:tc>
        <w:tc>
          <w:tcPr>
            <w:tcW w:w="4002" w:type="dxa"/>
            <w:tcBorders>
              <w:top w:val="single" w:sz="16" w:space="0" w:color="000000"/>
              <w:bottom w:val="single" w:sz="16" w:space="0" w:color="000000"/>
            </w:tcBorders>
            <w:vAlign w:val="center"/>
          </w:tcPr>
          <w:p>
            <w:pPr>
              <w:pStyle w:val="Normal"/>
              <w:bidi w:val="0"/>
              <w:spacing w:before="0" w:after="0"/>
              <w:jc w:val="start"/>
              <w:rPr>
                <w:rFonts w:ascii="Liberation Sans" w:hAnsi="Liberation Sans" w:eastAsia="Arial" w:cs="Arial"/>
                <w:b/>
                <w:bCs/>
                <w:i w:val="false"/>
                <w:iCs w:val="false"/>
                <w:strike w:val="false"/>
                <w:dstrike w:val="false"/>
                <w:outline w:val="false"/>
                <w:shadow w:val="false"/>
                <w:color w:val="000000"/>
                <w:sz w:val="24"/>
                <w:szCs w:val="24"/>
                <w:u w:val="none"/>
              </w:rPr>
            </w:pPr>
            <w:r>
              <w:rPr>
                <w:rFonts w:eastAsia="Arial" w:cs="Arial" w:ascii="Liberation Sans" w:hAnsi="Liberation Sans"/>
                <w:b/>
                <w:bCs/>
                <w:i w:val="false"/>
                <w:iCs w:val="false"/>
                <w:strike w:val="false"/>
                <w:dstrike w:val="false"/>
                <w:outline w:val="false"/>
                <w:shadow w:val="false"/>
                <w:color w:val="000000"/>
                <w:sz w:val="24"/>
                <w:szCs w:val="24"/>
                <w:u w:val="none"/>
              </w:rPr>
              <w:t>Actividades como responsable</w:t>
            </w:r>
          </w:p>
        </w:tc>
      </w:tr>
      <w:tr>
        <w:trPr>
          <w:cantSplit/>
        </w:trPr>
        <w:tc>
          <w:tcPr>
            <w:tcW w:w="5024"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Cristian Sánchez</w:t>
            </w:r>
          </w:p>
        </w:tc>
        <w:tc>
          <w:tcPr>
            <w:tcW w:w="4002"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23</w:t>
            </w:r>
          </w:p>
        </w:tc>
      </w:tr>
      <w:tr>
        <w:trPr>
          <w:cantSplit/>
        </w:trPr>
        <w:tc>
          <w:tcPr>
            <w:tcW w:w="5024"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David García</w:t>
            </w:r>
          </w:p>
        </w:tc>
        <w:tc>
          <w:tcPr>
            <w:tcW w:w="4002"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14</w:t>
            </w:r>
          </w:p>
        </w:tc>
      </w:tr>
      <w:tr>
        <w:trPr>
          <w:cantSplit/>
        </w:trPr>
        <w:tc>
          <w:tcPr>
            <w:tcW w:w="5024"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Jordan Amézquita</w:t>
            </w:r>
          </w:p>
        </w:tc>
        <w:tc>
          <w:tcPr>
            <w:tcW w:w="4002"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11</w:t>
            </w:r>
          </w:p>
        </w:tc>
      </w:tr>
      <w:tr>
        <w:trPr>
          <w:cantSplit/>
        </w:trPr>
        <w:tc>
          <w:tcPr>
            <w:tcW w:w="5024"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Mónica Ruiz</w:t>
            </w:r>
          </w:p>
        </w:tc>
        <w:tc>
          <w:tcPr>
            <w:tcW w:w="4002"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10</w:t>
            </w:r>
          </w:p>
        </w:tc>
      </w:tr>
      <w:tr>
        <w:trPr>
          <w:cantSplit/>
        </w:trPr>
        <w:tc>
          <w:tcPr>
            <w:tcW w:w="5024"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Felipe Sarmiento</w:t>
            </w:r>
          </w:p>
        </w:tc>
        <w:tc>
          <w:tcPr>
            <w:tcW w:w="4002" w:type="dxa"/>
            <w:tcBorders>
              <w:top w:val="single" w:sz="4" w:space="0" w:color="BFBFBF"/>
              <w:start w:val="single" w:sz="4" w:space="0" w:color="BFBFBF"/>
              <w:bottom w:val="single" w:sz="4" w:space="0" w:color="BFBFBF"/>
              <w:end w:val="single" w:sz="4" w:space="0" w:color="BFBFBF"/>
            </w:tcBorders>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8</w:t>
            </w:r>
          </w:p>
        </w:tc>
      </w:tr>
      <w:tr>
        <w:trPr>
          <w:cantSplit/>
        </w:trPr>
        <w:tc>
          <w:tcPr>
            <w:tcW w:w="5024"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Total</w:t>
            </w:r>
          </w:p>
        </w:tc>
        <w:tc>
          <w:tcPr>
            <w:tcW w:w="4002" w:type="dxa"/>
            <w:tcBorders>
              <w:top w:val="single" w:sz="4" w:space="0" w:color="BFBFBF"/>
              <w:start w:val="single" w:sz="4" w:space="0" w:color="BFBFBF"/>
              <w:bottom w:val="single" w:sz="4" w:space="0" w:color="BFBFBF"/>
              <w:end w:val="single" w:sz="4" w:space="0" w:color="BFBFBF"/>
            </w:tcBorders>
            <w:shd w:fill="F2F2F2" w:val="clear"/>
            <w:tcMar>
              <w:top w:w="45" w:type="dxa"/>
              <w:start w:w="110" w:type="dxa"/>
              <w:bottom w:w="45" w:type="dxa"/>
              <w:end w:w="110" w:type="dxa"/>
            </w:tcMar>
            <w:vAlign w:val="center"/>
          </w:tcPr>
          <w:p>
            <w:pPr>
              <w:pStyle w:val="Normal"/>
              <w:bidi w:val="0"/>
              <w:spacing w:before="0" w:after="0"/>
              <w:rPr>
                <w:rFonts w:ascii="Arial" w:hAnsi="Arial" w:eastAsia="Arial" w:cs="Arial"/>
                <w:b w:val="false"/>
                <w:bCs w:val="false"/>
                <w:color w:val="000000"/>
                <w:sz w:val="18"/>
                <w:szCs w:val="18"/>
              </w:rPr>
            </w:pPr>
            <w:r>
              <w:rPr>
                <w:rFonts w:eastAsia="Arial" w:cs="Arial" w:ascii="Arial" w:hAnsi="Arial"/>
                <w:b w:val="false"/>
                <w:bCs w:val="false"/>
                <w:color w:val="000000"/>
                <w:sz w:val="18"/>
                <w:szCs w:val="18"/>
              </w:rPr>
              <w:t>66</w:t>
            </w:r>
          </w:p>
        </w:tc>
      </w:tr>
    </w:tbl>
    <w:p>
      <w:pPr>
        <w:pStyle w:val="Heading2"/>
        <w:keepNext w:val="true"/>
        <w:bidi w:val="0"/>
        <w:spacing w:before="180" w:after="90"/>
        <w:ind w:hanging="0" w:start="0"/>
        <w:rPr>
          <w:rFonts w:ascii="Arial" w:hAnsi="Arial" w:eastAsia="Arial" w:cs="Arial"/>
          <w:color w:val="000000"/>
        </w:rPr>
      </w:pPr>
      <w:r>
        <w:rPr>
          <w:rFonts w:eastAsia="Arial" w:cs="Arial"/>
          <w:color w:val="000000"/>
        </w:rPr>
        <w:t>3.6 Cómo leer el Roadmap</w:t>
      </w:r>
    </w:p>
    <w:p>
      <w:pPr>
        <w:pStyle w:val="ListParagraph"/>
        <w:numPr>
          <w:ilvl w:val="0"/>
          <w:numId w:val="4"/>
        </w:numPr>
        <w:bidi w:val="0"/>
        <w:spacing w:lineRule="exact" w:line="270" w:before="0" w:after="50"/>
        <w:jc w:val="start"/>
        <w:rPr>
          <w:rFonts w:ascii="Arial" w:hAnsi="Arial" w:eastAsia="Arial" w:cs="Arial"/>
          <w:color w:val="000000"/>
        </w:rPr>
      </w:pPr>
      <w:r>
        <w:rPr>
          <w:rFonts w:eastAsia="Arial" w:cs="Arial" w:ascii="Arial" w:hAnsi="Arial"/>
          <w:color w:val="000000"/>
        </w:rPr>
        <w:t>Cada barra va desde la fecha de inicio hasta la fecha de fin de la tarjeta; su longitud muestra la duración.</w:t>
      </w:r>
    </w:p>
    <w:p>
      <w:pPr>
        <w:pStyle w:val="ListParagraph"/>
        <w:numPr>
          <w:ilvl w:val="0"/>
          <w:numId w:val="2"/>
        </w:numPr>
        <w:bidi w:val="0"/>
        <w:spacing w:lineRule="exact" w:line="270" w:before="0" w:after="50"/>
        <w:jc w:val="start"/>
        <w:rPr>
          <w:rFonts w:ascii="Arial" w:hAnsi="Arial" w:eastAsia="Arial" w:cs="Arial"/>
          <w:color w:val="000000"/>
        </w:rPr>
      </w:pPr>
      <w:r>
        <w:rPr>
          <w:rFonts w:eastAsia="Arial" w:cs="Arial" w:ascii="Arial" w:hAnsi="Arial"/>
          <w:color w:val="000000"/>
        </w:rPr>
        <w:t>La línea vertical roja marca la fecha actual (en las capturas, el 13 de octubre de 2026).</w:t>
      </w:r>
    </w:p>
    <w:p>
      <w:pPr>
        <w:pStyle w:val="ListParagraph"/>
        <w:numPr>
          <w:ilvl w:val="0"/>
          <w:numId w:val="2"/>
        </w:numPr>
        <w:bidi w:val="0"/>
        <w:spacing w:lineRule="exact" w:line="270" w:before="0" w:after="50"/>
        <w:jc w:val="start"/>
        <w:rPr>
          <w:rFonts w:ascii="Arial" w:hAnsi="Arial" w:eastAsia="Arial" w:cs="Arial"/>
          <w:color w:val="000000"/>
        </w:rPr>
      </w:pPr>
      <w:r>
        <w:rPr>
          <w:rFonts w:eastAsia="Arial" w:cs="Arial" w:ascii="Arial" w:hAnsi="Arial"/>
          <w:color w:val="000000"/>
        </w:rPr>
        <w:t>El panel izquierdo agrupa las tarjetas por Status y muestra cuántas hay en cada fase.</w:t>
      </w:r>
    </w:p>
    <w:p>
      <w:pPr>
        <w:pStyle w:val="ListParagraph"/>
        <w:numPr>
          <w:ilvl w:val="0"/>
          <w:numId w:val="2"/>
        </w:numPr>
        <w:bidi w:val="0"/>
        <w:spacing w:lineRule="exact" w:line="270" w:before="0" w:after="50"/>
        <w:jc w:val="start"/>
        <w:rPr>
          <w:rFonts w:ascii="Arial" w:hAnsi="Arial" w:eastAsia="Arial" w:cs="Arial"/>
          <w:color w:val="000000"/>
        </w:rPr>
      </w:pPr>
      <w:r>
        <w:rPr>
          <w:rFonts w:eastAsia="Arial" w:cs="Arial" w:ascii="Arial" w:hAnsi="Arial"/>
          <w:color w:val="000000"/>
        </w:rPr>
        <w:t>Al pasar el cursor sobre una barra aparece su rango exacto de fechas (por ejemplo, «Mon, Nov 2 – Fri, Dec 4» en la Figura 6).</w:t>
      </w:r>
    </w:p>
    <w:p>
      <w:pPr>
        <w:pStyle w:val="ListParagraph"/>
        <w:numPr>
          <w:ilvl w:val="0"/>
          <w:numId w:val="2"/>
        </w:numPr>
        <w:bidi w:val="0"/>
        <w:spacing w:lineRule="exact" w:line="270" w:before="0" w:after="50"/>
        <w:jc w:val="start"/>
        <w:rPr>
          <w:rFonts w:ascii="Arial" w:hAnsi="Arial" w:eastAsia="Arial" w:cs="Arial"/>
          <w:color w:val="000000"/>
        </w:rPr>
      </w:pPr>
      <w:r>
        <w:rPr>
          <w:rFonts w:eastAsia="Arial" w:cs="Arial" w:ascii="Arial" w:hAnsi="Arial"/>
          <w:color w:val="000000"/>
        </w:rPr>
        <w:t>Una flecha a la izquierda de una fila indica que la tarjeta empieza antes del tramo de fechas que se está viendo.</w:t>
      </w:r>
    </w:p>
    <w:p>
      <w:pPr>
        <w:pStyle w:val="Heading1"/>
        <w:keepNext w:val="true"/>
        <w:bidi w:val="0"/>
        <w:spacing w:before="260" w:after="120"/>
        <w:ind w:hanging="0" w:start="0"/>
        <w:rPr>
          <w:rFonts w:ascii="Arial" w:hAnsi="Arial" w:eastAsia="Arial" w:cs="Arial"/>
          <w:color w:val="000000"/>
        </w:rPr>
      </w:pPr>
      <w:r>
        <w:rPr>
          <w:rFonts w:eastAsia="Arial" w:cs="Arial"/>
          <w:color w:val="000000"/>
        </w:rPr>
        <w:t>4. Evidencias del Roadmap</w:t>
      </w:r>
    </w:p>
    <w:p>
      <w:pPr>
        <w:pStyle w:val="Normal"/>
        <w:bidi w:val="0"/>
        <w:spacing w:lineRule="exact" w:line="272" w:before="0" w:after="100"/>
        <w:rPr>
          <w:rFonts w:ascii="Arial" w:hAnsi="Arial" w:eastAsia="Arial" w:cs="Arial"/>
          <w:color w:val="00000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300"/>
          <w:pgNumType w:start="1" w:fmt="decimal"/>
          <w:formProt w:val="false"/>
          <w:textDirection w:val="lrTb"/>
          <w:docGrid w:type="default" w:linePitch="360" w:charSpace="5938"/>
        </w:sectPr>
      </w:pPr>
      <w:r>
        <w:rPr>
          <w:rFonts w:eastAsia="Arial" w:cs="Arial" w:ascii="Arial" w:hAnsi="Arial"/>
          <w:color w:val="000000"/>
        </w:rPr>
        <w:t>Las siguientes siete capturas recorren el Roadmap de arriba hacia abajo y de izquierda a derecha: primero las actividades de cada fase, en orden cronológico, y al final los requisitos de la fase Trazabilidad. Cada figura va acompañada de una explicación de lo que muestra.</w:t>
      </w:r>
    </w:p>
    <w:p>
      <w:pPr>
        <w:pStyle w:val="Heading2"/>
        <w:keepNext w:val="true"/>
        <w:bidi w:val="0"/>
        <w:spacing w:before="0" w:after="100"/>
        <w:ind w:hanging="0" w:start="0"/>
        <w:rPr>
          <w:rFonts w:ascii="Arial" w:hAnsi="Arial" w:eastAsia="Arial" w:cs="Arial"/>
          <w:color w:val="000000"/>
        </w:rPr>
      </w:pPr>
      <w:r>
        <w:rPr>
          <w:rFonts w:eastAsia="Arial" w:cs="Arial"/>
          <w:color w:val="000000"/>
        </w:rPr>
        <w:t>Figura 1. Roadmap: fase de Inicio (agosto a septiembre de 2026)</w:t>
      </w:r>
    </w:p>
    <w:p>
      <w:pPr>
        <w:pStyle w:val="Normal"/>
        <w:bidi w:val="0"/>
        <w:spacing w:before="0" w:after="100"/>
        <w:jc w:val="center"/>
        <w:rPr>
          <w:color w:val="000000"/>
        </w:rPr>
      </w:pPr>
      <w:r>
        <w:rPr/>
        <w:drawing>
          <wp:inline distT="0" distB="0" distL="0" distR="0">
            <wp:extent cx="8858250" cy="4124325"/>
            <wp:effectExtent l="0" t="0" r="0" b="0"/>
            <wp:docPr id="2" name="fig1" descr="Captura del Roadmap de GitHub Projects: Figura 1. Roadmap: fase de Inicio (agosto a septiembre de 2026)" title="Figura 1. Roadmap: fase de Inicio (agosto a sept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 descr="Captura del Roadmap de GitHub Projects: Figura 1. Roadmap: fase de Inicio (agosto a septiembre de 2026)" title="Figura 1. Roadmap: fase de Inicio (agosto a septiembre de 2026)"/>
                    <pic:cNvPicPr>
                      <a:picLocks noChangeAspect="1" noChangeArrowheads="1"/>
                    </pic:cNvPicPr>
                  </pic:nvPicPr>
                  <pic:blipFill>
                    <a:blip r:embed="rId9"/>
                    <a:stretch>
                      <a:fillRect/>
                    </a:stretch>
                  </pic:blipFill>
                  <pic:spPr bwMode="auto">
                    <a:xfrm>
                      <a:off x="0" y="0"/>
                      <a:ext cx="8858250" cy="4124325"/>
                    </a:xfrm>
                    <a:prstGeom prst="rect">
                      <a:avLst/>
                    </a:prstGeom>
                    <a:noFill/>
                  </pic:spPr>
                </pic:pic>
              </a:graphicData>
            </a:graphic>
          </wp:inline>
        </w:drawing>
      </w:r>
    </w:p>
    <w:p>
      <w:pPr>
        <w:pStyle w:val="Normal"/>
        <w:bidi w:val="0"/>
        <w:spacing w:lineRule="exact" w:line="260" w:before="0" w:after="60"/>
        <w:rPr>
          <w:color w:val="000000"/>
        </w:rPr>
      </w:pPr>
      <w:r>
        <w:rPr>
          <w:rFonts w:eastAsia="Arial" w:cs="Arial" w:ascii="Arial" w:hAnsi="Arial"/>
          <w:b/>
          <w:bCs/>
          <w:color w:val="000000"/>
          <w:sz w:val="19"/>
          <w:szCs w:val="19"/>
        </w:rPr>
        <w:t xml:space="preserve">Qué se observa. </w:t>
      </w:r>
      <w:r>
        <w:rPr>
          <w:rFonts w:eastAsia="Arial" w:cs="Arial" w:ascii="Arial" w:hAnsi="Arial"/>
          <w:color w:val="000000"/>
          <w:sz w:val="19"/>
          <w:szCs w:val="19"/>
        </w:rPr>
        <w:t>Captura general del GitHub Project «Gastro AI-RagnarTech» con la vista Roadmap activa, junto a las vistas Backlog, Board, Current iteration y My items. El panel izquierdo agrupa las tarjetas por Status y muestra cuántas hay en cada fase: Elección del líder del proyecto (1), Inicio (10), Planeación (34), Ejecución (24), Monitoreo y control (3), Cierre (8) y Trazabilidad (70). La escala de tiempo empieza el 1 de agosto de 2026.</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La tarjeta 1.1.1-01 Registrar la idea del proyecto abre el cronograma (10 al 21 de agosto); le sigue 1.1.1-02 Redactar el Acta de Constitución (24 de agosto al 4 de septiembre).</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Las actividades de partes interesadas (1.1.2) y la corrección y carga del acta cierran la fase en las semanas del 7 y del 14 de septiembre.</w:t>
      </w:r>
      <w:r>
        <w:br w:type="page"/>
      </w:r>
    </w:p>
    <w:p>
      <w:pPr>
        <w:pStyle w:val="Heading2"/>
        <w:keepNext w:val="true"/>
        <w:bidi w:val="0"/>
        <w:spacing w:before="0" w:after="100"/>
        <w:ind w:hanging="0" w:start="0"/>
        <w:rPr>
          <w:rFonts w:ascii="Arial" w:hAnsi="Arial" w:eastAsia="Arial" w:cs="Arial"/>
          <w:color w:val="000000"/>
        </w:rPr>
      </w:pPr>
      <w:r>
        <w:rPr>
          <w:rFonts w:eastAsia="Arial" w:cs="Arial"/>
          <w:color w:val="000000"/>
        </w:rPr>
        <w:t>Figura 2. Roadmap: Planeación, alcance y EDT (septiembre a octubre de 2026)</w:t>
      </w:r>
    </w:p>
    <w:p>
      <w:pPr>
        <w:pStyle w:val="Normal"/>
        <w:bidi w:val="0"/>
        <w:spacing w:before="0" w:after="100"/>
        <w:jc w:val="center"/>
        <w:rPr>
          <w:color w:val="000000"/>
        </w:rPr>
      </w:pPr>
      <w:r>
        <w:rPr/>
        <w:drawing>
          <wp:inline distT="0" distB="0" distL="0" distR="0">
            <wp:extent cx="8858250" cy="4124325"/>
            <wp:effectExtent l="0" t="0" r="0" b="0"/>
            <wp:docPr id="3" name="fig2" descr="Captura del Roadmap de GitHub Projects: Figura 2. Roadmap: Planeación, alcance y EDT (septiembre a octubre de 2026)" title="Figura 2. Roadmap: Planeación, alcance y EDT (septiembre a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 descr="Captura del Roadmap de GitHub Projects: Figura 2. Roadmap: Planeación, alcance y EDT (septiembre a octubre de 2026)" title="Figura 2. Roadmap: Planeación, alcance y EDT (septiembre a octubre de 2026)"/>
                    <pic:cNvPicPr>
                      <a:picLocks noChangeAspect="1" noChangeArrowheads="1"/>
                    </pic:cNvPicPr>
                  </pic:nvPicPr>
                  <pic:blipFill>
                    <a:blip r:embed="rId10"/>
                    <a:stretch>
                      <a:fillRect/>
                    </a:stretch>
                  </pic:blipFill>
                  <pic:spPr bwMode="auto">
                    <a:xfrm>
                      <a:off x="0" y="0"/>
                      <a:ext cx="8858250" cy="4124325"/>
                    </a:xfrm>
                    <a:prstGeom prst="rect">
                      <a:avLst/>
                    </a:prstGeom>
                    <a:noFill/>
                  </pic:spPr>
                </pic:pic>
              </a:graphicData>
            </a:graphic>
          </wp:inline>
        </w:drawing>
      </w:r>
    </w:p>
    <w:p>
      <w:pPr>
        <w:pStyle w:val="Normal"/>
        <w:bidi w:val="0"/>
        <w:spacing w:lineRule="exact" w:line="260" w:before="0" w:after="60"/>
        <w:rPr>
          <w:color w:val="000000"/>
        </w:rPr>
      </w:pPr>
      <w:r>
        <w:rPr>
          <w:rFonts w:eastAsia="Arial" w:cs="Arial" w:ascii="Arial" w:hAnsi="Arial"/>
          <w:b/>
          <w:bCs/>
          <w:color w:val="000000"/>
          <w:sz w:val="19"/>
          <w:szCs w:val="19"/>
        </w:rPr>
        <w:t xml:space="preserve">Qué se observa: </w:t>
      </w:r>
      <w:r>
        <w:rPr>
          <w:rFonts w:eastAsia="Arial" w:cs="Arial" w:ascii="Arial" w:hAnsi="Arial"/>
          <w:color w:val="000000"/>
          <w:sz w:val="19"/>
          <w:szCs w:val="19"/>
        </w:rPr>
        <w:t>La escala se desplaza al periodo del 8 de septiembre a mediados de noviembre. La línea roja vertical marca la fecha actual (13 de octubre de 2026). Aquí aparecen las tarjetas de Planeación relacionadas con el plan de gestión del alcance, los requisitos y la EDT.</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Del 14 al 25 de septiembre: definir el enfoque del alcance y recopilar los requisitos (1.2.1-01 y 1.2.1-02). Del 21 de septiembre al 2 de octubre: redactar la declaración del alcance (1.2.1-03) y codificar los requisitos (1.2.1.1-01).</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Del 28 de septiembre al 2 de octubre: descomponer el alcance en la EDT (1.2.1.2-01) y vincular cada requisito con su origen (1.2.1.1-02). La semana del 5 al 9 de octubre concentra las vistas de la EDT, el diccionario de la EDT, la identificación de hitos y el enfoque del cronograma.</w:t>
      </w:r>
      <w:r>
        <w:br w:type="page"/>
      </w:r>
    </w:p>
    <w:p>
      <w:pPr>
        <w:pStyle w:val="Heading2"/>
        <w:keepNext w:val="true"/>
        <w:bidi w:val="0"/>
        <w:spacing w:before="0" w:after="100"/>
        <w:ind w:hanging="0" w:start="0"/>
        <w:rPr>
          <w:rFonts w:ascii="Arial" w:hAnsi="Arial" w:eastAsia="Arial" w:cs="Arial"/>
          <w:color w:val="000000"/>
        </w:rPr>
      </w:pPr>
      <w:r>
        <w:rPr>
          <w:rFonts w:eastAsia="Arial" w:cs="Arial"/>
          <w:color w:val="000000"/>
        </w:rPr>
        <w:t>Figura 3. Roadmap: cierre de Planeación e inicio de Ejecución (octubre a noviembre de 2026)</w:t>
      </w:r>
    </w:p>
    <w:p>
      <w:pPr>
        <w:pStyle w:val="Normal"/>
        <w:bidi w:val="0"/>
        <w:spacing w:before="0" w:after="100"/>
        <w:jc w:val="center"/>
        <w:rPr>
          <w:color w:val="000000"/>
        </w:rPr>
      </w:pPr>
      <w:r>
        <w:rPr/>
        <w:drawing>
          <wp:inline distT="0" distB="0" distL="0" distR="0">
            <wp:extent cx="8858250" cy="4162425"/>
            <wp:effectExtent l="0" t="0" r="0" b="0"/>
            <wp:docPr id="4" name="fig3" descr="Captura del Roadmap de GitHub Projects: Figura 3. Roadmap: cierre de Planeación e inicio de Ejecución (octubre a noviembre de 2026)" title="Figura 3. Roadmap: cierre de Planeación e inicio de Ejecución (octubre a nov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 descr="Captura del Roadmap de GitHub Projects: Figura 3. Roadmap: cierre de Planeación e inicio de Ejecución (octubre a noviembre de 2026)" title="Figura 3. Roadmap: cierre de Planeación e inicio de Ejecución (octubre a noviembre de 2026)"/>
                    <pic:cNvPicPr>
                      <a:picLocks noChangeAspect="1" noChangeArrowheads="1"/>
                    </pic:cNvPicPr>
                  </pic:nvPicPr>
                  <pic:blipFill>
                    <a:blip r:embed="rId11"/>
                    <a:stretch>
                      <a:fillRect/>
                    </a:stretch>
                  </pic:blipFill>
                  <pic:spPr bwMode="auto">
                    <a:xfrm>
                      <a:off x="0" y="0"/>
                      <a:ext cx="8858250" cy="4162425"/>
                    </a:xfrm>
                    <a:prstGeom prst="rect">
                      <a:avLst/>
                    </a:prstGeom>
                    <a:noFill/>
                  </pic:spPr>
                </pic:pic>
              </a:graphicData>
            </a:graphic>
          </wp:inline>
        </w:drawing>
      </w:r>
    </w:p>
    <w:p>
      <w:pPr>
        <w:pStyle w:val="Normal"/>
        <w:bidi w:val="0"/>
        <w:spacing w:lineRule="exact" w:line="260" w:before="0" w:after="60"/>
        <w:rPr>
          <w:color w:val="000000"/>
        </w:rPr>
      </w:pPr>
      <w:r>
        <w:rPr>
          <w:rFonts w:eastAsia="Arial" w:cs="Arial" w:ascii="Arial" w:hAnsi="Arial"/>
          <w:b/>
          <w:bCs/>
          <w:color w:val="000000"/>
          <w:sz w:val="19"/>
          <w:szCs w:val="19"/>
        </w:rPr>
        <w:t xml:space="preserve">Qué se observa. </w:t>
      </w:r>
      <w:r>
        <w:rPr>
          <w:rFonts w:eastAsia="Arial" w:cs="Arial" w:ascii="Arial" w:hAnsi="Arial"/>
          <w:color w:val="000000"/>
          <w:sz w:val="19"/>
          <w:szCs w:val="19"/>
        </w:rPr>
        <w:t>Muestra la transición entre las fases de Planeación y Ejecución: las tareas de calidad y cronograma de la semana del 12 de octubre, la integración del plan del proyecto y las primeras tarjetas de Ejecución. Las filas sin barra (Análisis #7, Diseño #8, Construcción #9 y Pruebas #10) son elementos del tablero sin fechas asignadas.</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1.2.2.1-03 (validar la lista de actividades y cargarla) se extiende hasta el 16 de octubre. Del 12 al 23 de octubre se trabajan los estándares y métricas de calidad (1.2.3) y la secuencia, estimación y construcción del Gantt (1.2.2.3); del 19 al 30 de octubre, la integración de los planes y la revisión del plan con el equipo (1.2.4).</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Desde el 26 de octubre empieza Ejecución con 1.3.1.1 Norma ISO/IEC/IEEE 29148-2018 y 1.3.1.2 Análisis de datasets; el 2 de noviembre se suman 1.3.3.1 (ambiente de desarrollo) y 1.3.2.1 (diseño del software).</w:t>
      </w:r>
      <w:r>
        <w:br w:type="page"/>
      </w:r>
    </w:p>
    <w:p>
      <w:pPr>
        <w:pStyle w:val="Heading2"/>
        <w:keepNext w:val="true"/>
        <w:bidi w:val="0"/>
        <w:spacing w:before="0" w:after="100"/>
        <w:ind w:hanging="0" w:start="0"/>
        <w:rPr>
          <w:rFonts w:ascii="Arial" w:hAnsi="Arial" w:eastAsia="Arial" w:cs="Arial"/>
          <w:color w:val="000000"/>
        </w:rPr>
      </w:pPr>
      <w:r>
        <w:rPr>
          <w:rFonts w:eastAsia="Arial" w:cs="Arial"/>
          <w:color w:val="000000"/>
        </w:rPr>
        <w:t>Figura 4. Roadmap: Ejecución, Monitoreo y control, y Cierre (octubre a diciembre de 2026)</w:t>
      </w:r>
    </w:p>
    <w:p>
      <w:pPr>
        <w:pStyle w:val="Normal"/>
        <w:bidi w:val="0"/>
        <w:spacing w:before="0" w:after="100"/>
        <w:jc w:val="center"/>
        <w:rPr>
          <w:color w:val="000000"/>
        </w:rPr>
      </w:pPr>
      <w:r>
        <w:rPr/>
        <w:drawing>
          <wp:inline distT="0" distB="0" distL="0" distR="0">
            <wp:extent cx="8858250" cy="4162425"/>
            <wp:effectExtent l="0" t="0" r="0" b="0"/>
            <wp:docPr id="5" name="fig4" descr="Captura del Roadmap de GitHub Projects: Figura 4. Roadmap: Ejecución, Monitoreo y control, y Cierre (octubre a diciembre de 2026)" title="Figura 4. Roadmap: Ejecución, Monitoreo y control, y Cierre (octubre a dic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 descr="Captura del Roadmap de GitHub Projects: Figura 4. Roadmap: Ejecución, Monitoreo y control, y Cierre (octubre a diciembre de 2026)" title="Figura 4. Roadmap: Ejecución, Monitoreo y control, y Cierre (octubre a diciembre de 2026)"/>
                    <pic:cNvPicPr>
                      <a:picLocks noChangeAspect="1" noChangeArrowheads="1"/>
                    </pic:cNvPicPr>
                  </pic:nvPicPr>
                  <pic:blipFill>
                    <a:blip r:embed="rId12"/>
                    <a:stretch>
                      <a:fillRect/>
                    </a:stretch>
                  </pic:blipFill>
                  <pic:spPr bwMode="auto">
                    <a:xfrm>
                      <a:off x="0" y="0"/>
                      <a:ext cx="8858250" cy="4162425"/>
                    </a:xfrm>
                    <a:prstGeom prst="rect">
                      <a:avLst/>
                    </a:prstGeom>
                    <a:noFill/>
                  </pic:spPr>
                </pic:pic>
              </a:graphicData>
            </a:graphic>
          </wp:inline>
        </w:drawing>
      </w:r>
    </w:p>
    <w:p>
      <w:pPr>
        <w:pStyle w:val="Normal"/>
        <w:bidi w:val="0"/>
        <w:spacing w:lineRule="exact" w:line="260" w:before="0" w:after="60"/>
        <w:rPr>
          <w:color w:val="000000"/>
        </w:rPr>
      </w:pPr>
      <w:r>
        <w:rPr>
          <w:rFonts w:eastAsia="Arial" w:cs="Arial" w:ascii="Arial" w:hAnsi="Arial"/>
          <w:b/>
          <w:bCs/>
          <w:color w:val="000000"/>
          <w:sz w:val="19"/>
          <w:szCs w:val="19"/>
        </w:rPr>
        <w:t xml:space="preserve">Qué se observa. </w:t>
      </w:r>
      <w:r>
        <w:rPr>
          <w:rFonts w:eastAsia="Arial" w:cs="Arial" w:ascii="Arial" w:hAnsi="Arial"/>
          <w:color w:val="000000"/>
          <w:sz w:val="19"/>
          <w:szCs w:val="19"/>
        </w:rPr>
        <w:t>Corresponde al tramo central y final del cronograma: el diseño, la construcción y las pruebas del producto, el paquete de monitoreo y control, y las entregas de cierre.</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Diseño (1.3.2.x): del 2 al 13 de noviembre. Construcción (1.3.3.x): del 2 de noviembre al 4 de diciembre; la aplicación web (1.3.3.7), el modelo de inteligencia artificial (1.3.3.6) y la matriz de pruebas unitarias (1.3.3.4) se ejecutan del 16 de noviembre al 4 de diciembre. Pruebas (1.3.4.x): del 30 de noviembre al 11 de diciembre.</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1.4.1 (formatos, plantillas y herramientas para la metodología PSP) atraviesa todo el periodo como paquete de monitoreo y control. Cierre (1.5.x), del 30 de noviembre al 11 de diciembre, reúne el manual de usuario, el video, las lecciones aprendidas, la documentación, el informe final y el acta de cierre.</w:t>
      </w:r>
      <w:r>
        <w:br w:type="page"/>
      </w:r>
    </w:p>
    <w:p>
      <w:pPr>
        <w:pStyle w:val="Heading2"/>
        <w:keepNext w:val="true"/>
        <w:bidi w:val="0"/>
        <w:spacing w:before="0" w:after="100"/>
        <w:ind w:hanging="0" w:start="0"/>
        <w:rPr>
          <w:rFonts w:ascii="Arial" w:hAnsi="Arial" w:eastAsia="Arial" w:cs="Arial"/>
          <w:color w:val="000000"/>
        </w:rPr>
      </w:pPr>
      <w:r>
        <w:rPr>
          <w:rFonts w:eastAsia="Arial" w:cs="Arial"/>
          <w:color w:val="000000"/>
        </w:rPr>
        <w:t>Figura 5. Roadmap: requisitos en Trazabilidad (usuarios, imágenes, procesamiento y modelo)</w:t>
      </w:r>
    </w:p>
    <w:p>
      <w:pPr>
        <w:pStyle w:val="Normal"/>
        <w:bidi w:val="0"/>
        <w:spacing w:before="0" w:after="100"/>
        <w:jc w:val="center"/>
        <w:rPr>
          <w:color w:val="000000"/>
        </w:rPr>
      </w:pPr>
      <w:r>
        <w:rPr/>
        <w:drawing>
          <wp:inline distT="0" distB="0" distL="0" distR="0">
            <wp:extent cx="8858250" cy="4162425"/>
            <wp:effectExtent l="0" t="0" r="0" b="0"/>
            <wp:docPr id="6" name="fig5" descr="Captura del Roadmap de GitHub Projects: Figura 5. Roadmap: requisitos en Trazabilidad (usuarios, imágenes, procesamiento y modelo)" title="Figura 5. Roadmap: requisitos en Trazabilidad (usuarios, imágenes, procesamiento y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 descr="Captura del Roadmap de GitHub Projects: Figura 5. Roadmap: requisitos en Trazabilidad (usuarios, imágenes, procesamiento y modelo)" title="Figura 5. Roadmap: requisitos en Trazabilidad (usuarios, imágenes, procesamiento y modelo)"/>
                    <pic:cNvPicPr>
                      <a:picLocks noChangeAspect="1" noChangeArrowheads="1"/>
                    </pic:cNvPicPr>
                  </pic:nvPicPr>
                  <pic:blipFill>
                    <a:blip r:embed="rId13"/>
                    <a:stretch>
                      <a:fillRect/>
                    </a:stretch>
                  </pic:blipFill>
                  <pic:spPr bwMode="auto">
                    <a:xfrm>
                      <a:off x="0" y="0"/>
                      <a:ext cx="8858250" cy="4162425"/>
                    </a:xfrm>
                    <a:prstGeom prst="rect">
                      <a:avLst/>
                    </a:prstGeom>
                    <a:noFill/>
                  </pic:spPr>
                </pic:pic>
              </a:graphicData>
            </a:graphic>
          </wp:inline>
        </w:drawing>
      </w:r>
    </w:p>
    <w:p>
      <w:pPr>
        <w:pStyle w:val="Normal"/>
        <w:bidi w:val="0"/>
        <w:spacing w:lineRule="exact" w:line="260" w:before="0" w:after="60"/>
        <w:rPr>
          <w:color w:val="000000"/>
        </w:rPr>
      </w:pPr>
      <w:r>
        <w:rPr>
          <w:rFonts w:eastAsia="Arial" w:cs="Arial" w:ascii="Arial" w:hAnsi="Arial"/>
          <w:b/>
          <w:bCs/>
          <w:color w:val="000000"/>
          <w:sz w:val="19"/>
          <w:szCs w:val="19"/>
        </w:rPr>
        <w:t xml:space="preserve">Qué se observa. </w:t>
      </w:r>
      <w:r>
        <w:rPr>
          <w:rFonts w:eastAsia="Arial" w:cs="Arial" w:ascii="Arial" w:hAnsi="Arial"/>
          <w:color w:val="000000"/>
          <w:sz w:val="19"/>
          <w:szCs w:val="19"/>
        </w:rPr>
        <w:t>Debajo de las actividades aparecen los requisitos del producto, cada uno como una tarjeta propia dentro de la fase Trazabilidad (70 elementos en el panel izquierdo). La captura muestra el final de las tarjetas de Cierre y el comienzo de los requisitos funcionales.</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RF-U01 a RF-U12 (gestión de usuarios y acceso) se programan del 2 de noviembre al 4 de diciembre. RF-D01 a RF-D04 (imágenes y observaciones) empiezan el 9 de noviembre; RF-P01 en adelante (procesamiento) y RF-M (modelo), el 16 de noviembre.</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El rango de cada barra se obtiene de los paquetes de la EDT a los que el requisito está vinculado (diseño, construcción y pruebas), según la matriz de trazabilidad.</w:t>
      </w:r>
      <w:r>
        <w:br w:type="page"/>
      </w:r>
    </w:p>
    <w:p>
      <w:pPr>
        <w:pStyle w:val="Heading2"/>
        <w:keepNext w:val="true"/>
        <w:bidi w:val="0"/>
        <w:spacing w:before="0" w:after="100"/>
        <w:ind w:hanging="0" w:start="0"/>
        <w:rPr>
          <w:rFonts w:ascii="Arial" w:hAnsi="Arial" w:eastAsia="Arial" w:cs="Arial"/>
          <w:color w:val="000000"/>
        </w:rPr>
      </w:pPr>
      <w:r>
        <w:rPr>
          <w:rFonts w:eastAsia="Arial" w:cs="Arial"/>
          <w:color w:val="000000"/>
        </w:rPr>
        <w:t>Figura 6. Roadmap: requisitos de resultados, historial, administración, dashboards y no funcionales</w:t>
      </w:r>
    </w:p>
    <w:p>
      <w:pPr>
        <w:pStyle w:val="Normal"/>
        <w:bidi w:val="0"/>
        <w:spacing w:before="0" w:after="100"/>
        <w:jc w:val="center"/>
        <w:rPr>
          <w:color w:val="000000"/>
        </w:rPr>
      </w:pPr>
      <w:r>
        <w:rPr/>
        <w:drawing>
          <wp:inline distT="0" distB="0" distL="0" distR="0">
            <wp:extent cx="8858250" cy="4162425"/>
            <wp:effectExtent l="0" t="0" r="0" b="0"/>
            <wp:docPr id="7" name="fig6" descr="Captura del Roadmap de GitHub Projects: Figura 6. Roadmap: requisitos de resultados, historial, administración, dashboards y no funcionales" title="Figura 6. Roadmap: requisitos de resultados, historial, administración, dashboards y no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 descr="Captura del Roadmap de GitHub Projects: Figura 6. Roadmap: requisitos de resultados, historial, administración, dashboards y no funcionales" title="Figura 6. Roadmap: requisitos de resultados, historial, administración, dashboards y no funcionales"/>
                    <pic:cNvPicPr>
                      <a:picLocks noChangeAspect="1" noChangeArrowheads="1"/>
                    </pic:cNvPicPr>
                  </pic:nvPicPr>
                  <pic:blipFill>
                    <a:blip r:embed="rId14"/>
                    <a:stretch>
                      <a:fillRect/>
                    </a:stretch>
                  </pic:blipFill>
                  <pic:spPr bwMode="auto">
                    <a:xfrm>
                      <a:off x="0" y="0"/>
                      <a:ext cx="8858250" cy="4162425"/>
                    </a:xfrm>
                    <a:prstGeom prst="rect">
                      <a:avLst/>
                    </a:prstGeom>
                    <a:noFill/>
                  </pic:spPr>
                </pic:pic>
              </a:graphicData>
            </a:graphic>
          </wp:inline>
        </w:drawing>
      </w:r>
    </w:p>
    <w:p>
      <w:pPr>
        <w:pStyle w:val="Normal"/>
        <w:bidi w:val="0"/>
        <w:spacing w:lineRule="exact" w:line="260" w:before="0" w:after="60"/>
        <w:rPr>
          <w:color w:val="000000"/>
        </w:rPr>
      </w:pPr>
      <w:r>
        <w:rPr>
          <w:rFonts w:eastAsia="Arial" w:cs="Arial" w:ascii="Arial" w:hAnsi="Arial"/>
          <w:b/>
          <w:bCs/>
          <w:color w:val="000000"/>
          <w:sz w:val="19"/>
          <w:szCs w:val="19"/>
        </w:rPr>
        <w:t xml:space="preserve">Qué se observa. </w:t>
      </w:r>
      <w:r>
        <w:rPr>
          <w:rFonts w:eastAsia="Arial" w:cs="Arial" w:ascii="Arial" w:hAnsi="Arial"/>
          <w:color w:val="000000"/>
          <w:sz w:val="19"/>
          <w:szCs w:val="19"/>
        </w:rPr>
        <w:t>Continúa la lista de requisitos: RF-P04, RF-M01 y RF-M03; los de resultados (RF-R01 a RF-R05), historial (RF-H01 y RF-H02), administración (RF-A01 a RF-A06) y dashboards (RF-DB01 y RF-DB02); y los requisitos no funcionales desde RNF-01.</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La mayoría va del 2 de noviembre al 4 de diciembre, porque depende del diseño de la arquitectura y de la construcción de la aplicación web. Al situar el cursor sobre una barra aparece su rango exacto: en la captura, RNF-04 (protección y anonimización de datos de imágenes) muestra «Mon, Nov 2 – Fri, Dec 4».</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RNF-10, RNF-11 y RNF-13 se extienden hasta el 11 de diciembre porque están vinculados a las pruebas del producto (1.3.4.1).</w:t>
      </w:r>
      <w:r>
        <w:br w:type="page"/>
      </w:r>
    </w:p>
    <w:p>
      <w:pPr>
        <w:pStyle w:val="Heading2"/>
        <w:keepNext w:val="true"/>
        <w:bidi w:val="0"/>
        <w:spacing w:before="0" w:after="100"/>
        <w:ind w:hanging="0" w:start="0"/>
        <w:rPr>
          <w:rFonts w:ascii="Arial" w:hAnsi="Arial" w:eastAsia="Arial" w:cs="Arial"/>
          <w:color w:val="000000"/>
        </w:rPr>
      </w:pPr>
      <w:r>
        <w:rPr>
          <w:rFonts w:eastAsia="Arial" w:cs="Arial"/>
          <w:color w:val="000000"/>
        </w:rPr>
        <w:t>Figura 7. Roadmap: requisitos no funcionales y requisitos del modelo (RM)</w:t>
      </w:r>
    </w:p>
    <w:p>
      <w:pPr>
        <w:pStyle w:val="Normal"/>
        <w:bidi w:val="0"/>
        <w:spacing w:before="0" w:after="100"/>
        <w:jc w:val="center"/>
        <w:rPr>
          <w:color w:val="000000"/>
        </w:rPr>
      </w:pPr>
      <w:r>
        <w:rPr/>
        <w:drawing>
          <wp:inline distT="0" distB="0" distL="0" distR="0">
            <wp:extent cx="8858250" cy="4162425"/>
            <wp:effectExtent l="0" t="0" r="0" b="0"/>
            <wp:docPr id="8" name="fig7" descr="Captura del Roadmap de GitHub Projects: Figura 7. Roadmap: requisitos no funcionales y requisitos del modelo (RM)" title="Figura 7. Roadmap: requisitos no funcionales y requisitos del modelo (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7" descr="Captura del Roadmap de GitHub Projects: Figura 7. Roadmap: requisitos no funcionales y requisitos del modelo (RM)" title="Figura 7. Roadmap: requisitos no funcionales y requisitos del modelo (RM)"/>
                    <pic:cNvPicPr>
                      <a:picLocks noChangeAspect="1" noChangeArrowheads="1"/>
                    </pic:cNvPicPr>
                  </pic:nvPicPr>
                  <pic:blipFill>
                    <a:blip r:embed="rId15"/>
                    <a:stretch>
                      <a:fillRect/>
                    </a:stretch>
                  </pic:blipFill>
                  <pic:spPr bwMode="auto">
                    <a:xfrm>
                      <a:off x="0" y="0"/>
                      <a:ext cx="8858250" cy="4162425"/>
                    </a:xfrm>
                    <a:prstGeom prst="rect">
                      <a:avLst/>
                    </a:prstGeom>
                    <a:noFill/>
                  </pic:spPr>
                </pic:pic>
              </a:graphicData>
            </a:graphic>
          </wp:inline>
        </w:drawing>
      </w:r>
    </w:p>
    <w:p>
      <w:pPr>
        <w:pStyle w:val="Normal"/>
        <w:bidi w:val="0"/>
        <w:spacing w:lineRule="exact" w:line="260" w:before="0" w:after="60"/>
        <w:rPr>
          <w:color w:val="000000"/>
        </w:rPr>
      </w:pPr>
      <w:r>
        <w:rPr>
          <w:rFonts w:eastAsia="Arial" w:cs="Arial" w:ascii="Arial" w:hAnsi="Arial"/>
          <w:b/>
          <w:bCs/>
          <w:color w:val="000000"/>
          <w:sz w:val="19"/>
          <w:szCs w:val="19"/>
        </w:rPr>
        <w:t xml:space="preserve">Qué se observa. </w:t>
      </w:r>
      <w:r>
        <w:rPr>
          <w:rFonts w:eastAsia="Arial" w:cs="Arial" w:ascii="Arial" w:hAnsi="Arial"/>
          <w:color w:val="000000"/>
          <w:sz w:val="19"/>
          <w:szCs w:val="19"/>
        </w:rPr>
        <w:t>Final del Roadmap: los requisitos no funcionales hasta RNF-30 y los ocho requisitos del modelo (RM-01 a RM-08); la última fila es el elemento 150 del tablero. En la parte inferior, el navegador muestra la dirección de la vista del GitHub Project.</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RNF-21 (uso exclusivo de datasets públicos y licenciados), RM-02 y RM-03 empiezan el 26 de octubre porque dependen del análisis de datasets (1.3.1.2), de las primeras actividades de Ejecución.</w:t>
      </w:r>
    </w:p>
    <w:p>
      <w:pPr>
        <w:pStyle w:val="ListParagraph"/>
        <w:numPr>
          <w:ilvl w:val="0"/>
          <w:numId w:val="2"/>
        </w:numPr>
        <w:bidi w:val="0"/>
        <w:spacing w:lineRule="exact" w:line="270" w:before="0" w:after="50"/>
        <w:jc w:val="start"/>
        <w:rPr>
          <w:rFonts w:ascii="Arial" w:hAnsi="Arial" w:eastAsia="Arial" w:cs="Arial"/>
          <w:color w:val="000000"/>
          <w:sz w:val="19"/>
          <w:szCs w:val="19"/>
        </w:rPr>
      </w:pPr>
      <w:r>
        <w:rPr>
          <w:rFonts w:eastAsia="Arial" w:cs="Arial" w:ascii="Arial" w:hAnsi="Arial"/>
          <w:color w:val="000000"/>
          <w:sz w:val="19"/>
          <w:szCs w:val="19"/>
        </w:rPr>
        <w:t>RM-01, RM-05, RM-07 y RM-08 (entrenamiento, aumento de datos, reproducibilidad y publicación del modelo) van del 16 de noviembre al 4 de diciembre, junto con la construcción del modelo (1.3.3.6). RM-04 (partición de datos por paciente) va del 9 al 20 de noviembre, ligado al pipeline de preparación de datos (1.3.3.5).</w:t>
      </w:r>
    </w:p>
    <w:sectPr>
      <w:headerReference w:type="even" r:id="rId16"/>
      <w:headerReference w:type="default" r:id="rId17"/>
      <w:headerReference w:type="first" r:id="rId18"/>
      <w:footerReference w:type="even" r:id="rId19"/>
      <w:footerReference w:type="default" r:id="rId20"/>
      <w:footerReference w:type="first" r:id="rId21"/>
      <w:type w:val="nextPage"/>
      <w:pgSz w:orient="landscape" w:w="16838" w:h="11906"/>
      <w:pgMar w:left="1000" w:right="1000" w:gutter="0" w:header="708" w:top="1000" w:footer="708" w:bottom="90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Arial" w:cs="Arial" w:ascii="Arial" w:hAnsi="Arial"/>
        <w:color w:val="595959"/>
        <w:sz w:val="16"/>
        <w:szCs w:val="16"/>
      </w:rPr>
      <w:t xml:space="preserve">Página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Arial" w:cs="Arial" w:ascii="Arial" w:hAnsi="Arial"/>
        <w:color w:val="595959"/>
        <w:sz w:val="16"/>
        <w:szCs w:val="16"/>
      </w:rPr>
      <w:t xml:space="preserve">Página </w:t>
    </w:r>
    <w:r>
      <w:rPr/>
      <w:fldChar w:fldCharType="begin"/>
    </w:r>
    <w:r>
      <w:rPr/>
      <w:instrText xml:space="preserve"> PAGE </w:instrText>
    </w:r>
    <w:r>
      <w:rPr/>
      <w:fldChar w:fldCharType="separate"/>
    </w:r>
    <w:r>
      <w:rPr/>
      <w:t>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Arial" w:cs="Arial" w:ascii="Arial" w:hAnsi="Arial"/>
        <w:color w:val="595959"/>
        <w:sz w:val="16"/>
        <w:szCs w:val="16"/>
      </w:rPr>
      <w:t xml:space="preserve">Página </w:t>
    </w:r>
    <w:r>
      <w:rPr/>
      <w:fldChar w:fldCharType="begin"/>
    </w:r>
    <w:r>
      <w:rPr/>
      <w:instrText xml:space="preserve"> PAGE </w:instrText>
    </w:r>
    <w:r>
      <w:rPr/>
      <w:fldChar w:fldCharType="separate"/>
    </w:r>
    <w:r>
      <w:rPr/>
      <w:t>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Arial" w:cs="Arial" w:ascii="Arial" w:hAnsi="Arial"/>
        <w:color w:val="595959"/>
        <w:sz w:val="16"/>
        <w:szCs w:val="16"/>
      </w:rPr>
      <w:t xml:space="preserve">Página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bidi w:val="0"/>
      <w:spacing w:before="0" w:after="0"/>
      <w:jc w:val="end"/>
      <w:rPr>
        <w:rFonts w:ascii="Arial" w:hAnsi="Arial" w:eastAsia="Arial" w:cs="Arial"/>
        <w:color w:val="595959"/>
        <w:sz w:val="16"/>
        <w:szCs w:val="16"/>
      </w:rPr>
    </w:pPr>
    <w:r>
      <w:rPr>
        <w:rFonts w:eastAsia="Arial" w:cs="Arial" w:ascii="Arial" w:hAnsi="Arial"/>
        <w:color w:val="595959"/>
        <w:sz w:val="16"/>
        <w:szCs w:val="16"/>
      </w:rPr>
      <w:t>Gastro-AI · Evidencia de Diagrama de Gantt con GitHub Projects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bidi w:val="0"/>
      <w:spacing w:before="0" w:after="0"/>
      <w:jc w:val="end"/>
      <w:rPr>
        <w:rFonts w:ascii="Arial" w:hAnsi="Arial" w:eastAsia="Arial" w:cs="Arial"/>
        <w:color w:val="595959"/>
        <w:sz w:val="16"/>
        <w:szCs w:val="16"/>
      </w:rPr>
    </w:pPr>
    <w:r>
      <w:rPr>
        <w:rFonts w:eastAsia="Arial" w:cs="Arial" w:ascii="Arial" w:hAnsi="Arial"/>
        <w:color w:val="595959"/>
        <w:sz w:val="16"/>
        <w:szCs w:val="16"/>
      </w:rPr>
      <w:t>Gastro-AI · Evidencia de Diagrama de Gantt con GitHub Projects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bidi w:val="0"/>
      <w:spacing w:before="0" w:after="0"/>
      <w:jc w:val="end"/>
      <w:rPr>
        <w:rFonts w:ascii="Arial" w:hAnsi="Arial" w:eastAsia="Arial" w:cs="Arial"/>
        <w:color w:val="595959"/>
        <w:sz w:val="16"/>
        <w:szCs w:val="16"/>
      </w:rPr>
    </w:pPr>
    <w:r>
      <w:rPr>
        <w:rFonts w:eastAsia="Arial" w:cs="Arial" w:ascii="Arial" w:hAnsi="Arial"/>
        <w:color w:val="595959"/>
        <w:sz w:val="16"/>
        <w:szCs w:val="16"/>
      </w:rPr>
      <w:t>Gastro-AI · Evidencia de Diagrama de Gantt con GitHub Projects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bidi w:val="0"/>
      <w:spacing w:before="0" w:after="0"/>
      <w:jc w:val="end"/>
      <w:rPr>
        <w:rFonts w:ascii="Arial" w:hAnsi="Arial" w:eastAsia="Arial" w:cs="Arial"/>
        <w:color w:val="595959"/>
        <w:sz w:val="16"/>
        <w:szCs w:val="16"/>
      </w:rPr>
    </w:pPr>
    <w:r>
      <w:rPr>
        <w:rFonts w:eastAsia="Arial" w:cs="Arial" w:ascii="Arial" w:hAnsi="Arial"/>
        <w:color w:val="595959"/>
        <w:sz w:val="16"/>
        <w:szCs w:val="16"/>
      </w:rPr>
      <w:t>Gastro-AI · Evidencia de Diagrama de Gantt con GitHub Projects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420"/>
  <w:autoHyphenation w:val="true"/>
  <w:hyphenationZone w:val="0"/>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s-E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Calibri" w:hAnsi="Calibri" w:eastAsia="" w:cs="" w:asciiTheme="minorHAnsi" w:cstheme="minorBidi" w:eastAsiaTheme="minorEastAsia" w:hAnsiTheme="minorHAnsi"/>
      <w:color w:val="auto"/>
      <w:kern w:val="2"/>
      <w:sz w:val="21"/>
      <w:szCs w:val="24"/>
      <w:lang w:val="en-US" w:eastAsia="zh-CN" w:bidi="ar-SA"/>
    </w:rPr>
  </w:style>
  <w:style w:type="paragraph" w:styleId="Heading1">
    <w:name w:val="heading 1"/>
    <w:basedOn w:val="Ttulouser"/>
    <w:qFormat/>
    <w:pPr>
      <w:numPr>
        <w:ilvl w:val="0"/>
        <w:numId w:val="0"/>
      </w:numPr>
      <w:spacing w:before="320" w:after="160"/>
      <w:outlineLvl w:val="0"/>
    </w:pPr>
    <w:rPr>
      <w:rFonts w:ascii="Arial" w:hAnsi="Arial" w:eastAsia="Arial" w:cs="Arial"/>
      <w:b/>
      <w:bCs/>
      <w:color w:val="1F3864"/>
      <w:sz w:val="32"/>
      <w:szCs w:val="32"/>
    </w:rPr>
  </w:style>
  <w:style w:type="paragraph" w:styleId="Heading2">
    <w:name w:val="heading 2"/>
    <w:basedOn w:val="Ttulouser"/>
    <w:qFormat/>
    <w:pPr>
      <w:numPr>
        <w:ilvl w:val="0"/>
        <w:numId w:val="0"/>
      </w:numPr>
      <w:spacing w:before="240" w:after="120"/>
      <w:outlineLvl w:val="1"/>
    </w:pPr>
    <w:rPr>
      <w:rFonts w:ascii="Arial" w:hAnsi="Arial" w:eastAsia="Arial" w:cs="Arial"/>
      <w:b/>
      <w:bCs/>
      <w:color w:val="2E75B6"/>
      <w:sz w:val="25"/>
      <w:szCs w:val="25"/>
    </w:rPr>
  </w:style>
  <w:style w:type="character" w:styleId="DefaultParagraphFont" w:default="1">
    <w:name w:val="Default Paragraph Font"/>
    <w:uiPriority w:val="0"/>
    <w:semiHidde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istParagraph">
    <w:name w:val="List Paragraph"/>
    <w:qFormat/>
    <w:pPr>
      <w:widowControl w:val="false"/>
      <w:suppressAutoHyphens w:val="true"/>
      <w:bidi w:val="0"/>
      <w:spacing w:before="0" w:after="0"/>
      <w:jc w:val="start"/>
    </w:pPr>
    <w:rPr>
      <w:rFonts w:ascii="Calibri" w:hAnsi="Calibri" w:eastAsia="" w:cs="" w:asciiTheme="minorHAnsi" w:cstheme="minorBidi" w:eastAsiaTheme="minorEastAsia" w:hAnsiTheme="minorHAnsi"/>
      <w:color w:val="auto"/>
      <w:kern w:val="0"/>
      <w:sz w:val="20"/>
      <w:szCs w:val="20"/>
      <w:lang w:val="es-ES" w:eastAsia="zh-CN" w:bidi="hi-IN"/>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table" w:default="1" w:styleId="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LibreOffice/26.2.6.3$Linux_X86_64 LibreOffice_project/620$Build-3</Application>
  <AppVersion>15.0000</AppVersion>
  <Pages>11</Pages>
  <Words>1859</Words>
  <Characters>9251</Characters>
  <CharactersWithSpaces>10966</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2018-07-11T07:11:00Z</dcterms:created>
  <dc:creator>d</dc:creator>
  <dc:description/>
  <dc:language>es-ES</dc:language>
  <cp:lastModifiedBy/>
  <dcterms:modified xsi:type="dcterms:W3CDTF">2026-10-17T18:54:23Z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2052-10.8.2.6748</vt:lpwstr>
  </property>
</Properties>
</file>