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56"/>
          <w:szCs w:val="56"/>
        </w:rPr>
        <w:t xml:space="preserve">ProAge Assessment Checks</w:t>
      </w:r>
    </w:p>
    <w:p>
      <w:pPr>
        <w:spacing w:after="0" w:before="200"/>
        <w:jc w:val="center"/>
      </w:pPr>
      <w:r>
        <w:rPr>
          <w:color w:val="555555"/>
          <w:sz w:val="32"/>
          <w:szCs w:val="32"/>
        </w:rPr>
        <w:t xml:space="preserve">Source Documentation for the 9 Checks</w:t>
      </w:r>
    </w:p>
    <w:p>
      <w:pPr>
        <w:spacing w:after="0" w:before="100"/>
        <w:jc w:val="center"/>
      </w:pPr>
      <w:r>
        <w:rPr>
          <w:i/>
          <w:iCs/>
          <w:color w:val="777777"/>
          <w:sz w:val="22"/>
          <w:szCs w:val="22"/>
        </w:rPr>
        <w:t xml:space="preserve">Compiled for the archive record — instruments, cut-offs, and citations as implemented in code</w:t>
      </w:r>
    </w:p>
    <w:p>
      <w:pPr>
        <w:spacing w:after="0" w:before="900"/>
        <w:jc w:val="center"/>
      </w:pPr>
      <w:r>
        <w:rPr>
          <w:color w:val="999999"/>
          <w:sz w:val="20"/>
          <w:szCs w:val="20"/>
        </w:rPr>
        <w:t xml:space="preserve">Prepared August 2026</w:t>
      </w:r>
    </w:p>
    <w:p>
      <w:r>
        <w:br w:type="page"/>
      </w:r>
    </w:p>
    <w:p>
      <w:pPr>
        <w:pStyle w:val="Heading1"/>
        <w:pBdr>
          <w:bottom w:val="single" w:color="1F3A5F" w:sz="6" w:space="4"/>
        </w:pBdr>
        <w:spacing w:after="200" w:before="480"/>
      </w:pPr>
      <w:r>
        <w:rPr>
          <w:b/>
          <w:bCs/>
          <w:color w:val="1F3A5F"/>
          <w:sz w:val="30"/>
          <w:szCs w:val="30"/>
        </w:rPr>
        <w:t xml:space="preserve">Purpose and methodology</w:t>
      </w:r>
    </w:p>
    <w:p>
      <w:pPr>
        <w:spacing w:after="160"/>
      </w:pPr>
      <w:r>
        <w:t xml:space="preserve">This document exists to give ProAge a defensible record of exactly what each of the 9 checks measures, what norms/cut-offs it uses, and where those norms came from — for use if the checks' scientific basis is ever questioned or audited.</w:t>
      </w:r>
    </w:p>
    <w:p>
      <w:pPr>
        <w:spacing w:after="160"/>
      </w:pPr>
      <w:r>
        <w:t xml:space="preserve">Each check below was researched in two stages. First, the scoring logic actually implemented in the ProAge app (lib/assessments/*.ts and the display strings in lib/i18n/en.ts, in the proageing-app repository) was read directly — this is the ground truth for what the app computes and displays; it is not reconstructed from memory. Second, each citation named in that code (in comments or in displayed copy) was independently looked up against academic and institutional sources, to confirm the reference is real, correctly attributed, and says what our code assumes it says.</w:t>
      </w:r>
    </w:p>
    <w:p>
      <w:pPr>
        <w:spacing w:after="160"/>
      </w:pPr>
      <w:r>
        <w:t xml:space="preserve">Every entry below states plainly what was verified and what was not. Where a citation could not be independently confirmed in this pass — most notably the Singapore MOH Clinical Practice Guideline PDFs, which returned an access error from this environment on every attempt — that is stated explicitly rather than presented as verified. Nothing here is invented to fill a gap; a missing detail is reported as missing.</w:t>
      </w:r>
    </w:p>
    <w:p>
      <w:pPr>
        <w:spacing w:after="160"/>
      </w:pPr>
      <w:r>
        <w:t xml:space="preserve">Six discrepancies were found between what our code/app states and what the independently verified sources say. Each is called out in a shaded box within its check's section, and all six are summarized in a table at the end of this document.</w:t>
      </w:r>
    </w:p>
    <w:p>
      <w:r>
        <w:br w:type="page"/>
      </w:r>
    </w:p>
    <w:p>
      <w:pPr>
        <w:pStyle w:val="Heading1"/>
        <w:pBdr>
          <w:bottom w:val="single" w:color="1F3A5F" w:sz="6" w:space="4"/>
        </w:pBdr>
        <w:spacing w:after="200" w:before="480"/>
      </w:pPr>
      <w:r>
        <w:rPr>
          <w:b/>
          <w:bCs/>
          <w:color w:val="1F3A5F"/>
          <w:sz w:val="30"/>
          <w:szCs w:val="30"/>
        </w:rPr>
        <w:t xml:space="preserve">1. Sit-to-Stand Check</w:t>
      </w:r>
    </w:p>
    <w:p>
      <w:pPr>
        <w:spacing w:after="240"/>
      </w:pPr>
      <w:r>
        <w:rPr>
          <w:i/>
          <w:iCs/>
          <w:color w:val="555555"/>
          <w:sz w:val="18"/>
          <w:szCs w:val="18"/>
        </w:rPr>
        <w:t xml:space="preserve">App source: lib/assessments/sitToStand.ts, lib/i18n/en.ts (assess.sitToStand)</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"Typical range for your group: {lo}–{hi} stands (illustrative reference, Rikli &amp; Jones Senior Fitness Test)." — no year given anywhere in the app.</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Rikli, R.E., &amp; Jones, C.J. (1999). Development and validation of a functional fitness test for community-residing older adults. Journal of Aging and Physical Activity, 7(2), 129–161.</w:t>
      </w:r>
    </w:p>
    <w:p>
      <w:pPr>
        <w:spacing w:after="100"/>
      </w:pPr>
      <w:r>
        <w:rPr>
          <w:sz w:val="22"/>
          <w:szCs w:val="22"/>
        </w:rPr>
        <w:t xml:space="preserve">Rikli, R.E., &amp; Jones, C.J. (1999). Functional fitness normative scores for community-residing older adults, ages 60–94. Journal of Aging and Physical Activity, 7(2), 162–181.</w:t>
      </w:r>
    </w:p>
    <w:p>
      <w:pPr>
        <w:pStyle w:val="Heading2"/>
        <w:spacing w:after="120" w:before="280"/>
      </w:pPr>
      <w:r>
        <w:rPr>
          <w:b/>
          <w:bCs/>
          <w:color w:val="1F3A5F"/>
          <w:sz w:val="24"/>
          <w:szCs w:val="24"/>
        </w:rPr>
        <w:t xml:space="preserve">Study details relevant to why it was used</w:t>
      </w:r>
    </w:p>
    <w:p>
      <w:pPr>
        <w:spacing w:after="160"/>
      </w:pPr>
      <w:r>
        <w:t xml:space="preserve">These two 1999 papers introduced the Senior Fitness Test (also called the Fullerton Functional Fitness Test), a six-test battery for community-dwelling older adults, and established normative scores across ages 60–94. The 30-second chair stand is one of the six tests and measures lower-body strength and endurance — the basis for our app's rep-count norms, split by sex and three age bands (60/70/80).</w:t>
      </w:r>
    </w:p>
    <w:tbl>
      <w:tblPr>
        <w:tblW w:type="dxa" w:w="9360"/>
        <w:tblBorders>
          <w:top w:val="single" w:color="D8B84A" w:sz="4"/>
          <w:left w:val="single" w:color="D8B84A" w:sz="4"/>
          <w:bottom w:val="single" w:color="D8B84A" w:sz="4"/>
          <w:right w:val="single" w:color="D8B84A" w:sz="4"/>
          <w:insideH w:val="none" w:color="FFFFFF" w:sz="0"/>
          <w:insideV w:val="none" w:color="FFFFFF" w:sz="0"/>
        </w:tblBorders>
      </w:tblPr>
      <w:tblGrid>
        <w:gridCol w:w="9360"/>
      </w:tblGrid>
      <w:tr>
        <w:tc>
          <w:tcPr>
            <w:tcW w:type="dxa" w:w="9360"/>
            <w:shd w:fill="FCEFC7" w:val="clear"/>
            <w:tcMar>
              <w:top w:type="dxa" w:w="140"/>
              <w:left w:type="dxa" w:w="180"/>
              <w:bottom w:type="dxa" w:w="140"/>
              <w:right w:type="dxa" w:w="180"/>
            </w:tcMar>
          </w:tcPr>
          <w:p>
            <w:pPr>
              <w:spacing w:after="60"/>
            </w:pPr>
            <w:r>
              <w:rPr>
                <w:b/>
                <w:bCs/>
                <w:color w:val="7A5E00"/>
                <w:sz w:val="18"/>
                <w:szCs w:val="18"/>
              </w:rPr>
              <w:t xml:space="preserve">DISCREPANCY / GAP</w:t>
            </w:r>
          </w:p>
          <w:p>
            <w:pPr>
              <w:spacing w:after="0"/>
            </w:pPr>
            <w:r>
              <w:t xml:space="preserve">Our app never states a year for this citation, in either the code comment or the displayed UI text — it just says "Rikli &amp; Jones Senior Fitness Test." The instrument's actual origin is 1999, confirmed independently above. This isn't a wrong citation, just an incomplete one as far as the app's own materials go.</w:t>
            </w:r>
          </w:p>
        </w:tc>
      </w:tr>
    </w:tbl>
    <w:p>
      <w:pPr>
        <w:spacing w:after="160"/>
      </w:pPr>
      <w:r>
        <w:t xml:space="preserve"/>
      </w:r>
    </w:p>
    <w:p>
      <w:pPr>
        <w:pStyle w:val="Heading1"/>
        <w:pBdr>
          <w:bottom w:val="single" w:color="1F3A5F" w:sz="6" w:space="4"/>
        </w:pBdr>
        <w:spacing w:after="200" w:before="480"/>
      </w:pPr>
      <w:r>
        <w:rPr>
          <w:b/>
          <w:bCs/>
          <w:color w:val="1F3A5F"/>
          <w:sz w:val="30"/>
          <w:szCs w:val="30"/>
        </w:rPr>
        <w:t xml:space="preserve">2. Balance Check (One-Leg Standing Test)</w:t>
      </w:r>
    </w:p>
    <w:p>
      <w:pPr>
        <w:spacing w:after="240"/>
      </w:pPr>
      <w:r>
        <w:rPr>
          <w:i/>
          <w:iCs/>
          <w:color w:val="555555"/>
          <w:sz w:val="18"/>
          <w:szCs w:val="18"/>
        </w:rPr>
        <w:t xml:space="preserve">App source: lib/assessments/balance.ts, app/assess/balance/page.tsx, lib/i18n/en.ts (assess.balance)</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Norms — "Seino et al., 2014" in the UI; code comment gives "Seino S, Shinkai S, Fujiwara Y, et al. PLOS ONE. 2014;9(6):e99487."</w:t>
      </w:r>
    </w:p>
    <w:p>
      <w:pPr>
        <w:spacing w:after="160"/>
      </w:pPr>
      <w:r>
        <w:rPr>
          <w:b/>
          <w:bCs/>
        </w:rPr>
        <w:t xml:space="preserve">As coded / displayed: </w:t>
      </w:r>
      <w:r>
        <w:t xml:space="preserve">Fall-risk flag (&lt;5s) — "Vellas et al., 1997" in the UI; code comment gives "Vellas B, et al. J Am Geriatr Soc. 1997;45(6):735–738."</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Seino, S., Shinkai, S., Fujiwara, Y., et al. (2014). Reference Values and Age and Sex Differences in Physical Performance Measures for Community-Dwelling Older Japanese: A Pooled Analysis of Six Cohort Studies. PLoS ONE, 9(6), e99487.</w:t>
      </w:r>
    </w:p>
    <w:p>
      <w:pPr>
        <w:spacing w:after="100"/>
      </w:pPr>
      <w:r>
        <w:rPr>
          <w:sz w:val="22"/>
          <w:szCs w:val="22"/>
        </w:rPr>
        <w:t xml:space="preserve">Vellas, B.J., Wayne, S.J., Romero, L., Baumgartner, R.N., Rubenstein, L.Z., &amp; Garry, P.J. (1997). One-Leg Balance Is an Important Predictor of Injurious Falls in Older Persons. Journal of the American Geriatrics Society, 45(6), 735–738.</w:t>
      </w:r>
    </w:p>
    <w:p>
      <w:pPr>
        <w:pStyle w:val="Heading2"/>
        <w:spacing w:after="120" w:before="280"/>
      </w:pPr>
      <w:r>
        <w:rPr>
          <w:b/>
          <w:bCs/>
          <w:color w:val="1F3A5F"/>
          <w:sz w:val="24"/>
          <w:szCs w:val="24"/>
        </w:rPr>
        <w:t xml:space="preserve">Study details relevant to why it was used</w:t>
      </w:r>
    </w:p>
    <w:p>
      <w:pPr>
        <w:spacing w:after="160"/>
      </w:pPr>
      <w:r>
        <w:t xml:space="preserve">Seino et al. pooled six cohort studies (2002–2011) from the Tokyo Metropolitan Institute of Gerontology's Longitudinal Interdisciplinary Study on Aging, covering 4,683 non-disabled, community-dwelling Japanese adults aged 65+, and reported age- and sex-specific reference values (mean ± SD) for one-leg standing time, hand-grip strength, and gait speed — our app uses only the one-leg standing values, banded into five age groups (65–69 through 85+) by sex. Vellas et al. followed 316 community-living volunteers over age 60 (mean age 73) for 3 years in the Albuquerque Falls Study and found one-leg balance under 5 seconds was an independent predictor of injurious falls — the basis for our app's separate &lt;5s warning.</w:t>
      </w:r>
    </w:p>
    <w:p>
      <w:pPr>
        <w:spacing w:after="160"/>
      </w:pPr>
      <w:r>
        <w:rPr>
          <w:i/>
          <w:iCs/>
          <w:color w:val="3D6B3D"/>
        </w:rPr>
        <w:t xml:space="preserve">No discrepancy found — app citation matches the verified source.</w:t>
      </w:r>
    </w:p>
    <w:p>
      <w:pPr>
        <w:pStyle w:val="Heading1"/>
        <w:pBdr>
          <w:bottom w:val="single" w:color="1F3A5F" w:sz="6" w:space="4"/>
        </w:pBdr>
        <w:spacing w:after="200" w:before="480"/>
      </w:pPr>
      <w:r>
        <w:rPr>
          <w:b/>
          <w:bCs/>
          <w:color w:val="1F3A5F"/>
          <w:sz w:val="30"/>
          <w:szCs w:val="30"/>
        </w:rPr>
        <w:t xml:space="preserve">3. VO2 Max &amp; Resting Heart Rate</w:t>
      </w:r>
    </w:p>
    <w:p>
      <w:pPr>
        <w:spacing w:after="240"/>
      </w:pPr>
      <w:r>
        <w:rPr>
          <w:i/>
          <w:iCs/>
          <w:color w:val="555555"/>
          <w:sz w:val="18"/>
          <w:szCs w:val="18"/>
        </w:rPr>
        <w:t xml:space="preserve">App source: lib/assessments/vo2max.ts, lib/i18n/en.ts (assess.vo2max)</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General VO2max/mortality claim — "Mandsager et al., JAMA Network Open, 2018" (displayed).</w:t>
      </w:r>
    </w:p>
    <w:p>
      <w:pPr>
        <w:spacing w:after="160"/>
      </w:pPr>
      <w:r>
        <w:rPr>
          <w:b/>
          <w:bCs/>
        </w:rPr>
        <w:t xml:space="preserve">As coded / displayed: </w:t>
      </w:r>
      <w:r>
        <w:t xml:space="preserve">Heart Rate Ratio Method (estimation formula) — "Uth et al., 2004" (displayed); code comment adds "Eur J Appl Physiol."</w:t>
      </w:r>
    </w:p>
    <w:p>
      <w:pPr>
        <w:spacing w:after="160"/>
      </w:pPr>
      <w:r>
        <w:rPr>
          <w:b/>
          <w:bCs/>
        </w:rPr>
        <w:t xml:space="preserve">As coded / displayed: </w:t>
      </w:r>
      <w:r>
        <w:t xml:space="preserve">HRmax formula (208 − 0.7×age) — attributed in the code comment only to "Tanaka, Monahan &amp; Seals (2001)"; not displayed anywhere in the app.</w:t>
      </w:r>
    </w:p>
    <w:p>
      <w:pPr>
        <w:spacing w:after="160"/>
      </w:pPr>
      <w:r>
        <w:rPr>
          <w:b/>
          <w:bCs/>
        </w:rPr>
        <w:t xml:space="preserve">As coded / displayed: </w:t>
      </w:r>
      <w:r>
        <w:t xml:space="preserve">Fitness category table — attributed to "the Cooper Institute's Aerobics Center Longitudinal Study (reproduced in ACSM's Guidelines for Exercise Testing and Prescription, 11th ed.)"; displayed to the user as "Cooper Institute / ACSM norms."</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Mandsager, K., Harb, S., Cremer, P., Phelan, D., Nissen, S.E., &amp; Jaber, W. (2018). Association of Cardiorespiratory Fitness With Long-term Mortality Among Adults Undergoing Exercise Treadmill Testing. JAMA Network Open, 1(6), e183605.</w:t>
      </w:r>
    </w:p>
    <w:p>
      <w:pPr>
        <w:spacing w:after="100"/>
      </w:pPr>
      <w:r>
        <w:rPr>
          <w:sz w:val="22"/>
          <w:szCs w:val="22"/>
        </w:rPr>
        <w:t xml:space="preserve">Uth, N., Sørensen, H., Overgaard, K., &amp; Pedersen, P.K. (2004). Estimation of V̇O2max from the ratio between HRmax and HRrest – the Heart Rate Ratio Method. European Journal of Applied Physiology, 91, 111–115.</w:t>
      </w:r>
    </w:p>
    <w:p>
      <w:pPr>
        <w:spacing w:after="100"/>
      </w:pPr>
      <w:r>
        <w:rPr>
          <w:sz w:val="22"/>
          <w:szCs w:val="22"/>
        </w:rPr>
        <w:t xml:space="preserve">Tanaka, H., Monahan, K.D., &amp; Seals, D.R. (2001). Age-predicted maximal heart rate revisited. Journal of the American College of Cardiology, 37(1), 153–156.</w:t>
      </w:r>
    </w:p>
    <w:p>
      <w:pPr>
        <w:spacing w:after="100"/>
      </w:pPr>
      <w:r>
        <w:rPr>
          <w:sz w:val="22"/>
          <w:szCs w:val="22"/>
        </w:rPr>
        <w:t xml:space="preserve">American College of Sports Medicine. ACSM's Guidelines for Exercise Testing and Prescription (11th ed.), reproducing fitness-category norms from the Cooper Institute's Aerobics Center Longitudinal Study.</w:t>
      </w:r>
    </w:p>
    <w:p>
      <w:pPr>
        <w:pStyle w:val="Heading2"/>
        <w:spacing w:after="120" w:before="280"/>
      </w:pPr>
      <w:r>
        <w:rPr>
          <w:b/>
          <w:bCs/>
          <w:color w:val="1F3A5F"/>
          <w:sz w:val="24"/>
          <w:szCs w:val="24"/>
        </w:rPr>
        <w:t xml:space="preserve">Study details relevant to why it was used</w:t>
      </w:r>
    </w:p>
    <w:p>
      <w:pPr>
        <w:spacing w:after="160"/>
      </w:pPr>
      <w:r>
        <w:t xml:space="preserve">Mandsager et al. analyzed over 122,000 adults referred for exercise treadmill testing at the Cleveland Clinic (1991–2014, median follow-up 8.4 years) and found the fittest group had roughly an 80% lower mortality risk than the least fit, with no observed upper limit of benefit. Uth et al. derived a conversion factor of ~15.3 mL·min⁻¹·kg⁻¹ between the HRmax:HRrest ratio and directly measured VO2max in a subgroup of 46 well-trained men — this factor (15.3) is used verbatim in our app's formula. Tanaka, Monahan &amp; Seals pooled 351 studies (18,712 subjects) and cross-validated in 514 subjects to produce the 208−0.7×age formula, which our app uses to estimate HRmax from age. The Cooper Institute's Aerobics Center Longitudinal Study is a multi-decade cohort of 80,000+ adults with directly measured (gas-analysis) VO2max, reproduced as normative percentile tables in the ACSM Guidelines; the specific numeric table our app hardcodes was not independently re-verified digit-for-digit against the 11th-edition textbook in this research pass — that book was not accessible from this environment.</w:t>
      </w:r>
    </w:p>
    <w:tbl>
      <w:tblPr>
        <w:tblW w:type="dxa" w:w="9360"/>
        <w:tblBorders>
          <w:top w:val="single" w:color="D8B84A" w:sz="4"/>
          <w:left w:val="single" w:color="D8B84A" w:sz="4"/>
          <w:bottom w:val="single" w:color="D8B84A" w:sz="4"/>
          <w:right w:val="single" w:color="D8B84A" w:sz="4"/>
          <w:insideH w:val="none" w:color="FFFFFF" w:sz="0"/>
          <w:insideV w:val="none" w:color="FFFFFF" w:sz="0"/>
        </w:tblBorders>
      </w:tblPr>
      <w:tblGrid>
        <w:gridCol w:w="9360"/>
      </w:tblGrid>
      <w:tr>
        <w:tc>
          <w:tcPr>
            <w:tcW w:type="dxa" w:w="9360"/>
            <w:shd w:fill="FCEFC7" w:val="clear"/>
            <w:tcMar>
              <w:top w:type="dxa" w:w="140"/>
              <w:left w:type="dxa" w:w="180"/>
              <w:bottom w:type="dxa" w:w="140"/>
              <w:right w:type="dxa" w:w="180"/>
            </w:tcMar>
          </w:tcPr>
          <w:p>
            <w:pPr>
              <w:spacing w:after="60"/>
            </w:pPr>
            <w:r>
              <w:rPr>
                <w:b/>
                <w:bCs/>
                <w:color w:val="7A5E00"/>
                <w:sz w:val="18"/>
                <w:szCs w:val="18"/>
              </w:rPr>
              <w:t xml:space="preserve">DISCREPANCY / GAP</w:t>
            </w:r>
          </w:p>
          <w:p>
            <w:pPr>
              <w:spacing w:after="0"/>
            </w:pPr>
            <w:r>
              <w:t xml:space="preserve">The Tanaka/Monahan/Seals (2001) citation for the HRmax formula exists only in a code comment. It is never shown to the user anywhere in the app, even though the formula itself is fully implemented and its result ("Max HR (bpm)") is displayed on the results screen. If this check is ever audited, the HRmax formula's origin needs to be added to the user-facing citations, not just the code.</w:t>
            </w:r>
          </w:p>
        </w:tc>
      </w:tr>
    </w:tbl>
    <w:p>
      <w:pPr>
        <w:spacing w:after="160"/>
      </w:pPr>
      <w:r>
        <w:t xml:space="preserve"/>
      </w:r>
    </w:p>
    <w:p>
      <w:pPr>
        <w:pStyle w:val="Heading1"/>
        <w:pBdr>
          <w:bottom w:val="single" w:color="1F3A5F" w:sz="6" w:space="4"/>
        </w:pBdr>
        <w:spacing w:after="200" w:before="480"/>
      </w:pPr>
      <w:r>
        <w:rPr>
          <w:b/>
          <w:bCs/>
          <w:color w:val="1F3A5F"/>
          <w:sz w:val="30"/>
          <w:szCs w:val="30"/>
        </w:rPr>
        <w:t xml:space="preserve">4. Nutrition &amp; Protein Check</w:t>
      </w:r>
    </w:p>
    <w:p>
      <w:pPr>
        <w:spacing w:after="240"/>
      </w:pPr>
      <w:r>
        <w:rPr>
          <w:i/>
          <w:iCs/>
          <w:color w:val="555555"/>
          <w:sz w:val="18"/>
          <w:szCs w:val="18"/>
        </w:rPr>
        <w:t xml:space="preserve">App source: lib/assessments/nutritionProtein.ts, lib/i18n/en.ts (assess.nutritionProtein)</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Code comment: "adapted from the Protein Screener 55+ (Wijnhoven et al., PLOS ONE, 2018)... using Singapore-relevant food items per Whitton, Ho, Rebello &amp; van Dam (Public Health Nutrition, 2018)."</w:t>
      </w:r>
    </w:p>
    <w:p>
      <w:pPr>
        <w:spacing w:after="160"/>
      </w:pPr>
      <w:r>
        <w:rPr>
          <w:b/>
          <w:bCs/>
        </w:rPr>
        <w:t xml:space="preserve">As coded / displayed: </w:t>
      </w:r>
      <w:r>
        <w:t xml:space="preserve">Displayed to the user: "Adapted from the Protein Screener 55+ (a validated Dutch tool) using food items confirmed relevant to Singapore's multi-ethnic diet." — no author names or years shown.</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Wijnhoven, H.A.H., Elstgeest, L.E.M., de Vet, H.C.W., Kruizenga, H.M., &amp; Visser, M. (2018). Development and validation of a short food questionnaire to screen for low protein intake in community-dwelling older adults: The Protein Screener 55+ (Pro55+). PLoS ONE, 13(5), e0196406.</w:t>
      </w:r>
    </w:p>
    <w:p>
      <w:pPr>
        <w:spacing w:after="100"/>
      </w:pPr>
      <w:r>
        <w:rPr>
          <w:sz w:val="22"/>
          <w:szCs w:val="22"/>
        </w:rPr>
        <w:t xml:space="preserve">Whitton, C., Ho, J.C.Y., Rebello, S.A., &amp; van Dam, R.M. (2018). Relative validity and reproducibility of dietary quality scores from a short diet screener in a multi-ethnic Asian population. Public Health Nutrition, 21(15), 2735–2743.</w:t>
      </w:r>
    </w:p>
    <w:p>
      <w:pPr>
        <w:pStyle w:val="Heading2"/>
        <w:spacing w:after="120" w:before="280"/>
      </w:pPr>
      <w:r>
        <w:rPr>
          <w:b/>
          <w:bCs/>
          <w:color w:val="1F3A5F"/>
          <w:sz w:val="24"/>
          <w:szCs w:val="24"/>
        </w:rPr>
        <w:t xml:space="preserve">Study details relevant to why it was used</w:t>
      </w:r>
    </w:p>
    <w:p>
      <w:pPr>
        <w:spacing w:after="160"/>
      </w:pPr>
      <w:r>
        <w:t xml:space="preserve">Wijnhoven et al. developed the Pro55+ screener using 1,348 older adults (ages 56–101) from the Dutch LASA cohort and externally validated it in 563 adults (ages 55–71) from the Dutch HELIUS cohort, predicting protein intake at or below 1.0 g/kg adjusted body weight/day. Whitton et al. tested a short diet screener in 161 Singapore residents (ages 18–79, Chinese/Malay/Indian ethnicity) — our app draws its Singapore-relevant food list (tofu, dairy alternatives, etc.) from this population rather than the original Dutch item set.</w:t>
      </w:r>
    </w:p>
    <w:tbl>
      <w:tblPr>
        <w:tblW w:type="dxa" w:w="9360"/>
        <w:tblBorders>
          <w:top w:val="single" w:color="D8B84A" w:sz="4"/>
          <w:left w:val="single" w:color="D8B84A" w:sz="4"/>
          <w:bottom w:val="single" w:color="D8B84A" w:sz="4"/>
          <w:right w:val="single" w:color="D8B84A" w:sz="4"/>
          <w:insideH w:val="none" w:color="FFFFFF" w:sz="0"/>
          <w:insideV w:val="none" w:color="FFFFFF" w:sz="0"/>
        </w:tblBorders>
      </w:tblPr>
      <w:tblGrid>
        <w:gridCol w:w="9360"/>
      </w:tblGrid>
      <w:tr>
        <w:tc>
          <w:tcPr>
            <w:tcW w:type="dxa" w:w="9360"/>
            <w:shd w:fill="FCEFC7" w:val="clear"/>
            <w:tcMar>
              <w:top w:type="dxa" w:w="140"/>
              <w:left w:type="dxa" w:w="180"/>
              <w:bottom w:type="dxa" w:w="140"/>
              <w:right w:type="dxa" w:w="180"/>
            </w:tcMar>
          </w:tcPr>
          <w:p>
            <w:pPr>
              <w:spacing w:after="60"/>
            </w:pPr>
            <w:r>
              <w:rPr>
                <w:b/>
                <w:bCs/>
                <w:color w:val="7A5E00"/>
                <w:sz w:val="18"/>
                <w:szCs w:val="18"/>
              </w:rPr>
              <w:t xml:space="preserve">DISCREPANCY / GAP</w:t>
            </w:r>
          </w:p>
          <w:p>
            <w:pPr>
              <w:spacing w:after="0"/>
            </w:pPr>
            <w:r>
              <w:t xml:space="preserve">Both citations are present in the app's source code comment and are also shown publicly on proageing-site's nutrition.html marketing page ("Whitton et al. 2018", "Wijnhoven") — but the app itself never surfaces either author name or year to the user. The instrument is described only as "a validated Dutch tool."</w:t>
            </w:r>
          </w:p>
        </w:tc>
      </w:tr>
    </w:tbl>
    <w:p>
      <w:pPr>
        <w:spacing w:after="160"/>
      </w:pPr>
      <w:r>
        <w:t xml:space="preserve"/>
      </w:r>
    </w:p>
    <w:p>
      <w:pPr>
        <w:pStyle w:val="Heading1"/>
        <w:pBdr>
          <w:bottom w:val="single" w:color="1F3A5F" w:sz="6" w:space="4"/>
        </w:pBdr>
        <w:spacing w:after="200" w:before="480"/>
      </w:pPr>
      <w:r>
        <w:rPr>
          <w:b/>
          <w:bCs/>
          <w:color w:val="1F3A5F"/>
          <w:sz w:val="30"/>
          <w:szCs w:val="30"/>
        </w:rPr>
        <w:t xml:space="preserve">5. Sleep Quality Check (PSQI)</w:t>
      </w:r>
    </w:p>
    <w:p>
      <w:pPr>
        <w:spacing w:after="240"/>
      </w:pPr>
      <w:r>
        <w:rPr>
          <w:i/>
          <w:iCs/>
          <w:color w:val="555555"/>
          <w:sz w:val="18"/>
          <w:szCs w:val="18"/>
        </w:rPr>
        <w:t xml:space="preserve">App source: lib/assessments/sleepQuality.ts, lib/i18n/en.ts (assess.sleepQuality)</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"A score of 5 or below is associated with good sleep quality; above 5 is associated with poor sleep quality (Buysse et al., 1989)." — matches code comment exactly.</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Buysse, D.J., Reynolds, C.F. III, Monk, T.H., Berman, S.R., &amp; Kupfer, D.J. (1989). The Pittsburgh Sleep Quality Index: A new instrument for psychiatric practice and research. Psychiatry Research, 28(2), 193–213.</w:t>
      </w:r>
    </w:p>
    <w:p>
      <w:pPr>
        <w:pStyle w:val="Heading2"/>
        <w:spacing w:after="120" w:before="280"/>
      </w:pPr>
      <w:r>
        <w:rPr>
          <w:b/>
          <w:bCs/>
          <w:color w:val="1F3A5F"/>
          <w:sz w:val="24"/>
          <w:szCs w:val="24"/>
        </w:rPr>
        <w:t xml:space="preserve">Study details relevant to why it was used</w:t>
      </w:r>
    </w:p>
    <w:p>
      <w:pPr>
        <w:spacing w:after="160"/>
      </w:pPr>
      <w:r>
        <w:t xml:space="preserve">The PSQI is one of the most widely used sleep-quality questionnaires in research and clinical care. It scores seven components (subjective quality, latency, duration, habitual efficiency, disturbances, medication use, daytime dysfunction), each 0–3, into a global score of 0–21, with 5 as the standard cut-off between "good" and "poor" sleep quality — our app implements this scoring exactly as published, including the official rule of treating a blank/no-comment write-in disturbance item as 0.</w:t>
      </w:r>
    </w:p>
    <w:p>
      <w:pPr>
        <w:spacing w:after="160"/>
      </w:pPr>
      <w:r>
        <w:rPr>
          <w:i/>
          <w:iCs/>
          <w:color w:val="3D6B3D"/>
        </w:rPr>
        <w:t xml:space="preserve">No discrepancy found — app citation matches the verified source.</w:t>
      </w:r>
    </w:p>
    <w:p>
      <w:pPr>
        <w:pStyle w:val="Heading1"/>
        <w:pBdr>
          <w:bottom w:val="single" w:color="1F3A5F" w:sz="6" w:space="4"/>
        </w:pBdr>
        <w:spacing w:after="200" w:before="480"/>
      </w:pPr>
      <w:r>
        <w:rPr>
          <w:b/>
          <w:bCs/>
          <w:color w:val="1F3A5F"/>
          <w:sz w:val="30"/>
          <w:szCs w:val="30"/>
        </w:rPr>
        <w:t xml:space="preserve">6. Connection Check (LSNS-6 + UCLA-3)</w:t>
      </w:r>
    </w:p>
    <w:p>
      <w:pPr>
        <w:spacing w:after="240"/>
      </w:pPr>
      <w:r>
        <w:rPr>
          <w:i/>
          <w:iCs/>
          <w:color w:val="555555"/>
          <w:sz w:val="18"/>
          <w:szCs w:val="18"/>
        </w:rPr>
        <w:t xml:space="preserve">App source: lib/assessments/connection.ts, lib/i18n/en.ts (assess.connection)</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Code comment: "Lubben Social Network Scale (LSNS-6; Lubben et al., The Gerontologist, 2006)" — not shown to the user; the UI names the instrument but omits the citation.</w:t>
      </w:r>
    </w:p>
    <w:p>
      <w:pPr>
        <w:spacing w:after="160"/>
      </w:pPr>
      <w:r>
        <w:rPr>
          <w:b/>
          <w:bCs/>
        </w:rPr>
        <w:t xml:space="preserve">As coded / displayed: </w:t>
      </w:r>
      <w:r>
        <w:t xml:space="preserve">"UCLA-3 Loneliness Scale" — named in the UI and code, but no author or year is given anywhere in the app.</w:t>
      </w:r>
    </w:p>
    <w:p>
      <w:pPr>
        <w:spacing w:after="160"/>
      </w:pPr>
      <w:r>
        <w:rPr>
          <w:b/>
          <w:bCs/>
        </w:rPr>
        <w:t xml:space="preserve">As coded / displayed: </w:t>
      </w:r>
      <w:r>
        <w:t xml:space="preserve">Singapore-specific thresholds (network &lt;6, loneliness ≥6) — displayed and in code as "Ge, Yap &amp; Heng, BMC Geriatrics" / "BMC Geriatrics 2022."</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Lubben, J., Blozik, E., Gillmann, G., Iliffe, S., von Renteln Kruse, W., Beck, J.C., &amp; Stuck, A.E. (2006). Performance of an Abbreviated Version of the Lubben Social Network Scale Among Three European Community-Dwelling Older Adult Populations. The Gerontologist, 46(4), 503–513.</w:t>
      </w:r>
    </w:p>
    <w:p>
      <w:pPr>
        <w:spacing w:after="100"/>
      </w:pPr>
      <w:r>
        <w:rPr>
          <w:sz w:val="22"/>
          <w:szCs w:val="22"/>
        </w:rPr>
        <w:t xml:space="preserve">Hughes, M.E., Waite, L.J., Hawkley, L.C., &amp; Cacioppo, J.T. (2004). A Short Scale for Measuring Loneliness in Large Surveys: Results From Two Population-Based Studies. Research on Aging, 26(6), 655–672. — identified independently for this document; not present anywhere in our own code, comments, or app.</w:t>
      </w:r>
    </w:p>
    <w:p>
      <w:pPr>
        <w:spacing w:after="100"/>
      </w:pPr>
      <w:r>
        <w:rPr>
          <w:sz w:val="22"/>
          <w:szCs w:val="22"/>
        </w:rPr>
        <w:t xml:space="preserve">Ge, L., Yap, C.W., &amp; Heng, B.H. (2022). Associations of social isolation, social participation, and loneliness with frailty in older adults in Singapore: a panel data analysis. BMC Geriatrics, 22, 26.</w:t>
      </w:r>
    </w:p>
    <w:p>
      <w:pPr>
        <w:pStyle w:val="Heading2"/>
        <w:spacing w:after="120" w:before="280"/>
      </w:pPr>
      <w:r>
        <w:rPr>
          <w:b/>
          <w:bCs/>
          <w:color w:val="1F3A5F"/>
          <w:sz w:val="24"/>
          <w:szCs w:val="24"/>
        </w:rPr>
        <w:t xml:space="preserve">Study details relevant to why it was used</w:t>
      </w:r>
    </w:p>
    <w:p>
      <w:pPr>
        <w:spacing w:after="160"/>
      </w:pPr>
      <w:r>
        <w:t xml:space="preserve">Lubben et al. validated the 6-item network scale across three European older-adult populations; that original paper's own proposed isolation cut-off is a score under 12 on the full 0–30 combined scale — a different scale and a different number from what our app actually applies. Hughes et al. is the origin of the 3-item UCLA loneliness scale (total range 3–9, higher = more lonely), developed for large-scale phone surveys. Ge, Yap &amp; Heng followed 606 community-dwelling Singaporeans aged 60+ (Population Health Index Survey) and found loneliness — not social isolation / network size — was longitudinally associated with frailty; our app's actual cut-offs (family/friend network &lt;6 on the 15-point subscale = "isolated," loneliness ≥6 = "lonely") come from this Singapore paper, not from Lubben's or the UCLA-3's own original norms.</w:t>
      </w:r>
    </w:p>
    <w:tbl>
      <w:tblPr>
        <w:tblW w:type="dxa" w:w="9360"/>
        <w:tblBorders>
          <w:top w:val="single" w:color="D8B84A" w:sz="4"/>
          <w:left w:val="single" w:color="D8B84A" w:sz="4"/>
          <w:bottom w:val="single" w:color="D8B84A" w:sz="4"/>
          <w:right w:val="single" w:color="D8B84A" w:sz="4"/>
          <w:insideH w:val="none" w:color="FFFFFF" w:sz="0"/>
          <w:insideV w:val="none" w:color="FFFFFF" w:sz="0"/>
        </w:tblBorders>
      </w:tblPr>
      <w:tblGrid>
        <w:gridCol w:w="9360"/>
      </w:tblGrid>
      <w:tr>
        <w:tc>
          <w:tcPr>
            <w:tcW w:type="dxa" w:w="9360"/>
            <w:shd w:fill="FCEFC7" w:val="clear"/>
            <w:tcMar>
              <w:top w:type="dxa" w:w="140"/>
              <w:left w:type="dxa" w:w="180"/>
              <w:bottom w:type="dxa" w:w="140"/>
              <w:right w:type="dxa" w:w="180"/>
            </w:tcMar>
          </w:tcPr>
          <w:p>
            <w:pPr>
              <w:spacing w:after="60"/>
            </w:pPr>
            <w:r>
              <w:rPr>
                <w:b/>
                <w:bCs/>
                <w:color w:val="7A5E00"/>
                <w:sz w:val="18"/>
                <w:szCs w:val="18"/>
              </w:rPr>
              <w:t xml:space="preserve">DISCREPANCY / GAP</w:t>
            </w:r>
          </w:p>
          <w:p>
            <w:pPr>
              <w:spacing w:after="0"/>
            </w:pPr>
            <w:r>
              <w:t xml:space="preserve">Two things worth flagging together. First, the Lubben et al. 2006 citation is in our code comment and on proageing-site's connection.html marketing page, but never shown in the app itself. Second, and more significant: our own code and app contain no citation at all for the UCLA-3 instrument's origin (Hughes et al., 2004) — that reference above was found independently for this document and does not exist anywhere in our repository today. Also worth noting for context, not as an error: the network cut-off our app uses (&lt;6 per 15-point subscale) is the Singapore-derived value, not the original Lubben et al. 2006 cut-off (&lt;12 on the combined 0–30 scale) — the app is internally consistent about this (the code comment says so explicitly), but it's easy to conflate the two if someone looks up "the LSNS-6 cutoff" and finds the original paper's different number.</w:t>
            </w:r>
          </w:p>
        </w:tc>
      </w:tr>
    </w:tbl>
    <w:p>
      <w:pPr>
        <w:spacing w:after="160"/>
      </w:pPr>
      <w:r>
        <w:t xml:space="preserve"/>
      </w:r>
    </w:p>
    <w:p>
      <w:pPr>
        <w:pStyle w:val="Heading1"/>
        <w:pBdr>
          <w:bottom w:val="single" w:color="1F3A5F" w:sz="6" w:space="4"/>
        </w:pBdr>
        <w:spacing w:after="200" w:before="480"/>
      </w:pPr>
      <w:r>
        <w:rPr>
          <w:b/>
          <w:bCs/>
          <w:color w:val="1F3A5F"/>
          <w:sz w:val="30"/>
          <w:szCs w:val="30"/>
        </w:rPr>
        <w:t xml:space="preserve">7. Cognitive Decline Risk Check (SLAS Risk Index)</w:t>
      </w:r>
    </w:p>
    <w:p>
      <w:pPr>
        <w:spacing w:after="240"/>
      </w:pPr>
      <w:r>
        <w:rPr>
          <w:i/>
          <w:iCs/>
          <w:color w:val="555555"/>
          <w:sz w:val="18"/>
          <w:szCs w:val="18"/>
        </w:rPr>
        <w:t xml:space="preserve">App source: lib/assessments/cognitiveDecline.ts, lib/i18n/en.ts (assess.cognitiveDecline)</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"Ng et al., 2021" (displayed); code comment gives "Ng TP, Lee TS, Lim WS, et al. J Prev Alzheimers Dis. 2021;8(3):335–344."</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Ng, T.P., Lee, T.S., Lim, W.S., et al. (2021). Development, Validation and Field Evaluation of the Singapore Longitudinal Ageing Study (SLAS) Risk Index for Prediction of Mild Cognitive Impairment and Dementia. The Journal of Prevention of Alzheimer's Disease, 8(3), 335–344.</w:t>
      </w:r>
    </w:p>
    <w:p>
      <w:pPr>
        <w:pStyle w:val="Heading2"/>
        <w:spacing w:after="120" w:before="280"/>
      </w:pPr>
      <w:r>
        <w:rPr>
          <w:b/>
          <w:bCs/>
          <w:color w:val="1F3A5F"/>
          <w:sz w:val="24"/>
          <w:szCs w:val="24"/>
        </w:rPr>
        <w:t xml:space="preserve">Study details relevant to why it was used</w:t>
      </w:r>
    </w:p>
    <w:p>
      <w:pPr>
        <w:spacing w:after="160"/>
      </w:pPr>
      <w:r>
        <w:t xml:space="preserve">The SLAS Risk Index is a 10-item weighted checklist (age, sex, education, depression, life satisfaction, hearing, and a 4-item cardio-metabolic count) developed and field-tested with the Singapore Longitudinal Ageing Study, involving over 400 community-living older adults, to identify a 3–5 year risk of mild cognitive impairment or dementia and to flag people who would benefit from a 6-month lifestyle-support programme. Our app implements the exact point weights and the two published cut-offs (score &lt;6 = below threshold; 6–7 = the programme's own screening threshold; ≥8 = a clinically meaningful drop in cognitive test scores).</w:t>
      </w:r>
    </w:p>
    <w:p>
      <w:pPr>
        <w:spacing w:after="160"/>
      </w:pPr>
      <w:r>
        <w:rPr>
          <w:i/>
          <w:iCs/>
          <w:color w:val="3D6B3D"/>
        </w:rPr>
        <w:t xml:space="preserve">No discrepancy found — app citation matches the verified source.</w:t>
      </w:r>
    </w:p>
    <w:p>
      <w:pPr>
        <w:pStyle w:val="Heading1"/>
        <w:pBdr>
          <w:bottom w:val="single" w:color="1F3A5F" w:sz="6" w:space="4"/>
        </w:pBdr>
        <w:spacing w:after="200" w:before="480"/>
      </w:pPr>
      <w:r>
        <w:rPr>
          <w:b/>
          <w:bCs/>
          <w:color w:val="1F3A5F"/>
          <w:sz w:val="30"/>
          <w:szCs w:val="30"/>
        </w:rPr>
        <w:t xml:space="preserve">8. Family History: Know Your Risk</w:t>
      </w:r>
    </w:p>
    <w:p>
      <w:pPr>
        <w:spacing w:after="240"/>
      </w:pPr>
      <w:r>
        <w:rPr>
          <w:i/>
          <w:iCs/>
          <w:color w:val="555555"/>
          <w:sz w:val="18"/>
          <w:szCs w:val="18"/>
        </w:rPr>
        <w:t xml:space="preserve">App source: lib/assessments/familyHistory.ts, lib/i18n/en.ts (assess.familyHistory)</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This check does not use dated academic citations. Each category result instead carries a source tag: "🇸🇬 Singapore MOH" (cardiovascular, colorectal cancer, metabolic/diabetes), "🌐 International (NCCN)" (other cancers), "🌐 International (mixed evidence)" (breast cancer), "🌐 International" (neurological).</w:t>
      </w:r>
    </w:p>
    <w:p>
      <w:pPr>
        <w:spacing w:after="160"/>
      </w:pPr>
      <w:r>
        <w:rPr>
          <w:b/>
          <w:bCs/>
        </w:rPr>
        <w:t xml:space="preserve">As coded / displayed: </w:t>
      </w:r>
      <w:r>
        <w:t xml:space="preserve">One inline citation appears in the early-onset breast cancer next-steps copy: "recent research (BCSC, 2022) questions applying this uniformly, especially for relatives diagnosed 35–45."</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Ministry of Health, Singapore. Clinical Practice Guidelines: Lipids (Dec 2016) — cited by our code as the source for the cardiovascular family-history threshold (male relative &lt;50, female relative &lt;60). Primary document could not be independently retrieved in this research pass: both a Singapore government mirror (isomer-user-content.by.gov.sg) and a Singapore Medical Journal reproduction returned HTTP 403 (access denied) from this environment on every attempt. This threshold is reported here as stated in our own application code, not independently re-confirmed against the primary guideline text today.</w:t>
      </w:r>
    </w:p>
    <w:p>
      <w:pPr>
        <w:spacing w:after="100"/>
      </w:pPr>
      <w:r>
        <w:rPr>
          <w:sz w:val="22"/>
          <w:szCs w:val="22"/>
        </w:rPr>
        <w:t xml:space="preserve">Singapore colorectal cancer screening guidance (Ministry of Health-aligned, as summarized by Singapore patient-facing clinical sources) closely matches our app's implementation: first-degree relative diagnosed at 60 or younger (or 2+ relatives affected) → start screening 10 years before the youngest diagnosis or at age 40, whichever is earlier, repeated every 5 years; relative diagnosed over 60 → start at age 50, repeated every 10 years. The primary MOH Clinical Practice Guideline document itself was not independently retrieved in this pass.</w:t>
      </w:r>
    </w:p>
    <w:p>
      <w:pPr>
        <w:spacing w:after="100"/>
      </w:pPr>
      <w:r>
        <w:rPr>
          <w:sz w:val="22"/>
          <w:szCs w:val="22"/>
        </w:rPr>
        <w:t xml:space="preserve">Durham, D.D., et al. (2022). Breast cancer incidence among women with a family history of breast cancer, by relative's age at diagnosis. Cancer. Breast Cancer Surveillance Consortium (BCSC) data, 306,147 women aged 30–59, screened 1996–2016 — found the common "screen 10 years before your relative's diagnosis age" rule may not be appropriate for all women, particularly where the relative was diagnosed between 35–45, which matches our app's own next-step copy.</w:t>
      </w:r>
    </w:p>
    <w:p>
      <w:pPr>
        <w:pStyle w:val="Heading2"/>
        <w:spacing w:after="120" w:before="280"/>
      </w:pPr>
      <w:r>
        <w:rPr>
          <w:b/>
          <w:bCs/>
          <w:color w:val="1F3A5F"/>
          <w:sz w:val="24"/>
          <w:szCs w:val="24"/>
        </w:rPr>
        <w:t xml:space="preserve">Study details relevant to why it was used</w:t>
      </w:r>
    </w:p>
    <w:p>
      <w:pPr>
        <w:spacing w:after="160"/>
      </w:pPr>
      <w:r>
        <w:t xml:space="preserve">Unlike the other 8 checks, this one has no single score or academic instrument behind it — it's four independent category flags (cardiovascular, cancer, neurological, metabolic), each keyed to an age-of-diagnosis threshold sourced from either a Singapore MOH guideline (where one exists) or an international body (NCCN for most cancers; mixed evidence for breast cancer specifically, reflected in the BCSC 2022 caveat above). The Singapore MOH diabetes-screening guideline (also cited in our code as the source for the metabolic category, including the Asian-specific BMI ≥23 risk threshold mentioned in the app's next-steps copy) exists publicly (PMC4294061) but its exact BMI figure was not independently confirmed against the primary text in this research pass either.</w:t>
      </w:r>
    </w:p>
    <w:tbl>
      <w:tblPr>
        <w:tblW w:type="dxa" w:w="9360"/>
        <w:tblBorders>
          <w:top w:val="single" w:color="D8B84A" w:sz="4"/>
          <w:left w:val="single" w:color="D8B84A" w:sz="4"/>
          <w:bottom w:val="single" w:color="D8B84A" w:sz="4"/>
          <w:right w:val="single" w:color="D8B84A" w:sz="4"/>
          <w:insideH w:val="none" w:color="FFFFFF" w:sz="0"/>
          <w:insideV w:val="none" w:color="FFFFFF" w:sz="0"/>
        </w:tblBorders>
      </w:tblPr>
      <w:tblGrid>
        <w:gridCol w:w="9360"/>
      </w:tblGrid>
      <w:tr>
        <w:tc>
          <w:tcPr>
            <w:tcW w:type="dxa" w:w="9360"/>
            <w:shd w:fill="FCEFC7" w:val="clear"/>
            <w:tcMar>
              <w:top w:type="dxa" w:w="140"/>
              <w:left w:type="dxa" w:w="180"/>
              <w:bottom w:type="dxa" w:w="140"/>
              <w:right w:type="dxa" w:w="180"/>
            </w:tcMar>
          </w:tcPr>
          <w:p>
            <w:pPr>
              <w:spacing w:after="60"/>
            </w:pPr>
            <w:r>
              <w:rPr>
                <w:b/>
                <w:bCs/>
                <w:color w:val="7A5E00"/>
                <w:sz w:val="18"/>
                <w:szCs w:val="18"/>
              </w:rPr>
              <w:t xml:space="preserve">DISCREPANCY / GAP</w:t>
            </w:r>
          </w:p>
          <w:p>
            <w:pPr>
              <w:spacing w:after="0"/>
            </w:pPr>
            <w:r>
              <w:t xml:space="preserve">Two of the three Singapore MOH Clinical Practice Guideline documents this check relies on (Lipids; Diabetes Mellitus) could not be directly retrieved from this environment — both attempts returned HTTP 403. Their specific thresholds (male &lt;50 / female &lt;60 for CVD; the Asian BMI ≥23 cut-off for diabetes) are therefore presented here exactly as our own application code states them, not as independently re-confirmed against the primary government documents. Before using this section externally in an actual audit, someone with direct access to the MOH CPG PDFs (or a subscription/portal login) should re-verify these two specific numbers against the primary source.</w:t>
            </w:r>
          </w:p>
        </w:tc>
      </w:tr>
    </w:tbl>
    <w:p>
      <w:pPr>
        <w:spacing w:after="160"/>
      </w:pPr>
      <w:r>
        <w:t xml:space="preserve"/>
      </w:r>
    </w:p>
    <w:p>
      <w:pPr>
        <w:pStyle w:val="Heading1"/>
        <w:pBdr>
          <w:bottom w:val="single" w:color="1F3A5F" w:sz="6" w:space="4"/>
        </w:pBdr>
        <w:spacing w:after="200" w:before="480"/>
      </w:pPr>
      <w:r>
        <w:rPr>
          <w:b/>
          <w:bCs/>
          <w:color w:val="1F3A5F"/>
          <w:sz w:val="30"/>
          <w:szCs w:val="30"/>
        </w:rPr>
        <w:t xml:space="preserve">9. Sense of Purpose Check (Ikigai-9)</w:t>
      </w:r>
    </w:p>
    <w:p>
      <w:pPr>
        <w:spacing w:after="240"/>
      </w:pPr>
      <w:r>
        <w:rPr>
          <w:i/>
          <w:iCs/>
          <w:color w:val="555555"/>
          <w:sz w:val="18"/>
          <w:szCs w:val="18"/>
        </w:rPr>
        <w:t xml:space="preserve">App source: lib/assessments/purpose.ts, lib/i18n/en.ts (assess.purpose)</w:t>
      </w:r>
    </w:p>
    <w:p>
      <w:pPr>
        <w:pStyle w:val="Heading2"/>
        <w:spacing w:after="120" w:before="280"/>
      </w:pPr>
      <w:r>
        <w:rPr>
          <w:b/>
          <w:bCs/>
          <w:color w:val="1F3A5F"/>
          <w:sz w:val="24"/>
          <w:szCs w:val="24"/>
        </w:rPr>
        <w:t xml:space="preserve">What the app cites</w:t>
      </w:r>
    </w:p>
    <w:p>
      <w:pPr>
        <w:spacing w:after="160"/>
      </w:pPr>
      <w:r>
        <w:rPr>
          <w:b/>
          <w:bCs/>
        </w:rPr>
        <w:t xml:space="preserve">As coded / displayed: </w:t>
      </w:r>
      <w:r>
        <w:t xml:space="preserve">Instrument — "Imai, Osada &amp; Nishi, 2012" (displayed and in code comment).</w:t>
      </w:r>
    </w:p>
    <w:p>
      <w:pPr>
        <w:spacing w:after="160"/>
      </w:pPr>
      <w:r>
        <w:rPr>
          <w:b/>
          <w:bCs/>
        </w:rPr>
        <w:t xml:space="preserve">As coded / displayed: </w:t>
      </w:r>
      <w:r>
        <w:t xml:space="preserve">Supporting mortality evidence — "Ohsaki study, Sone et al., 2008" (displayed).</w:t>
      </w:r>
    </w:p>
    <w:p>
      <w:pPr>
        <w:pStyle w:val="Heading2"/>
        <w:spacing w:after="120" w:before="280"/>
      </w:pPr>
      <w:r>
        <w:rPr>
          <w:b/>
          <w:bCs/>
          <w:color w:val="1F3A5F"/>
          <w:sz w:val="24"/>
          <w:szCs w:val="24"/>
        </w:rPr>
        <w:t xml:space="preserve">Independently verified reference</w:t>
      </w:r>
    </w:p>
    <w:p>
      <w:pPr>
        <w:spacing w:after="100"/>
      </w:pPr>
      <w:r>
        <w:rPr>
          <w:sz w:val="22"/>
          <w:szCs w:val="22"/>
        </w:rPr>
        <w:t xml:space="preserve">Imai, T., Osada, H., &amp; Nishimura, Y. (2012). The Reliability and Validity of a New Scale for Measuring the Concept of Ikigai (Ikigai-9). Japanese Journal of Public Health, 59(7), 433–440. [Original publication is in Japanese; author name transliteration and title as given by the official J-STAGE index and consistently corroborated by secondary English-language sources.]</w:t>
      </w:r>
    </w:p>
    <w:p>
      <w:pPr>
        <w:spacing w:after="100"/>
      </w:pPr>
      <w:r>
        <w:rPr>
          <w:sz w:val="22"/>
          <w:szCs w:val="22"/>
        </w:rPr>
        <w:t xml:space="preserve">Sone, T., Nakaya, N., Ohmori, K., et al. (2008). Sense of Life Worth Living (Ikigai) and Mortality in Japan: Ohsaki Study. Psychosomatic Medicine, 70(6), 709–715.</w:t>
      </w:r>
    </w:p>
    <w:p>
      <w:pPr>
        <w:pStyle w:val="Heading2"/>
        <w:spacing w:after="120" w:before="280"/>
      </w:pPr>
      <w:r>
        <w:rPr>
          <w:b/>
          <w:bCs/>
          <w:color w:val="1F3A5F"/>
          <w:sz w:val="24"/>
          <w:szCs w:val="24"/>
        </w:rPr>
        <w:t xml:space="preserve">Study details relevant to why it was used</w:t>
      </w:r>
    </w:p>
    <w:p>
      <w:pPr>
        <w:spacing w:after="160"/>
      </w:pPr>
      <w:r>
        <w:t xml:space="preserve">The Ikigai-9 is a 9-item, 5-point agreement scale (range 9–45) across three subscales — positive feelings, future orientation, and a sense that one's existence matters — with no reverse-scored items. Sone et al. followed 43,391 adults in Miyagi Prefecture for 7 years and found those who reported no sense of ikigai had a significantly higher adjusted all-cause mortality risk (HR 1.5, 95% CI 1.3–1.7) than those who did, driven mainly by cardiovascular and external-cause mortality, not cancer mortality. This is separate supporting evidence for the concept generally, not a validation of the Ikigai-9 instrument itself — Sone et al. used a single yes/no ikigai question, not the 9-item scale.</w:t>
      </w:r>
    </w:p>
    <w:tbl>
      <w:tblPr>
        <w:tblW w:type="dxa" w:w="9360"/>
        <w:tblBorders>
          <w:top w:val="single" w:color="D8B84A" w:sz="4"/>
          <w:left w:val="single" w:color="D8B84A" w:sz="4"/>
          <w:bottom w:val="single" w:color="D8B84A" w:sz="4"/>
          <w:right w:val="single" w:color="D8B84A" w:sz="4"/>
          <w:insideH w:val="none" w:color="FFFFFF" w:sz="0"/>
          <w:insideV w:val="none" w:color="FFFFFF" w:sz="0"/>
        </w:tblBorders>
      </w:tblPr>
      <w:tblGrid>
        <w:gridCol w:w="9360"/>
      </w:tblGrid>
      <w:tr>
        <w:tc>
          <w:tcPr>
            <w:tcW w:type="dxa" w:w="9360"/>
            <w:shd w:fill="FCEFC7" w:val="clear"/>
            <w:tcMar>
              <w:top w:type="dxa" w:w="140"/>
              <w:left w:type="dxa" w:w="180"/>
              <w:bottom w:type="dxa" w:w="140"/>
              <w:right w:type="dxa" w:w="180"/>
            </w:tcMar>
          </w:tcPr>
          <w:p>
            <w:pPr>
              <w:spacing w:after="60"/>
            </w:pPr>
            <w:r>
              <w:rPr>
                <w:b/>
                <w:bCs/>
                <w:color w:val="7A5E00"/>
                <w:sz w:val="18"/>
                <w:szCs w:val="18"/>
              </w:rPr>
              <w:t xml:space="preserve">DISCREPANCY / GAP</w:t>
            </w:r>
          </w:p>
          <w:p>
            <w:pPr>
              <w:spacing w:after="0"/>
            </w:pPr>
            <w:r>
              <w:t xml:space="preserve">Our code and app consistently cite the third author of the Ikigai-9's originating paper as "Nishi." The paper's official listing on J-STAGE (the Japanese academic repository) and multiple independent secondary sources give the name as "Nishimura." This looks like a genuine transcription error carried through our codebase (it appears in both the code comment and every displayed instance of this citation), not a difference of transliteration convention. Recommend correcting "Nishi" to "Nishimura" in lib/assessments/purpose.ts and lib/i18n/en.ts (and the zh.ts translation) before this citation is used in any external-facing or audit context.</w:t>
            </w:r>
          </w:p>
        </w:tc>
      </w:tr>
    </w:tbl>
    <w:p>
      <w:pPr>
        <w:spacing w:after="160"/>
      </w:pPr>
      <w:r>
        <w:t xml:space="preserve"/>
      </w:r>
    </w:p>
    <w:p>
      <w:r>
        <w:br w:type="page"/>
      </w:r>
    </w:p>
    <w:p>
      <w:pPr>
        <w:pStyle w:val="Heading1"/>
        <w:pBdr>
          <w:bottom w:val="single" w:color="1F3A5F" w:sz="6" w:space="4"/>
        </w:pBdr>
        <w:spacing w:after="200" w:before="480"/>
      </w:pPr>
      <w:r>
        <w:rPr>
          <w:b/>
          <w:bCs/>
          <w:color w:val="1F3A5F"/>
          <w:sz w:val="30"/>
          <w:szCs w:val="30"/>
        </w:rPr>
        <w:t xml:space="preserve">Summary of discrepancies and gaps</w:t>
      </w:r>
    </w:p>
    <w:p>
      <w:pPr>
        <w:spacing w:after="160"/>
      </w:pPr>
      <w:r>
        <w:t xml:space="preserve">Six items, in the order they appear above. All other citations, cut-offs, and labels checked for this document matched their independently verified sources.</w:t>
      </w:r>
    </w:p>
    <w:tbl>
      <w:tblPr>
        <w:tblW w:type="dxa" w:w="9360"/>
        <w:tblBorders>
          <w:top w:val="single" w:color="B7C4D6" w:sz="4"/>
          <w:left w:val="single" w:color="B7C4D6" w:sz="4"/>
          <w:bottom w:val="single" w:color="B7C4D6" w:sz="4"/>
          <w:right w:val="single" w:color="B7C4D6" w:sz="4"/>
          <w:insideH w:val="single" w:color="B7C4D6" w:sz="2"/>
          <w:insideV w:val="single" w:color="B7C4D6" w:sz="2"/>
        </w:tblBorders>
      </w:tblPr>
      <w:tblGrid>
        <w:gridCol w:w="1600"/>
        <w:gridCol w:w="5300"/>
        <w:gridCol w:w="3900"/>
      </w:tblGrid>
      <w:tr>
        <w:trPr>
          <w:tblHeader/>
        </w:trPr>
        <w:tc>
          <w:tcPr>
            <w:tcW w:type="dxa" w:w="1600"/>
            <w:shd w:fill="1F3A5F" w:val="clear"/>
            <w:tcMar>
              <w:top w:type="dxa" w:w="100"/>
              <w:left w:type="dxa" w:w="120"/>
              <w:bottom w:type="dxa" w:w="100"/>
              <w:right w:type="dxa" w:w="120"/>
            </w:tcMar>
          </w:tcPr>
          <w:p>
            <w:r>
              <w:rPr>
                <w:b/>
                <w:bCs/>
                <w:color w:val="FFFFFF"/>
                <w:sz w:val="20"/>
                <w:szCs w:val="20"/>
              </w:rPr>
              <w:t xml:space="preserve">Check</w:t>
            </w:r>
          </w:p>
        </w:tc>
        <w:tc>
          <w:tcPr>
            <w:tcW w:type="dxa" w:w="5300"/>
            <w:shd w:fill="1F3A5F" w:val="clear"/>
            <w:tcMar>
              <w:top w:type="dxa" w:w="100"/>
              <w:left w:type="dxa" w:w="120"/>
              <w:bottom w:type="dxa" w:w="100"/>
              <w:right w:type="dxa" w:w="120"/>
            </w:tcMar>
          </w:tcPr>
          <w:p>
            <w:r>
              <w:rPr>
                <w:b/>
                <w:bCs/>
                <w:color w:val="FFFFFF"/>
                <w:sz w:val="20"/>
                <w:szCs w:val="20"/>
              </w:rPr>
              <w:t xml:space="preserve">Issue</w:t>
            </w:r>
          </w:p>
        </w:tc>
        <w:tc>
          <w:tcPr>
            <w:tcW w:type="dxa" w:w="3900"/>
            <w:shd w:fill="1F3A5F" w:val="clear"/>
            <w:tcMar>
              <w:top w:type="dxa" w:w="100"/>
              <w:left w:type="dxa" w:w="120"/>
              <w:bottom w:type="dxa" w:w="100"/>
              <w:right w:type="dxa" w:w="120"/>
            </w:tcMar>
          </w:tcPr>
          <w:p>
            <w:r>
              <w:rPr>
                <w:b/>
                <w:bCs/>
                <w:color w:val="FFFFFF"/>
                <w:sz w:val="20"/>
                <w:szCs w:val="20"/>
              </w:rPr>
              <w:t xml:space="preserve">Suggested action</w:t>
            </w:r>
          </w:p>
        </w:tc>
      </w:tr>
      <w:tr>
        <w:trPr>
          <w:tblHeader w:val="false"/>
        </w:trPr>
        <w:tc>
          <w:tcPr>
            <w:tcW w:type="dxa" w:w="1600"/>
            <w:tcMar>
              <w:top w:type="dxa" w:w="100"/>
              <w:left w:type="dxa" w:w="120"/>
              <w:bottom w:type="dxa" w:w="100"/>
              <w:right w:type="dxa" w:w="120"/>
            </w:tcMar>
          </w:tcPr>
          <w:p>
            <w:r>
              <w:rPr>
                <w:b w:val="false"/>
                <w:bCs w:val="false"/>
                <w:color w:val="000000"/>
                <w:sz w:val="20"/>
                <w:szCs w:val="20"/>
              </w:rPr>
              <w:t xml:space="preserve">Sit-to-Stand</w:t>
            </w:r>
          </w:p>
        </w:tc>
        <w:tc>
          <w:tcPr>
            <w:tcW w:type="dxa" w:w="5300"/>
            <w:tcMar>
              <w:top w:type="dxa" w:w="100"/>
              <w:left w:type="dxa" w:w="120"/>
              <w:bottom w:type="dxa" w:w="100"/>
              <w:right w:type="dxa" w:w="120"/>
            </w:tcMar>
          </w:tcPr>
          <w:p>
            <w:r>
              <w:rPr>
                <w:b w:val="false"/>
                <w:bCs w:val="false"/>
                <w:color w:val="000000"/>
                <w:sz w:val="20"/>
                <w:szCs w:val="20"/>
              </w:rPr>
              <w:t xml:space="preserve">Displayed citation "Rikli &amp; Jones Senior Fitness Test" has no year anywhere in the app.</w:t>
            </w:r>
          </w:p>
        </w:tc>
        <w:tc>
          <w:tcPr>
            <w:tcW w:type="dxa" w:w="3900"/>
            <w:tcMar>
              <w:top w:type="dxa" w:w="100"/>
              <w:left w:type="dxa" w:w="120"/>
              <w:bottom w:type="dxa" w:w="100"/>
              <w:right w:type="dxa" w:w="120"/>
            </w:tcMar>
          </w:tcPr>
          <w:p>
            <w:r>
              <w:rPr>
                <w:b w:val="false"/>
                <w:bCs w:val="false"/>
                <w:color w:val="000000"/>
                <w:sz w:val="20"/>
                <w:szCs w:val="20"/>
              </w:rPr>
              <w:t xml:space="preserve">Add "(1999)" to the displayed citation string.</w:t>
            </w:r>
          </w:p>
        </w:tc>
      </w:tr>
      <w:tr>
        <w:trPr>
          <w:tblHeader w:val="false"/>
        </w:trPr>
        <w:tc>
          <w:tcPr>
            <w:tcW w:type="dxa" w:w="1600"/>
            <w:tcMar>
              <w:top w:type="dxa" w:w="100"/>
              <w:left w:type="dxa" w:w="120"/>
              <w:bottom w:type="dxa" w:w="100"/>
              <w:right w:type="dxa" w:w="120"/>
            </w:tcMar>
          </w:tcPr>
          <w:p>
            <w:r>
              <w:rPr>
                <w:b w:val="false"/>
                <w:bCs w:val="false"/>
                <w:color w:val="000000"/>
                <w:sz w:val="20"/>
                <w:szCs w:val="20"/>
              </w:rPr>
              <w:t xml:space="preserve">Purpose (Ikigai-9)</w:t>
            </w:r>
          </w:p>
        </w:tc>
        <w:tc>
          <w:tcPr>
            <w:tcW w:type="dxa" w:w="5300"/>
            <w:tcMar>
              <w:top w:type="dxa" w:w="100"/>
              <w:left w:type="dxa" w:w="120"/>
              <w:bottom w:type="dxa" w:w="100"/>
              <w:right w:type="dxa" w:w="120"/>
            </w:tcMar>
          </w:tcPr>
          <w:p>
            <w:r>
              <w:rPr>
                <w:b w:val="false"/>
                <w:bCs w:val="false"/>
                <w:color w:val="000000"/>
                <w:sz w:val="20"/>
                <w:szCs w:val="20"/>
              </w:rPr>
              <w:t xml:space="preserve">Third author cited as "Nishi"; official source gives "Nishimura."</w:t>
            </w:r>
          </w:p>
        </w:tc>
        <w:tc>
          <w:tcPr>
            <w:tcW w:type="dxa" w:w="3900"/>
            <w:tcMar>
              <w:top w:type="dxa" w:w="100"/>
              <w:left w:type="dxa" w:w="120"/>
              <w:bottom w:type="dxa" w:w="100"/>
              <w:right w:type="dxa" w:w="120"/>
            </w:tcMar>
          </w:tcPr>
          <w:p>
            <w:r>
              <w:rPr>
                <w:b w:val="false"/>
                <w:bCs w:val="false"/>
                <w:color w:val="000000"/>
                <w:sz w:val="20"/>
                <w:szCs w:val="20"/>
              </w:rPr>
              <w:t xml:space="preserve">Correct the surname in purpose.ts, en.ts, and zh.ts.</w:t>
            </w:r>
          </w:p>
        </w:tc>
      </w:tr>
      <w:tr>
        <w:trPr>
          <w:tblHeader w:val="false"/>
        </w:trPr>
        <w:tc>
          <w:tcPr>
            <w:tcW w:type="dxa" w:w="1600"/>
            <w:tcMar>
              <w:top w:type="dxa" w:w="100"/>
              <w:left w:type="dxa" w:w="120"/>
              <w:bottom w:type="dxa" w:w="100"/>
              <w:right w:type="dxa" w:w="120"/>
            </w:tcMar>
          </w:tcPr>
          <w:p>
            <w:r>
              <w:rPr>
                <w:b w:val="false"/>
                <w:bCs w:val="false"/>
                <w:color w:val="000000"/>
                <w:sz w:val="20"/>
                <w:szCs w:val="20"/>
              </w:rPr>
              <w:t xml:space="preserve">VO2 Max</w:t>
            </w:r>
          </w:p>
        </w:tc>
        <w:tc>
          <w:tcPr>
            <w:tcW w:type="dxa" w:w="5300"/>
            <w:tcMar>
              <w:top w:type="dxa" w:w="100"/>
              <w:left w:type="dxa" w:w="120"/>
              <w:bottom w:type="dxa" w:w="100"/>
              <w:right w:type="dxa" w:w="120"/>
            </w:tcMar>
          </w:tcPr>
          <w:p>
            <w:r>
              <w:rPr>
                <w:b w:val="false"/>
                <w:bCs w:val="false"/>
                <w:color w:val="000000"/>
                <w:sz w:val="20"/>
                <w:szCs w:val="20"/>
              </w:rPr>
              <w:t xml:space="preserve">Tanaka/Monahan/Seals (2001) — HRmax formula's source is in a code comment only, never shown to the user.</w:t>
            </w:r>
          </w:p>
        </w:tc>
        <w:tc>
          <w:tcPr>
            <w:tcW w:type="dxa" w:w="3900"/>
            <w:tcMar>
              <w:top w:type="dxa" w:w="100"/>
              <w:left w:type="dxa" w:w="120"/>
              <w:bottom w:type="dxa" w:w="100"/>
              <w:right w:type="dxa" w:w="120"/>
            </w:tcMar>
          </w:tcPr>
          <w:p>
            <w:r>
              <w:rPr>
                <w:b w:val="false"/>
                <w:bCs w:val="false"/>
                <w:color w:val="000000"/>
                <w:sz w:val="20"/>
                <w:szCs w:val="20"/>
              </w:rPr>
              <w:t xml:space="preserve">Add the citation to displayed copy, or accept as an internal-only reference.</w:t>
            </w:r>
          </w:p>
        </w:tc>
      </w:tr>
      <w:tr>
        <w:trPr>
          <w:tblHeader w:val="false"/>
        </w:trPr>
        <w:tc>
          <w:tcPr>
            <w:tcW w:type="dxa" w:w="1600"/>
            <w:tcMar>
              <w:top w:type="dxa" w:w="100"/>
              <w:left w:type="dxa" w:w="120"/>
              <w:bottom w:type="dxa" w:w="100"/>
              <w:right w:type="dxa" w:w="120"/>
            </w:tcMar>
          </w:tcPr>
          <w:p>
            <w:r>
              <w:rPr>
                <w:b w:val="false"/>
                <w:bCs w:val="false"/>
                <w:color w:val="000000"/>
                <w:sz w:val="20"/>
                <w:szCs w:val="20"/>
              </w:rPr>
              <w:t xml:space="preserve">Nutrition &amp; Protein</w:t>
            </w:r>
          </w:p>
        </w:tc>
        <w:tc>
          <w:tcPr>
            <w:tcW w:type="dxa" w:w="5300"/>
            <w:tcMar>
              <w:top w:type="dxa" w:w="100"/>
              <w:left w:type="dxa" w:w="120"/>
              <w:bottom w:type="dxa" w:w="100"/>
              <w:right w:type="dxa" w:w="120"/>
            </w:tcMar>
          </w:tcPr>
          <w:p>
            <w:r>
              <w:rPr>
                <w:b w:val="false"/>
                <w:bCs w:val="false"/>
                <w:color w:val="000000"/>
                <w:sz w:val="20"/>
                <w:szCs w:val="20"/>
              </w:rPr>
              <w:t xml:space="preserve">Wijnhoven 2018 / Whitton 2018 citations exist in code and on the marketing site, but not in the app's own displayed copy.</w:t>
            </w:r>
          </w:p>
        </w:tc>
        <w:tc>
          <w:tcPr>
            <w:tcW w:type="dxa" w:w="3900"/>
            <w:tcMar>
              <w:top w:type="dxa" w:w="100"/>
              <w:left w:type="dxa" w:w="120"/>
              <w:bottom w:type="dxa" w:w="100"/>
              <w:right w:type="dxa" w:w="120"/>
            </w:tcMar>
          </w:tcPr>
          <w:p>
            <w:r>
              <w:rPr>
                <w:b w:val="false"/>
                <w:bCs w:val="false"/>
                <w:color w:val="000000"/>
                <w:sz w:val="20"/>
                <w:szCs w:val="20"/>
              </w:rPr>
              <w:t xml:space="preserve">Decide whether to add author/year to the app UI for consistency with the site.</w:t>
            </w:r>
          </w:p>
        </w:tc>
      </w:tr>
      <w:tr>
        <w:trPr>
          <w:tblHeader w:val="false"/>
        </w:trPr>
        <w:tc>
          <w:tcPr>
            <w:tcW w:type="dxa" w:w="1600"/>
            <w:tcMar>
              <w:top w:type="dxa" w:w="100"/>
              <w:left w:type="dxa" w:w="120"/>
              <w:bottom w:type="dxa" w:w="100"/>
              <w:right w:type="dxa" w:w="120"/>
            </w:tcMar>
          </w:tcPr>
          <w:p>
            <w:r>
              <w:rPr>
                <w:b w:val="false"/>
                <w:bCs w:val="false"/>
                <w:color w:val="000000"/>
                <w:sz w:val="20"/>
                <w:szCs w:val="20"/>
              </w:rPr>
              <w:t xml:space="preserve">Connection</w:t>
            </w:r>
          </w:p>
        </w:tc>
        <w:tc>
          <w:tcPr>
            <w:tcW w:type="dxa" w:w="5300"/>
            <w:tcMar>
              <w:top w:type="dxa" w:w="100"/>
              <w:left w:type="dxa" w:w="120"/>
              <w:bottom w:type="dxa" w:w="100"/>
              <w:right w:type="dxa" w:w="120"/>
            </w:tcMar>
          </w:tcPr>
          <w:p>
            <w:r>
              <w:rPr>
                <w:b w:val="false"/>
                <w:bCs w:val="false"/>
                <w:color w:val="000000"/>
                <w:sz w:val="20"/>
                <w:szCs w:val="20"/>
              </w:rPr>
              <w:t xml:space="preserve">Lubben et al. 2006 omitted from app UI (code/site only). UCLA-3's own origin (Hughes et al., 2004) is absent everywhere in our codebase.</w:t>
            </w:r>
          </w:p>
        </w:tc>
        <w:tc>
          <w:tcPr>
            <w:tcW w:type="dxa" w:w="3900"/>
            <w:tcMar>
              <w:top w:type="dxa" w:w="100"/>
              <w:left w:type="dxa" w:w="120"/>
              <w:bottom w:type="dxa" w:w="100"/>
              <w:right w:type="dxa" w:w="120"/>
            </w:tcMar>
          </w:tcPr>
          <w:p>
            <w:r>
              <w:rPr>
                <w:b w:val="false"/>
                <w:bCs w:val="false"/>
                <w:color w:val="000000"/>
                <w:sz w:val="20"/>
                <w:szCs w:val="20"/>
              </w:rPr>
              <w:t xml:space="preserve">Add both citations to the app; Hughes et al. 2004 should be added to the code comment too, not just this document.</w:t>
            </w:r>
          </w:p>
        </w:tc>
      </w:tr>
      <w:tr>
        <w:trPr>
          <w:tblHeader w:val="false"/>
        </w:trPr>
        <w:tc>
          <w:tcPr>
            <w:tcW w:type="dxa" w:w="1600"/>
            <w:tcMar>
              <w:top w:type="dxa" w:w="100"/>
              <w:left w:type="dxa" w:w="120"/>
              <w:bottom w:type="dxa" w:w="100"/>
              <w:right w:type="dxa" w:w="120"/>
            </w:tcMar>
          </w:tcPr>
          <w:p>
            <w:r>
              <w:rPr>
                <w:b w:val="false"/>
                <w:bCs w:val="false"/>
                <w:color w:val="000000"/>
                <w:sz w:val="20"/>
                <w:szCs w:val="20"/>
              </w:rPr>
              <w:t xml:space="preserve">Family History</w:t>
            </w:r>
          </w:p>
        </w:tc>
        <w:tc>
          <w:tcPr>
            <w:tcW w:type="dxa" w:w="5300"/>
            <w:tcMar>
              <w:top w:type="dxa" w:w="100"/>
              <w:left w:type="dxa" w:w="120"/>
              <w:bottom w:type="dxa" w:w="100"/>
              <w:right w:type="dxa" w:w="120"/>
            </w:tcMar>
          </w:tcPr>
          <w:p>
            <w:r>
              <w:rPr>
                <w:b w:val="false"/>
                <w:bCs w:val="false"/>
                <w:color w:val="000000"/>
                <w:sz w:val="20"/>
                <w:szCs w:val="20"/>
              </w:rPr>
              <w:t xml:space="preserve">Two MOH Clinical Practice Guideline primary documents (Lipids; Diabetes) could not be retrieved in this research pass (HTTP 403).</w:t>
            </w:r>
          </w:p>
        </w:tc>
        <w:tc>
          <w:tcPr>
            <w:tcW w:type="dxa" w:w="3900"/>
            <w:tcMar>
              <w:top w:type="dxa" w:w="100"/>
              <w:left w:type="dxa" w:w="120"/>
              <w:bottom w:type="dxa" w:w="100"/>
              <w:right w:type="dxa" w:w="120"/>
            </w:tcMar>
          </w:tcPr>
          <w:p>
            <w:r>
              <w:rPr>
                <w:b w:val="false"/>
                <w:bCs w:val="false"/>
                <w:color w:val="000000"/>
                <w:sz w:val="20"/>
                <w:szCs w:val="20"/>
              </w:rPr>
              <w:t xml:space="preserve">Re-verify the male&lt;50/female&lt;60 CVD threshold and the Asian BMI ≥23 threshold against the primary MOH PDFs directly, with an account/access that isn't blocked.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2026-08-03T23:12:17.434Z</dcterms:created>
  <dcterms:modified xsi:type="dcterms:W3CDTF">2026-08-03T23:12:17.434Z</dcterms:modified>
</cp:coreProperties>
</file>

<file path=docProps/custom.xml><?xml version="1.0" encoding="utf-8"?>
<Properties xmlns="http://schemas.openxmlformats.org/officeDocument/2006/custom-properties" xmlns:vt="http://schemas.openxmlformats.org/officeDocument/2006/docPropsVTypes"/>
</file>