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INFORME TÉCNICO DE EXAMEN COMPLEXIVO</w:t>
      </w:r>
    </w:p>
    <w:p>
      <w:pPr>
        <w:pStyle w:val="Title"/>
      </w:pPr>
      <w:r>
        <w:t>Caso 48</w:t>
      </w:r>
    </w:p>
    <w:p>
      <w:r>
        <w:t>Predicción de incumplimiento crediticio mediante clasificación supervisada</w:t>
      </w:r>
    </w:p>
    <w:p>
      <w:r>
        <w:t>Universidad Central del Ecuador  ·  Facultad de Ingeniería y Ciencias Aplicadas</w:t>
      </w:r>
    </w:p>
    <w:p>
      <w:r>
        <w:t>Carrera: Ingeniería en Sistemas de Información</w:t>
      </w:r>
    </w:p>
    <w:p>
      <w:r>
        <w:t>Componente: Minería de Datos  |  Subcomponente: Clasificación supervisada y evaluación de modelos</w:t>
      </w:r>
    </w:p>
    <w:p>
      <w:r>
        <w:t>Documento basado en el caso oficial y en la base de datos sintética recibida. Resultados obtenidos ejecutando el script reproducible del proyecto. No representa un modelo de producción.</w:t>
      </w:r>
    </w:p>
    <w:tbl>
      <w:tblPr>
        <w:tblStyle w:val="LightShading-Accent1"/>
        <w:tblW w:type="auto" w:w="0"/>
        <w:jc w:val="center"/>
        <w:tblLook w:firstColumn="1" w:firstRow="1" w:lastColumn="0" w:lastRow="0" w:noHBand="0" w:noVBand="1" w:val="04A0"/>
      </w:tblPr>
      <w:tblGrid>
        <w:gridCol w:w="4910"/>
        <w:gridCol w:w="4910"/>
      </w:tblGrid>
      <w:tr>
        <w:tc>
          <w:tcPr>
            <w:tcW w:type="dxa" w:w="4910"/>
            <w:vAlign w:val="center"/>
          </w:tcPr>
          <w:p>
            <w:pPr>
              <w:spacing w:after="40" w:before="40"/>
            </w:pPr>
            <w:r>
              <w:rPr>
                <w:sz w:val="16"/>
              </w:rPr>
              <w:t>Indicador</w:t>
            </w:r>
          </w:p>
        </w:tc>
        <w:tc>
          <w:tcPr>
            <w:tcW w:type="dxa" w:w="4910"/>
            <w:vAlign w:val="center"/>
          </w:tcPr>
          <w:p>
            <w:pPr>
              <w:spacing w:after="40" w:before="40"/>
            </w:pPr>
            <w:r>
              <w:rPr>
                <w:sz w:val="16"/>
              </w:rPr>
              <w:t>Resultado</w:t>
            </w:r>
          </w:p>
        </w:tc>
      </w:tr>
      <w:tr>
        <w:tc>
          <w:tcPr>
            <w:tcW w:type="dxa" w:w="4910"/>
            <w:vAlign w:val="center"/>
          </w:tcPr>
          <w:p>
            <w:pPr>
              <w:spacing w:after="40" w:before="40"/>
            </w:pPr>
            <w:r>
              <w:rPr>
                <w:sz w:val="16"/>
              </w:rPr>
              <w:t>Solicitudes analizadas</w:t>
            </w:r>
          </w:p>
        </w:tc>
        <w:tc>
          <w:tcPr>
            <w:tcW w:type="dxa" w:w="4910"/>
            <w:vAlign w:val="center"/>
          </w:tcPr>
          <w:p>
            <w:pPr>
              <w:spacing w:after="40" w:before="40"/>
            </w:pPr>
            <w:r>
              <w:rPr>
                <w:sz w:val="16"/>
              </w:rPr>
              <w:t>50.000</w:t>
            </w:r>
          </w:p>
        </w:tc>
      </w:tr>
      <w:tr>
        <w:tc>
          <w:tcPr>
            <w:tcW w:type="dxa" w:w="4910"/>
            <w:vAlign w:val="center"/>
          </w:tcPr>
          <w:p>
            <w:pPr>
              <w:spacing w:after="40" w:before="40"/>
            </w:pPr>
            <w:r>
              <w:rPr>
                <w:sz w:val="16"/>
              </w:rPr>
              <w:t>Variables originales</w:t>
            </w:r>
          </w:p>
        </w:tc>
        <w:tc>
          <w:tcPr>
            <w:tcW w:type="dxa" w:w="4910"/>
            <w:vAlign w:val="center"/>
          </w:tcPr>
          <w:p>
            <w:pPr>
              <w:spacing w:after="40" w:before="40"/>
            </w:pPr>
            <w:r>
              <w:rPr>
                <w:sz w:val="16"/>
              </w:rPr>
              <w:t>16</w:t>
            </w:r>
          </w:p>
        </w:tc>
      </w:tr>
      <w:tr>
        <w:tc>
          <w:tcPr>
            <w:tcW w:type="dxa" w:w="4910"/>
            <w:vAlign w:val="center"/>
          </w:tcPr>
          <w:p>
            <w:pPr>
              <w:spacing w:after="40" w:before="40"/>
            </w:pPr>
            <w:r>
              <w:rPr>
                <w:sz w:val="16"/>
              </w:rPr>
              <w:t>Predictores utilizados</w:t>
            </w:r>
          </w:p>
        </w:tc>
        <w:tc>
          <w:tcPr>
            <w:tcW w:type="dxa" w:w="4910"/>
            <w:vAlign w:val="center"/>
          </w:tcPr>
          <w:p>
            <w:pPr>
              <w:spacing w:after="40" w:before="40"/>
            </w:pPr>
            <w:r>
              <w:rPr>
                <w:sz w:val="16"/>
              </w:rPr>
              <w:t>14</w:t>
            </w:r>
          </w:p>
        </w:tc>
      </w:tr>
      <w:tr>
        <w:tc>
          <w:tcPr>
            <w:tcW w:type="dxa" w:w="4910"/>
            <w:vAlign w:val="center"/>
          </w:tcPr>
          <w:p>
            <w:pPr>
              <w:spacing w:after="40" w:before="40"/>
            </w:pPr>
            <w:r>
              <w:rPr>
                <w:sz w:val="16"/>
              </w:rPr>
              <w:t>Incumplimientos (clase 1)</w:t>
            </w:r>
          </w:p>
        </w:tc>
        <w:tc>
          <w:tcPr>
            <w:tcW w:type="dxa" w:w="4910"/>
            <w:vAlign w:val="center"/>
          </w:tcPr>
          <w:p>
            <w:pPr>
              <w:spacing w:after="40" w:before="40"/>
            </w:pPr>
            <w:r>
              <w:rPr>
                <w:sz w:val="16"/>
              </w:rPr>
              <w:t>2.742 (5.48%)</w:t>
            </w:r>
          </w:p>
        </w:tc>
      </w:tr>
      <w:tr>
        <w:tc>
          <w:tcPr>
            <w:tcW w:type="dxa" w:w="4910"/>
            <w:vAlign w:val="center"/>
          </w:tcPr>
          <w:p>
            <w:pPr>
              <w:spacing w:after="40" w:before="40"/>
            </w:pPr>
            <w:r>
              <w:rPr>
                <w:sz w:val="16"/>
              </w:rPr>
              <w:t>Modelo elegido únicamente por CV</w:t>
            </w:r>
          </w:p>
        </w:tc>
        <w:tc>
          <w:tcPr>
            <w:tcW w:type="dxa" w:w="4910"/>
            <w:vAlign w:val="center"/>
          </w:tcPr>
          <w:p>
            <w:pPr>
              <w:spacing w:after="40" w:before="40"/>
            </w:pPr>
            <w:r>
              <w:rPr>
                <w:sz w:val="16"/>
              </w:rPr>
              <w:t>Gradient Boosting</w:t>
            </w:r>
          </w:p>
        </w:tc>
      </w:tr>
      <w:tr>
        <w:tc>
          <w:tcPr>
            <w:tcW w:type="dxa" w:w="4910"/>
            <w:vAlign w:val="center"/>
          </w:tcPr>
          <w:p>
            <w:pPr>
              <w:spacing w:after="40" w:before="40"/>
            </w:pPr>
            <w:r>
              <w:rPr>
                <w:sz w:val="16"/>
              </w:rPr>
              <w:t>PR-AUC media CV</w:t>
            </w:r>
          </w:p>
        </w:tc>
        <w:tc>
          <w:tcPr>
            <w:tcW w:type="dxa" w:w="4910"/>
            <w:vAlign w:val="center"/>
          </w:tcPr>
          <w:p>
            <w:pPr>
              <w:spacing w:after="40" w:before="40"/>
            </w:pPr>
            <w:r>
              <w:rPr>
                <w:sz w:val="16"/>
              </w:rPr>
              <w:t>11.38%</w:t>
            </w:r>
          </w:p>
        </w:tc>
      </w:tr>
      <w:tr>
        <w:tc>
          <w:tcPr>
            <w:tcW w:type="dxa" w:w="4910"/>
            <w:vAlign w:val="center"/>
          </w:tcPr>
          <w:p>
            <w:pPr>
              <w:spacing w:after="40" w:before="40"/>
            </w:pPr>
            <w:r>
              <w:rPr>
                <w:sz w:val="16"/>
              </w:rPr>
              <w:t>PR-AUC TEST</w:t>
            </w:r>
          </w:p>
        </w:tc>
        <w:tc>
          <w:tcPr>
            <w:tcW w:type="dxa" w:w="4910"/>
            <w:vAlign w:val="center"/>
          </w:tcPr>
          <w:p>
            <w:pPr>
              <w:spacing w:after="40" w:before="40"/>
            </w:pPr>
            <w:r>
              <w:rPr>
                <w:sz w:val="16"/>
              </w:rPr>
              <w:t>12.03%</w:t>
            </w:r>
          </w:p>
        </w:tc>
      </w:tr>
      <w:tr>
        <w:tc>
          <w:tcPr>
            <w:tcW w:type="dxa" w:w="4910"/>
            <w:vAlign w:val="center"/>
          </w:tcPr>
          <w:p>
            <w:pPr>
              <w:spacing w:after="40" w:before="40"/>
            </w:pPr>
            <w:r>
              <w:rPr>
                <w:sz w:val="16"/>
              </w:rPr>
              <w:t>Recall TEST con umbral 0,50</w:t>
            </w:r>
          </w:p>
        </w:tc>
        <w:tc>
          <w:tcPr>
            <w:tcW w:type="dxa" w:w="4910"/>
            <w:vAlign w:val="center"/>
          </w:tcPr>
          <w:p>
            <w:pPr>
              <w:spacing w:after="40" w:before="40"/>
            </w:pPr>
            <w:r>
              <w:rPr>
                <w:sz w:val="16"/>
              </w:rPr>
              <w:t>0.00%</w:t>
            </w:r>
          </w:p>
        </w:tc>
      </w:tr>
    </w:tbl>
    <w:p>
      <w:pPr>
        <w:pStyle w:val="Heading2"/>
      </w:pPr>
      <w:r>
        <w:t>Resumen ejecutivo</w:t>
      </w:r>
    </w:p>
    <w:p>
      <w:r>
        <w:t>Se entrenaron cuatro clasificadores con preprocesamiento dentro de Pipeline/ColumnTransformer y StratifiedKFold de cinco particiones. El mejor resultado de PR-AUC media de validación correspondió a Gradient Boosting. Aunque muestra capacidad de ordenación superior al azar (ROC-AUC TEST 0,6756), al aplicar el umbral fijo 0,50 no identificó ningún incumplimiento en TEST. Esta limitación es central y obliga a distinguir capacidad de ranking de eficacia operativa en un umbral dado.</w:t>
      </w:r>
    </w:p>
    <w:p>
      <w:r>
        <w:br w:type="page"/>
      </w:r>
    </w:p>
    <w:p>
      <w:pPr>
        <w:pStyle w:val="Heading1"/>
      </w:pPr>
      <w:r>
        <w:t>1. Objetivo, alcance y alineación al caso</w:t>
      </w:r>
    </w:p>
    <w:p>
      <w:r>
        <w:t>El documento oficial solicita predecir default_12m (1 = incumplimiento en los siguientes 12 meses; 0 = no incumplimiento), comparar cuatro clasificadores y discutir falsos positivos/negativos sin utilizar TEST para elegir el modelo. El dataset es sintético y solo tiene fines didácticos (PDF: p. 1 y p. 2).</w:t>
      </w:r>
    </w:p>
    <w:p>
      <w:r>
        <w:t>Se cumplen las doce instrucciones: inspección inicial, EDA, definición de X/y, holdout 80/20, pipelines, cuatro modelos, validación cruzada estratificada de cinco folds, métricas, selección por CV, test independiente, comparación CV/test y conclusiones responsables.</w:t>
      </w:r>
    </w:p>
    <w:p>
      <w:pPr>
        <w:pStyle w:val="Heading1"/>
      </w:pPr>
      <w:r>
        <w:t>2. Auditoría de datos</w:t>
      </w:r>
    </w:p>
    <w:p>
      <w:r>
        <w:t>Se recibieron 50.000 registros y 16 columnas: 14 variables predictoras, un identificador y una variable objetivo. No se detectaron valores faltantes, duplicados completos ni identificadores repetidos. Se excluyó applicant_id de X por tratarse de una clave arbitraria, y default_12m por ser la variable objetivo.</w:t>
      </w:r>
    </w:p>
    <w:tbl>
      <w:tblPr>
        <w:tblStyle w:val="LightShading-Accent1"/>
        <w:tblW w:type="auto" w:w="0"/>
        <w:jc w:val="center"/>
        <w:tblLook w:firstColumn="1" w:firstRow="1" w:lastColumn="0" w:lastRow="0" w:noHBand="0" w:noVBand="1" w:val="04A0"/>
      </w:tblPr>
      <w:tblGrid>
        <w:gridCol w:w="4910"/>
        <w:gridCol w:w="4910"/>
      </w:tblGrid>
      <w:tr>
        <w:tc>
          <w:tcPr>
            <w:tcW w:type="dxa" w:w="4910"/>
            <w:vAlign w:val="center"/>
          </w:tcPr>
          <w:p>
            <w:pPr>
              <w:spacing w:after="40" w:before="40"/>
            </w:pPr>
            <w:r>
              <w:rPr>
                <w:sz w:val="16"/>
              </w:rPr>
              <w:t>Control</w:t>
            </w:r>
          </w:p>
        </w:tc>
        <w:tc>
          <w:tcPr>
            <w:tcW w:type="dxa" w:w="4910"/>
            <w:vAlign w:val="center"/>
          </w:tcPr>
          <w:p>
            <w:pPr>
              <w:spacing w:after="40" w:before="40"/>
            </w:pPr>
            <w:r>
              <w:rPr>
                <w:sz w:val="16"/>
              </w:rPr>
              <w:t>Hallazgo</w:t>
            </w:r>
          </w:p>
        </w:tc>
      </w:tr>
      <w:tr>
        <w:tc>
          <w:tcPr>
            <w:tcW w:type="dxa" w:w="4910"/>
            <w:vAlign w:val="center"/>
          </w:tcPr>
          <w:p>
            <w:pPr>
              <w:spacing w:after="40" w:before="40"/>
            </w:pPr>
            <w:r>
              <w:rPr>
                <w:sz w:val="16"/>
              </w:rPr>
              <w:t>Dimensiones</w:t>
            </w:r>
          </w:p>
        </w:tc>
        <w:tc>
          <w:tcPr>
            <w:tcW w:type="dxa" w:w="4910"/>
            <w:vAlign w:val="center"/>
          </w:tcPr>
          <w:p>
            <w:pPr>
              <w:spacing w:after="40" w:before="40"/>
            </w:pPr>
            <w:r>
              <w:rPr>
                <w:sz w:val="16"/>
              </w:rPr>
              <w:t>50.000 filas × 16 columnas</w:t>
            </w:r>
          </w:p>
        </w:tc>
      </w:tr>
      <w:tr>
        <w:tc>
          <w:tcPr>
            <w:tcW w:type="dxa" w:w="4910"/>
            <w:vAlign w:val="center"/>
          </w:tcPr>
          <w:p>
            <w:pPr>
              <w:spacing w:after="40" w:before="40"/>
            </w:pPr>
            <w:r>
              <w:rPr>
                <w:sz w:val="16"/>
              </w:rPr>
              <w:t>Valores faltantes</w:t>
            </w:r>
          </w:p>
        </w:tc>
        <w:tc>
          <w:tcPr>
            <w:tcW w:type="dxa" w:w="4910"/>
            <w:vAlign w:val="center"/>
          </w:tcPr>
          <w:p>
            <w:pPr>
              <w:spacing w:after="40" w:before="40"/>
            </w:pPr>
            <w:r>
              <w:rPr>
                <w:sz w:val="16"/>
              </w:rPr>
              <w:t>0</w:t>
            </w:r>
          </w:p>
        </w:tc>
      </w:tr>
      <w:tr>
        <w:tc>
          <w:tcPr>
            <w:tcW w:type="dxa" w:w="4910"/>
            <w:vAlign w:val="center"/>
          </w:tcPr>
          <w:p>
            <w:pPr>
              <w:spacing w:after="40" w:before="40"/>
            </w:pPr>
            <w:r>
              <w:rPr>
                <w:sz w:val="16"/>
              </w:rPr>
              <w:t>Duplicados completos</w:t>
            </w:r>
          </w:p>
        </w:tc>
        <w:tc>
          <w:tcPr>
            <w:tcW w:type="dxa" w:w="4910"/>
            <w:vAlign w:val="center"/>
          </w:tcPr>
          <w:p>
            <w:pPr>
              <w:spacing w:after="40" w:before="40"/>
            </w:pPr>
            <w:r>
              <w:rPr>
                <w:sz w:val="16"/>
              </w:rPr>
              <w:t>0</w:t>
            </w:r>
          </w:p>
        </w:tc>
      </w:tr>
      <w:tr>
        <w:tc>
          <w:tcPr>
            <w:tcW w:type="dxa" w:w="4910"/>
            <w:vAlign w:val="center"/>
          </w:tcPr>
          <w:p>
            <w:pPr>
              <w:spacing w:after="40" w:before="40"/>
            </w:pPr>
            <w:r>
              <w:rPr>
                <w:sz w:val="16"/>
              </w:rPr>
              <w:t>Identificadores repetidos</w:t>
            </w:r>
          </w:p>
        </w:tc>
        <w:tc>
          <w:tcPr>
            <w:tcW w:type="dxa" w:w="4910"/>
            <w:vAlign w:val="center"/>
          </w:tcPr>
          <w:p>
            <w:pPr>
              <w:spacing w:after="40" w:before="40"/>
            </w:pPr>
            <w:r>
              <w:rPr>
                <w:sz w:val="16"/>
              </w:rPr>
              <w:t>0</w:t>
            </w:r>
          </w:p>
        </w:tc>
      </w:tr>
      <w:tr>
        <w:tc>
          <w:tcPr>
            <w:tcW w:type="dxa" w:w="4910"/>
            <w:vAlign w:val="center"/>
          </w:tcPr>
          <w:p>
            <w:pPr>
              <w:spacing w:after="40" w:before="40"/>
            </w:pPr>
            <w:r>
              <w:rPr>
                <w:sz w:val="16"/>
              </w:rPr>
              <w:t>No incumple (0)</w:t>
            </w:r>
          </w:p>
        </w:tc>
        <w:tc>
          <w:tcPr>
            <w:tcW w:type="dxa" w:w="4910"/>
            <w:vAlign w:val="center"/>
          </w:tcPr>
          <w:p>
            <w:pPr>
              <w:spacing w:after="40" w:before="40"/>
            </w:pPr>
            <w:r>
              <w:rPr>
                <w:sz w:val="16"/>
              </w:rPr>
              <w:t>47.258</w:t>
            </w:r>
          </w:p>
        </w:tc>
      </w:tr>
      <w:tr>
        <w:tc>
          <w:tcPr>
            <w:tcW w:type="dxa" w:w="4910"/>
            <w:vAlign w:val="center"/>
          </w:tcPr>
          <w:p>
            <w:pPr>
              <w:spacing w:after="40" w:before="40"/>
            </w:pPr>
            <w:r>
              <w:rPr>
                <w:sz w:val="16"/>
              </w:rPr>
              <w:t>Incumple (1)</w:t>
            </w:r>
          </w:p>
        </w:tc>
        <w:tc>
          <w:tcPr>
            <w:tcW w:type="dxa" w:w="4910"/>
            <w:vAlign w:val="center"/>
          </w:tcPr>
          <w:p>
            <w:pPr>
              <w:spacing w:after="40" w:before="40"/>
            </w:pPr>
            <w:r>
              <w:rPr>
                <w:sz w:val="16"/>
              </w:rPr>
              <w:t>2.742</w:t>
            </w:r>
          </w:p>
        </w:tc>
      </w:tr>
    </w:tbl>
    <w:p>
      <w:pPr>
        <w:jc w:val="center"/>
      </w:pPr>
      <w:r>
        <w:drawing>
          <wp:inline xmlns:a="http://schemas.openxmlformats.org/drawingml/2006/main" xmlns:pic="http://schemas.openxmlformats.org/drawingml/2006/picture">
            <wp:extent cx="5120640" cy="1719046"/>
            <wp:docPr id="1" name="Picture 1"/>
            <wp:cNvGraphicFramePr>
              <a:graphicFrameLocks noChangeAspect="1"/>
            </wp:cNvGraphicFramePr>
            <a:graphic>
              <a:graphicData uri="http://schemas.openxmlformats.org/drawingml/2006/picture">
                <pic:pic>
                  <pic:nvPicPr>
                    <pic:cNvPr id="0" name="01_distribucion.png"/>
                    <pic:cNvPicPr/>
                  </pic:nvPicPr>
                  <pic:blipFill>
                    <a:blip r:embed="rId11"/>
                    <a:stretch>
                      <a:fillRect/>
                    </a:stretch>
                  </pic:blipFill>
                  <pic:spPr>
                    <a:xfrm>
                      <a:off x="0" y="0"/>
                      <a:ext cx="5120640" cy="1719046"/>
                    </a:xfrm>
                    <a:prstGeom prst="rect"/>
                  </pic:spPr>
                </pic:pic>
              </a:graphicData>
            </a:graphic>
          </wp:inline>
        </w:drawing>
      </w:r>
    </w:p>
    <w:p>
      <w:pPr>
        <w:jc w:val="center"/>
      </w:pPr>
      <w:r>
        <w:rPr>
          <w:i/>
          <w:color w:val="637A87"/>
          <w:sz w:val="16"/>
        </w:rPr>
        <w:t>Figura 1. Desbalance del objetivo en los datos recibidos (inspección inicial).</w:t>
      </w:r>
    </w:p>
    <w:p>
      <w:r>
        <w:t>Una accuracy del 94,52 % sería alcanzable clasificando siempre como no incumplidor, con Recall de clase 1 igual a cero. Por eso la accuracy no puede ser el criterio exclusivo del ejercicio.</w:t>
      </w:r>
    </w:p>
    <w:p>
      <w:r>
        <w:br w:type="page"/>
      </w:r>
    </w:p>
    <w:p>
      <w:pPr>
        <w:pStyle w:val="Heading1"/>
      </w:pPr>
      <w:r>
        <w:t>3. Exploración de TRAIN</w:t>
      </w:r>
    </w:p>
    <w:p>
      <w:r>
        <w:t>Se separó el conjunto de prueba antes de realizar exploración supervisada. La EDA usa 40.000 ejemplos de entrenamiento; 2.194 son positivos. Se revisaron estadísticas descriptivas, distribuciones numéricas, frecuencias categóricas, relaciones por clase y outliers por IQR. Los valores extremos se describieron, sin eliminarlos automáticamente.</w:t>
      </w:r>
    </w:p>
    <w:tbl>
      <w:tblPr>
        <w:tblStyle w:val="LightShading-Accent1"/>
        <w:tblW w:type="auto" w:w="0"/>
        <w:jc w:val="center"/>
        <w:tblLook w:firstColumn="1" w:firstRow="1" w:lastColumn="0" w:lastRow="0" w:noHBand="0" w:noVBand="1" w:val="04A0"/>
      </w:tblPr>
      <w:tblGrid>
        <w:gridCol w:w="2455"/>
        <w:gridCol w:w="2455"/>
        <w:gridCol w:w="2455"/>
        <w:gridCol w:w="2455"/>
      </w:tblGrid>
      <w:tr>
        <w:tc>
          <w:tcPr>
            <w:tcW w:type="dxa" w:w="2455"/>
            <w:vAlign w:val="center"/>
          </w:tcPr>
          <w:p>
            <w:pPr>
              <w:spacing w:after="40" w:before="40"/>
            </w:pPr>
            <w:r>
              <w:rPr>
                <w:sz w:val="16"/>
              </w:rPr>
              <w:t>Variable (TRAIN)</w:t>
            </w:r>
          </w:p>
        </w:tc>
        <w:tc>
          <w:tcPr>
            <w:tcW w:type="dxa" w:w="2455"/>
            <w:vAlign w:val="center"/>
          </w:tcPr>
          <w:p>
            <w:pPr>
              <w:spacing w:after="40" w:before="40"/>
            </w:pPr>
            <w:r>
              <w:rPr>
                <w:sz w:val="16"/>
              </w:rPr>
              <w:t>Media</w:t>
            </w:r>
          </w:p>
        </w:tc>
        <w:tc>
          <w:tcPr>
            <w:tcW w:type="dxa" w:w="2455"/>
            <w:vAlign w:val="center"/>
          </w:tcPr>
          <w:p>
            <w:pPr>
              <w:spacing w:after="40" w:before="40"/>
            </w:pPr>
            <w:r>
              <w:rPr>
                <w:sz w:val="16"/>
              </w:rPr>
              <w:t>Mediana</w:t>
            </w:r>
          </w:p>
        </w:tc>
        <w:tc>
          <w:tcPr>
            <w:tcW w:type="dxa" w:w="2455"/>
            <w:vAlign w:val="center"/>
          </w:tcPr>
          <w:p>
            <w:pPr>
              <w:spacing w:after="40" w:before="40"/>
            </w:pPr>
            <w:r>
              <w:rPr>
                <w:sz w:val="16"/>
              </w:rPr>
              <w:t>Atípicos IQR</w:t>
            </w:r>
          </w:p>
        </w:tc>
      </w:tr>
      <w:tr>
        <w:tc>
          <w:tcPr>
            <w:tcW w:type="dxa" w:w="2455"/>
            <w:vAlign w:val="center"/>
          </w:tcPr>
          <w:p>
            <w:pPr>
              <w:spacing w:after="40" w:before="40"/>
            </w:pPr>
            <w:r>
              <w:rPr>
                <w:sz w:val="16"/>
              </w:rPr>
              <w:t>age</w:t>
            </w:r>
          </w:p>
        </w:tc>
        <w:tc>
          <w:tcPr>
            <w:tcW w:type="dxa" w:w="2455"/>
            <w:vAlign w:val="center"/>
          </w:tcPr>
          <w:p>
            <w:pPr>
              <w:spacing w:after="40" w:before="40"/>
            </w:pPr>
            <w:r>
              <w:rPr>
                <w:sz w:val="16"/>
              </w:rPr>
              <w:t>44.08</w:t>
            </w:r>
          </w:p>
        </w:tc>
        <w:tc>
          <w:tcPr>
            <w:tcW w:type="dxa" w:w="2455"/>
            <w:vAlign w:val="center"/>
          </w:tcPr>
          <w:p>
            <w:pPr>
              <w:spacing w:after="40" w:before="40"/>
            </w:pPr>
            <w:r>
              <w:rPr>
                <w:sz w:val="16"/>
              </w:rPr>
              <w:t>44.00</w:t>
            </w:r>
          </w:p>
        </w:tc>
        <w:tc>
          <w:tcPr>
            <w:tcW w:type="dxa" w:w="2455"/>
            <w:vAlign w:val="center"/>
          </w:tcPr>
          <w:p>
            <w:pPr>
              <w:spacing w:after="40" w:before="40"/>
            </w:pPr>
            <w:r>
              <w:rPr>
                <w:sz w:val="16"/>
              </w:rPr>
              <w:t>0</w:t>
            </w:r>
          </w:p>
        </w:tc>
      </w:tr>
      <w:tr>
        <w:tc>
          <w:tcPr>
            <w:tcW w:type="dxa" w:w="2455"/>
            <w:vAlign w:val="center"/>
          </w:tcPr>
          <w:p>
            <w:pPr>
              <w:spacing w:after="40" w:before="40"/>
            </w:pPr>
            <w:r>
              <w:rPr>
                <w:sz w:val="16"/>
              </w:rPr>
              <w:t>monthly_income_usd</w:t>
            </w:r>
          </w:p>
        </w:tc>
        <w:tc>
          <w:tcPr>
            <w:tcW w:type="dxa" w:w="2455"/>
            <w:vAlign w:val="center"/>
          </w:tcPr>
          <w:p>
            <w:pPr>
              <w:spacing w:after="40" w:before="40"/>
            </w:pPr>
            <w:r>
              <w:rPr>
                <w:sz w:val="16"/>
              </w:rPr>
              <w:t>1221.28</w:t>
            </w:r>
          </w:p>
        </w:tc>
        <w:tc>
          <w:tcPr>
            <w:tcW w:type="dxa" w:w="2455"/>
            <w:vAlign w:val="center"/>
          </w:tcPr>
          <w:p>
            <w:pPr>
              <w:spacing w:after="40" w:before="40"/>
            </w:pPr>
            <w:r>
              <w:rPr>
                <w:sz w:val="16"/>
              </w:rPr>
              <w:t>1051.49</w:t>
            </w:r>
          </w:p>
        </w:tc>
        <w:tc>
          <w:tcPr>
            <w:tcW w:type="dxa" w:w="2455"/>
            <w:vAlign w:val="center"/>
          </w:tcPr>
          <w:p>
            <w:pPr>
              <w:spacing w:after="40" w:before="40"/>
            </w:pPr>
            <w:r>
              <w:rPr>
                <w:sz w:val="16"/>
              </w:rPr>
              <w:t>1.665</w:t>
            </w:r>
          </w:p>
        </w:tc>
      </w:tr>
      <w:tr>
        <w:tc>
          <w:tcPr>
            <w:tcW w:type="dxa" w:w="2455"/>
            <w:vAlign w:val="center"/>
          </w:tcPr>
          <w:p>
            <w:pPr>
              <w:spacing w:after="40" w:before="40"/>
            </w:pPr>
            <w:r>
              <w:rPr>
                <w:sz w:val="16"/>
              </w:rPr>
              <w:t>debt_to_income_ratio</w:t>
            </w:r>
          </w:p>
        </w:tc>
        <w:tc>
          <w:tcPr>
            <w:tcW w:type="dxa" w:w="2455"/>
            <w:vAlign w:val="center"/>
          </w:tcPr>
          <w:p>
            <w:pPr>
              <w:spacing w:after="40" w:before="40"/>
            </w:pPr>
            <w:r>
              <w:rPr>
                <w:sz w:val="16"/>
              </w:rPr>
              <w:t>0.35</w:t>
            </w:r>
          </w:p>
        </w:tc>
        <w:tc>
          <w:tcPr>
            <w:tcW w:type="dxa" w:w="2455"/>
            <w:vAlign w:val="center"/>
          </w:tcPr>
          <w:p>
            <w:pPr>
              <w:spacing w:after="40" w:before="40"/>
            </w:pPr>
            <w:r>
              <w:rPr>
                <w:sz w:val="16"/>
              </w:rPr>
              <w:t>0.33</w:t>
            </w:r>
          </w:p>
        </w:tc>
        <w:tc>
          <w:tcPr>
            <w:tcW w:type="dxa" w:w="2455"/>
            <w:vAlign w:val="center"/>
          </w:tcPr>
          <w:p>
            <w:pPr>
              <w:spacing w:after="40" w:before="40"/>
            </w:pPr>
            <w:r>
              <w:rPr>
                <w:sz w:val="16"/>
              </w:rPr>
              <w:t>63</w:t>
            </w:r>
          </w:p>
        </w:tc>
      </w:tr>
      <w:tr>
        <w:tc>
          <w:tcPr>
            <w:tcW w:type="dxa" w:w="2455"/>
            <w:vAlign w:val="center"/>
          </w:tcPr>
          <w:p>
            <w:pPr>
              <w:spacing w:after="40" w:before="40"/>
            </w:pPr>
            <w:r>
              <w:rPr>
                <w:sz w:val="16"/>
              </w:rPr>
              <w:t>credit_utilization</w:t>
            </w:r>
          </w:p>
        </w:tc>
        <w:tc>
          <w:tcPr>
            <w:tcW w:type="dxa" w:w="2455"/>
            <w:vAlign w:val="center"/>
          </w:tcPr>
          <w:p>
            <w:pPr>
              <w:spacing w:after="40" w:before="40"/>
            </w:pPr>
            <w:r>
              <w:rPr>
                <w:sz w:val="16"/>
              </w:rPr>
              <w:t>0.47</w:t>
            </w:r>
          </w:p>
        </w:tc>
        <w:tc>
          <w:tcPr>
            <w:tcW w:type="dxa" w:w="2455"/>
            <w:vAlign w:val="center"/>
          </w:tcPr>
          <w:p>
            <w:pPr>
              <w:spacing w:after="40" w:before="40"/>
            </w:pPr>
            <w:r>
              <w:rPr>
                <w:sz w:val="16"/>
              </w:rPr>
              <w:t>0.46</w:t>
            </w:r>
          </w:p>
        </w:tc>
        <w:tc>
          <w:tcPr>
            <w:tcW w:type="dxa" w:w="2455"/>
            <w:vAlign w:val="center"/>
          </w:tcPr>
          <w:p>
            <w:pPr>
              <w:spacing w:after="40" w:before="40"/>
            </w:pPr>
            <w:r>
              <w:rPr>
                <w:sz w:val="16"/>
              </w:rPr>
              <w:t>0</w:t>
            </w:r>
          </w:p>
        </w:tc>
      </w:tr>
      <w:tr>
        <w:tc>
          <w:tcPr>
            <w:tcW w:type="dxa" w:w="2455"/>
            <w:vAlign w:val="center"/>
          </w:tcPr>
          <w:p>
            <w:pPr>
              <w:spacing w:after="40" w:before="40"/>
            </w:pPr>
            <w:r>
              <w:rPr>
                <w:sz w:val="16"/>
              </w:rPr>
              <w:t>late_payments_12m</w:t>
            </w:r>
          </w:p>
        </w:tc>
        <w:tc>
          <w:tcPr>
            <w:tcW w:type="dxa" w:w="2455"/>
            <w:vAlign w:val="center"/>
          </w:tcPr>
          <w:p>
            <w:pPr>
              <w:spacing w:after="40" w:before="40"/>
            </w:pPr>
            <w:r>
              <w:rPr>
                <w:sz w:val="16"/>
              </w:rPr>
              <w:t>0.70</w:t>
            </w:r>
          </w:p>
        </w:tc>
        <w:tc>
          <w:tcPr>
            <w:tcW w:type="dxa" w:w="2455"/>
            <w:vAlign w:val="center"/>
          </w:tcPr>
          <w:p>
            <w:pPr>
              <w:spacing w:after="40" w:before="40"/>
            </w:pPr>
            <w:r>
              <w:rPr>
                <w:sz w:val="16"/>
              </w:rPr>
              <w:t>1.00</w:t>
            </w:r>
          </w:p>
        </w:tc>
        <w:tc>
          <w:tcPr>
            <w:tcW w:type="dxa" w:w="2455"/>
            <w:vAlign w:val="center"/>
          </w:tcPr>
          <w:p>
            <w:pPr>
              <w:spacing w:after="40" w:before="40"/>
            </w:pPr>
            <w:r>
              <w:rPr>
                <w:sz w:val="16"/>
              </w:rPr>
              <w:t>1.355</w:t>
            </w:r>
          </w:p>
        </w:tc>
      </w:tr>
      <w:tr>
        <w:tc>
          <w:tcPr>
            <w:tcW w:type="dxa" w:w="2455"/>
            <w:vAlign w:val="center"/>
          </w:tcPr>
          <w:p>
            <w:pPr>
              <w:spacing w:after="40" w:before="40"/>
            </w:pPr>
            <w:r>
              <w:rPr>
                <w:sz w:val="16"/>
              </w:rPr>
              <w:t>savings_usd</w:t>
            </w:r>
          </w:p>
        </w:tc>
        <w:tc>
          <w:tcPr>
            <w:tcW w:type="dxa" w:w="2455"/>
            <w:vAlign w:val="center"/>
          </w:tcPr>
          <w:p>
            <w:pPr>
              <w:spacing w:after="40" w:before="40"/>
            </w:pPr>
            <w:r>
              <w:rPr>
                <w:sz w:val="16"/>
              </w:rPr>
              <w:t>1095.86</w:t>
            </w:r>
          </w:p>
        </w:tc>
        <w:tc>
          <w:tcPr>
            <w:tcW w:type="dxa" w:w="2455"/>
            <w:vAlign w:val="center"/>
          </w:tcPr>
          <w:p>
            <w:pPr>
              <w:spacing w:after="40" w:before="40"/>
            </w:pPr>
            <w:r>
              <w:rPr>
                <w:sz w:val="16"/>
              </w:rPr>
              <w:t>499.24</w:t>
            </w:r>
          </w:p>
        </w:tc>
        <w:tc>
          <w:tcPr>
            <w:tcW w:type="dxa" w:w="2455"/>
            <w:vAlign w:val="center"/>
          </w:tcPr>
          <w:p>
            <w:pPr>
              <w:spacing w:after="40" w:before="40"/>
            </w:pPr>
            <w:r>
              <w:rPr>
                <w:sz w:val="16"/>
              </w:rPr>
              <w:t>3.024</w:t>
            </w:r>
          </w:p>
        </w:tc>
      </w:tr>
    </w:tbl>
    <w:p>
      <w:r>
        <w:t>Como ejemplos descriptivos no causales, el incumplimiento en TRAIN es del 6.38% entre trabajadores independientes y del 4.83% entre trabajadores dependientes. Estos porcentajes no justifican decisiones individuales ni implican causalidad.</w:t>
      </w:r>
    </w:p>
    <w:p>
      <w:pPr>
        <w:pStyle w:val="Heading1"/>
      </w:pPr>
      <w:r>
        <w:t>4. Diseño metodológico</w:t>
      </w:r>
    </w:p>
    <w:tbl>
      <w:tblPr>
        <w:tblStyle w:val="LightShading-Accent1"/>
        <w:tblW w:type="auto" w:w="0"/>
        <w:jc w:val="center"/>
        <w:tblLook w:firstColumn="1" w:firstRow="1" w:lastColumn="0" w:lastRow="0" w:noHBand="0" w:noVBand="1" w:val="04A0"/>
      </w:tblPr>
      <w:tblGrid>
        <w:gridCol w:w="4910"/>
        <w:gridCol w:w="4910"/>
      </w:tblGrid>
      <w:tr>
        <w:tc>
          <w:tcPr>
            <w:tcW w:type="dxa" w:w="4910"/>
            <w:vAlign w:val="center"/>
          </w:tcPr>
          <w:p>
            <w:pPr>
              <w:spacing w:after="40" w:before="40"/>
            </w:pPr>
            <w:r>
              <w:rPr>
                <w:sz w:val="16"/>
              </w:rPr>
              <w:t>Etapa</w:t>
            </w:r>
          </w:p>
        </w:tc>
        <w:tc>
          <w:tcPr>
            <w:tcW w:type="dxa" w:w="4910"/>
            <w:vAlign w:val="center"/>
          </w:tcPr>
          <w:p>
            <w:pPr>
              <w:spacing w:after="40" w:before="40"/>
            </w:pPr>
            <w:r>
              <w:rPr>
                <w:sz w:val="16"/>
              </w:rPr>
              <w:t>Protocolo</w:t>
            </w:r>
          </w:p>
        </w:tc>
      </w:tr>
      <w:tr>
        <w:tc>
          <w:tcPr>
            <w:tcW w:type="dxa" w:w="4910"/>
            <w:vAlign w:val="center"/>
          </w:tcPr>
          <w:p>
            <w:pPr>
              <w:spacing w:after="40" w:before="40"/>
            </w:pPr>
            <w:r>
              <w:rPr>
                <w:sz w:val="16"/>
              </w:rPr>
              <w:t>Holdout</w:t>
            </w:r>
          </w:p>
        </w:tc>
        <w:tc>
          <w:tcPr>
            <w:tcW w:type="dxa" w:w="4910"/>
            <w:vAlign w:val="center"/>
          </w:tcPr>
          <w:p>
            <w:pPr>
              <w:spacing w:after="40" w:before="40"/>
            </w:pPr>
            <w:r>
              <w:rPr>
                <w:sz w:val="16"/>
              </w:rPr>
              <w:t>80 % TRAIN (40.000) / 20 % TEST (10.000), estratificado y seed 42.</w:t>
            </w:r>
          </w:p>
        </w:tc>
      </w:tr>
      <w:tr>
        <w:tc>
          <w:tcPr>
            <w:tcW w:type="dxa" w:w="4910"/>
            <w:vAlign w:val="center"/>
          </w:tcPr>
          <w:p>
            <w:pPr>
              <w:spacing w:after="40" w:before="40"/>
            </w:pPr>
            <w:r>
              <w:rPr>
                <w:sz w:val="16"/>
              </w:rPr>
              <w:t>Variables</w:t>
            </w:r>
          </w:p>
        </w:tc>
        <w:tc>
          <w:tcPr>
            <w:tcW w:type="dxa" w:w="4910"/>
            <w:vAlign w:val="center"/>
          </w:tcPr>
          <w:p>
            <w:pPr>
              <w:spacing w:after="40" w:before="40"/>
            </w:pPr>
            <w:r>
              <w:rPr>
                <w:sz w:val="16"/>
              </w:rPr>
              <w:t>14 predictores; applicant_id y default_12m excluidos de X.</w:t>
            </w:r>
          </w:p>
        </w:tc>
      </w:tr>
      <w:tr>
        <w:tc>
          <w:tcPr>
            <w:tcW w:type="dxa" w:w="4910"/>
            <w:vAlign w:val="center"/>
          </w:tcPr>
          <w:p>
            <w:pPr>
              <w:spacing w:after="40" w:before="40"/>
            </w:pPr>
            <w:r>
              <w:rPr>
                <w:sz w:val="16"/>
              </w:rPr>
              <w:t>Transformaciones</w:t>
            </w:r>
          </w:p>
        </w:tc>
        <w:tc>
          <w:tcPr>
            <w:tcW w:type="dxa" w:w="4910"/>
            <w:vAlign w:val="center"/>
          </w:tcPr>
          <w:p>
            <w:pPr>
              <w:spacing w:after="40" w:before="40"/>
            </w:pPr>
            <w:r>
              <w:rPr>
                <w:sz w:val="16"/>
              </w:rPr>
              <w:t>Pipeline / ColumnTransformer: imputación mediana numérica, imputación moda + One-Hot categórica.</w:t>
            </w:r>
          </w:p>
        </w:tc>
      </w:tr>
      <w:tr>
        <w:tc>
          <w:tcPr>
            <w:tcW w:type="dxa" w:w="4910"/>
            <w:vAlign w:val="center"/>
          </w:tcPr>
          <w:p>
            <w:pPr>
              <w:spacing w:after="40" w:before="40"/>
            </w:pPr>
            <w:r>
              <w:rPr>
                <w:sz w:val="16"/>
              </w:rPr>
              <w:t>Escalado</w:t>
            </w:r>
          </w:p>
        </w:tc>
        <w:tc>
          <w:tcPr>
            <w:tcW w:type="dxa" w:w="4910"/>
            <w:vAlign w:val="center"/>
          </w:tcPr>
          <w:p>
            <w:pPr>
              <w:spacing w:after="40" w:before="40"/>
            </w:pPr>
            <w:r>
              <w:rPr>
                <w:sz w:val="16"/>
              </w:rPr>
              <w:t>StandardScaler solo para Regresión Logística.</w:t>
            </w:r>
          </w:p>
        </w:tc>
      </w:tr>
      <w:tr>
        <w:tc>
          <w:tcPr>
            <w:tcW w:type="dxa" w:w="4910"/>
            <w:vAlign w:val="center"/>
          </w:tcPr>
          <w:p>
            <w:pPr>
              <w:spacing w:after="40" w:before="40"/>
            </w:pPr>
            <w:r>
              <w:rPr>
                <w:sz w:val="16"/>
              </w:rPr>
              <w:t>CV</w:t>
            </w:r>
          </w:p>
        </w:tc>
        <w:tc>
          <w:tcPr>
            <w:tcW w:type="dxa" w:w="4910"/>
            <w:vAlign w:val="center"/>
          </w:tcPr>
          <w:p>
            <w:pPr>
              <w:spacing w:after="40" w:before="40"/>
            </w:pPr>
            <w:r>
              <w:rPr>
                <w:sz w:val="16"/>
              </w:rPr>
              <w:t>StratifiedKFold(5, shuffle=True, random_state=42), exclusivamente TRAIN.</w:t>
            </w:r>
          </w:p>
        </w:tc>
      </w:tr>
      <w:tr>
        <w:tc>
          <w:tcPr>
            <w:tcW w:type="dxa" w:w="4910"/>
            <w:vAlign w:val="center"/>
          </w:tcPr>
          <w:p>
            <w:pPr>
              <w:spacing w:after="40" w:before="40"/>
            </w:pPr>
            <w:r>
              <w:rPr>
                <w:sz w:val="16"/>
              </w:rPr>
              <w:t>Selección</w:t>
            </w:r>
          </w:p>
        </w:tc>
        <w:tc>
          <w:tcPr>
            <w:tcW w:type="dxa" w:w="4910"/>
            <w:vAlign w:val="center"/>
          </w:tcPr>
          <w:p>
            <w:pPr>
              <w:spacing w:after="40" w:before="40"/>
            </w:pPr>
            <w:r>
              <w:rPr>
                <w:sz w:val="16"/>
              </w:rPr>
              <w:t>Mayor PR-AUC = Average Precision media CV; desempate por Recall CV.</w:t>
            </w:r>
          </w:p>
        </w:tc>
      </w:tr>
      <w:tr>
        <w:tc>
          <w:tcPr>
            <w:tcW w:type="dxa" w:w="4910"/>
            <w:vAlign w:val="center"/>
          </w:tcPr>
          <w:p>
            <w:pPr>
              <w:spacing w:after="40" w:before="40"/>
            </w:pPr>
            <w:r>
              <w:rPr>
                <w:sz w:val="16"/>
              </w:rPr>
              <w:t>Umbral final</w:t>
            </w:r>
          </w:p>
        </w:tc>
        <w:tc>
          <w:tcPr>
            <w:tcW w:type="dxa" w:w="4910"/>
            <w:vAlign w:val="center"/>
          </w:tcPr>
          <w:p>
            <w:pPr>
              <w:spacing w:after="40" w:before="40"/>
            </w:pPr>
            <w:r>
              <w:rPr>
                <w:sz w:val="16"/>
              </w:rPr>
              <w:t>0,50, preestablecido; variaciones solo explicativas con predicciones OOF TRAIN.</w:t>
            </w:r>
          </w:p>
        </w:tc>
      </w:tr>
      <w:tr>
        <w:tc>
          <w:tcPr>
            <w:tcW w:type="dxa" w:w="4910"/>
            <w:vAlign w:val="center"/>
          </w:tcPr>
          <w:p>
            <w:pPr>
              <w:spacing w:after="40" w:before="40"/>
            </w:pPr>
            <w:r>
              <w:rPr>
                <w:sz w:val="16"/>
              </w:rPr>
              <w:t>Evaluación</w:t>
            </w:r>
          </w:p>
        </w:tc>
        <w:tc>
          <w:tcPr>
            <w:tcW w:type="dxa" w:w="4910"/>
            <w:vAlign w:val="center"/>
          </w:tcPr>
          <w:p>
            <w:pPr>
              <w:spacing w:after="40" w:before="40"/>
            </w:pPr>
            <w:r>
              <w:rPr>
                <w:sz w:val="16"/>
              </w:rPr>
              <w:t>Única evaluación final en TEST del modelo seleccionado por CV.</w:t>
            </w:r>
          </w:p>
        </w:tc>
      </w:tr>
    </w:tbl>
    <w:p>
      <w:r>
        <w:br w:type="page"/>
      </w:r>
    </w:p>
    <w:p>
      <w:pPr>
        <w:pStyle w:val="Heading1"/>
      </w:pPr>
      <w:r>
        <w:t>5. Algoritmos y validación cruzada</w:t>
      </w:r>
    </w:p>
    <w:tbl>
      <w:tblPr>
        <w:tblStyle w:val="LightShading-Accent1"/>
        <w:tblW w:type="auto" w:w="0"/>
        <w:jc w:val="center"/>
        <w:tblLook w:firstColumn="1" w:firstRow="1" w:lastColumn="0" w:lastRow="0" w:noHBand="0" w:noVBand="1" w:val="04A0"/>
      </w:tblPr>
      <w:tblGrid>
        <w:gridCol w:w="4910"/>
        <w:gridCol w:w="4910"/>
      </w:tblGrid>
      <w:tr>
        <w:tc>
          <w:tcPr>
            <w:tcW w:type="dxa" w:w="4910"/>
            <w:vAlign w:val="center"/>
          </w:tcPr>
          <w:p>
            <w:pPr>
              <w:spacing w:after="40" w:before="40"/>
            </w:pPr>
            <w:r>
              <w:rPr>
                <w:sz w:val="16"/>
              </w:rPr>
              <w:t>Modelo</w:t>
            </w:r>
          </w:p>
        </w:tc>
        <w:tc>
          <w:tcPr>
            <w:tcW w:type="dxa" w:w="4910"/>
            <w:vAlign w:val="center"/>
          </w:tcPr>
          <w:p>
            <w:pPr>
              <w:spacing w:after="40" w:before="40"/>
            </w:pPr>
            <w:r>
              <w:rPr>
                <w:sz w:val="16"/>
              </w:rPr>
              <w:t>Parámetros elegidos previamente</w:t>
            </w:r>
          </w:p>
        </w:tc>
      </w:tr>
      <w:tr>
        <w:tc>
          <w:tcPr>
            <w:tcW w:type="dxa" w:w="4910"/>
            <w:vAlign w:val="center"/>
          </w:tcPr>
          <w:p>
            <w:pPr>
              <w:spacing w:after="40" w:before="40"/>
            </w:pPr>
            <w:r>
              <w:rPr>
                <w:sz w:val="16"/>
              </w:rPr>
              <w:t>Regresión Logística</w:t>
            </w:r>
          </w:p>
        </w:tc>
        <w:tc>
          <w:tcPr>
            <w:tcW w:type="dxa" w:w="4910"/>
            <w:vAlign w:val="center"/>
          </w:tcPr>
          <w:p>
            <w:pPr>
              <w:spacing w:after="40" w:before="40"/>
            </w:pPr>
            <w:r>
              <w:rPr>
                <w:sz w:val="16"/>
              </w:rPr>
              <w:t>class_weight=balanced, max_iter=1300 y StandardScaler.</w:t>
            </w:r>
          </w:p>
        </w:tc>
      </w:tr>
      <w:tr>
        <w:tc>
          <w:tcPr>
            <w:tcW w:type="dxa" w:w="4910"/>
            <w:vAlign w:val="center"/>
          </w:tcPr>
          <w:p>
            <w:pPr>
              <w:spacing w:after="40" w:before="40"/>
            </w:pPr>
            <w:r>
              <w:rPr>
                <w:sz w:val="16"/>
              </w:rPr>
              <w:t>Árbol de Decisión</w:t>
            </w:r>
          </w:p>
        </w:tc>
        <w:tc>
          <w:tcPr>
            <w:tcW w:type="dxa" w:w="4910"/>
            <w:vAlign w:val="center"/>
          </w:tcPr>
          <w:p>
            <w:pPr>
              <w:spacing w:after="40" w:before="40"/>
            </w:pPr>
            <w:r>
              <w:rPr>
                <w:sz w:val="16"/>
              </w:rPr>
              <w:t>max_depth=6, min_samples_leaf=25, class_weight=balanced.</w:t>
            </w:r>
          </w:p>
        </w:tc>
      </w:tr>
      <w:tr>
        <w:tc>
          <w:tcPr>
            <w:tcW w:type="dxa" w:w="4910"/>
            <w:vAlign w:val="center"/>
          </w:tcPr>
          <w:p>
            <w:pPr>
              <w:spacing w:after="40" w:before="40"/>
            </w:pPr>
            <w:r>
              <w:rPr>
                <w:sz w:val="16"/>
              </w:rPr>
              <w:t>Random Forest</w:t>
            </w:r>
          </w:p>
        </w:tc>
        <w:tc>
          <w:tcPr>
            <w:tcW w:type="dxa" w:w="4910"/>
            <w:vAlign w:val="center"/>
          </w:tcPr>
          <w:p>
            <w:pPr>
              <w:spacing w:after="40" w:before="40"/>
            </w:pPr>
            <w:r>
              <w:rPr>
                <w:sz w:val="16"/>
              </w:rPr>
              <w:t>110 árboles, min_samples_leaf=5, class_weight=balanced_subsample.</w:t>
            </w:r>
          </w:p>
        </w:tc>
      </w:tr>
      <w:tr>
        <w:tc>
          <w:tcPr>
            <w:tcW w:type="dxa" w:w="4910"/>
            <w:vAlign w:val="center"/>
          </w:tcPr>
          <w:p>
            <w:pPr>
              <w:spacing w:after="40" w:before="40"/>
            </w:pPr>
            <w:r>
              <w:rPr>
                <w:sz w:val="16"/>
              </w:rPr>
              <w:t>Gradient Boosting</w:t>
            </w:r>
          </w:p>
        </w:tc>
        <w:tc>
          <w:tcPr>
            <w:tcW w:type="dxa" w:w="4910"/>
            <w:vAlign w:val="center"/>
          </w:tcPr>
          <w:p>
            <w:pPr>
              <w:spacing w:after="40" w:before="40"/>
            </w:pPr>
            <w:r>
              <w:rPr>
                <w:sz w:val="16"/>
              </w:rPr>
              <w:t>HistGradientBoostingClassifier, 110 iteraciones, max_leaf_nodes=15, learning_rate=0,07.</w:t>
            </w:r>
          </w:p>
        </w:tc>
      </w:tr>
    </w:tbl>
    <w:p>
      <w:r>
        <w:t>HistGradientBoostingClassifier es una implementación del algoritmo Gradient Boosting optimizada mediante histogramas. Los hiperparámetros son fijos y no se eligieron mirando TEST.</w:t>
      </w:r>
    </w:p>
    <w:tbl>
      <w:tblPr>
        <w:tblStyle w:val="LightShading-Accent1"/>
        <w:tblW w:type="auto" w:w="0"/>
        <w:jc w:val="center"/>
        <w:tblLook w:firstColumn="1" w:firstRow="1" w:lastColumn="0" w:lastRow="0" w:noHBand="0" w:noVBand="1" w:val="04A0"/>
      </w:tblPr>
      <w:tblGrid>
        <w:gridCol w:w="1637"/>
        <w:gridCol w:w="1637"/>
        <w:gridCol w:w="1637"/>
        <w:gridCol w:w="1637"/>
        <w:gridCol w:w="1637"/>
        <w:gridCol w:w="1637"/>
      </w:tblGrid>
      <w:tr>
        <w:tc>
          <w:tcPr>
            <w:tcW w:type="dxa" w:w="1637"/>
            <w:vAlign w:val="center"/>
          </w:tcPr>
          <w:p>
            <w:pPr>
              <w:spacing w:after="40" w:before="40"/>
            </w:pPr>
            <w:r>
              <w:rPr>
                <w:sz w:val="16"/>
              </w:rPr>
              <w:t>Modelo</w:t>
            </w:r>
          </w:p>
        </w:tc>
        <w:tc>
          <w:tcPr>
            <w:tcW w:type="dxa" w:w="1637"/>
            <w:vAlign w:val="center"/>
          </w:tcPr>
          <w:p>
            <w:pPr>
              <w:spacing w:after="40" w:before="40"/>
            </w:pPr>
            <w:r>
              <w:rPr>
                <w:sz w:val="16"/>
              </w:rPr>
              <w:t>Precision CV</w:t>
            </w:r>
          </w:p>
        </w:tc>
        <w:tc>
          <w:tcPr>
            <w:tcW w:type="dxa" w:w="1637"/>
            <w:vAlign w:val="center"/>
          </w:tcPr>
          <w:p>
            <w:pPr>
              <w:spacing w:after="40" w:before="40"/>
            </w:pPr>
            <w:r>
              <w:rPr>
                <w:sz w:val="16"/>
              </w:rPr>
              <w:t>Recall CV</w:t>
            </w:r>
          </w:p>
        </w:tc>
        <w:tc>
          <w:tcPr>
            <w:tcW w:type="dxa" w:w="1637"/>
            <w:vAlign w:val="center"/>
          </w:tcPr>
          <w:p>
            <w:pPr>
              <w:spacing w:after="40" w:before="40"/>
            </w:pPr>
            <w:r>
              <w:rPr>
                <w:sz w:val="16"/>
              </w:rPr>
              <w:t>F1 CV</w:t>
            </w:r>
          </w:p>
        </w:tc>
        <w:tc>
          <w:tcPr>
            <w:tcW w:type="dxa" w:w="1637"/>
            <w:vAlign w:val="center"/>
          </w:tcPr>
          <w:p>
            <w:pPr>
              <w:spacing w:after="40" w:before="40"/>
            </w:pPr>
            <w:r>
              <w:rPr>
                <w:sz w:val="16"/>
              </w:rPr>
              <w:t>ROC-AUC CV</w:t>
            </w:r>
          </w:p>
        </w:tc>
        <w:tc>
          <w:tcPr>
            <w:tcW w:type="dxa" w:w="1637"/>
            <w:vAlign w:val="center"/>
          </w:tcPr>
          <w:p>
            <w:pPr>
              <w:spacing w:after="40" w:before="40"/>
            </w:pPr>
            <w:r>
              <w:rPr>
                <w:sz w:val="16"/>
              </w:rPr>
              <w:t>PR-AUC CV</w:t>
            </w:r>
          </w:p>
        </w:tc>
      </w:tr>
      <w:tr>
        <w:tc>
          <w:tcPr>
            <w:tcW w:type="dxa" w:w="1637"/>
            <w:vAlign w:val="center"/>
          </w:tcPr>
          <w:p>
            <w:pPr>
              <w:spacing w:after="40" w:before="40"/>
            </w:pPr>
            <w:r>
              <w:rPr>
                <w:sz w:val="16"/>
              </w:rPr>
              <w:t>Gradient Boosting</w:t>
            </w:r>
          </w:p>
        </w:tc>
        <w:tc>
          <w:tcPr>
            <w:tcW w:type="dxa" w:w="1637"/>
            <w:vAlign w:val="center"/>
          </w:tcPr>
          <w:p>
            <w:pPr>
              <w:spacing w:after="40" w:before="40"/>
            </w:pPr>
            <w:r>
              <w:rPr>
                <w:sz w:val="16"/>
              </w:rPr>
              <w:t>0.0%</w:t>
            </w:r>
          </w:p>
        </w:tc>
        <w:tc>
          <w:tcPr>
            <w:tcW w:type="dxa" w:w="1637"/>
            <w:vAlign w:val="center"/>
          </w:tcPr>
          <w:p>
            <w:pPr>
              <w:spacing w:after="40" w:before="40"/>
            </w:pPr>
            <w:r>
              <w:rPr>
                <w:sz w:val="16"/>
              </w:rPr>
              <w:t>0.0%</w:t>
            </w:r>
          </w:p>
        </w:tc>
        <w:tc>
          <w:tcPr>
            <w:tcW w:type="dxa" w:w="1637"/>
            <w:vAlign w:val="center"/>
          </w:tcPr>
          <w:p>
            <w:pPr>
              <w:spacing w:after="40" w:before="40"/>
            </w:pPr>
            <w:r>
              <w:rPr>
                <w:sz w:val="16"/>
              </w:rPr>
              <w:t>0.0%</w:t>
            </w:r>
          </w:p>
        </w:tc>
        <w:tc>
          <w:tcPr>
            <w:tcW w:type="dxa" w:w="1637"/>
            <w:vAlign w:val="center"/>
          </w:tcPr>
          <w:p>
            <w:pPr>
              <w:spacing w:after="40" w:before="40"/>
            </w:pPr>
            <w:r>
              <w:rPr>
                <w:sz w:val="16"/>
              </w:rPr>
              <w:t>67.0%</w:t>
            </w:r>
          </w:p>
        </w:tc>
        <w:tc>
          <w:tcPr>
            <w:tcW w:type="dxa" w:w="1637"/>
            <w:vAlign w:val="center"/>
          </w:tcPr>
          <w:p>
            <w:pPr>
              <w:spacing w:after="40" w:before="40"/>
            </w:pPr>
            <w:r>
              <w:rPr>
                <w:sz w:val="16"/>
              </w:rPr>
              <w:t>11.4%</w:t>
            </w:r>
          </w:p>
        </w:tc>
      </w:tr>
      <w:tr>
        <w:tc>
          <w:tcPr>
            <w:tcW w:type="dxa" w:w="1637"/>
            <w:vAlign w:val="center"/>
          </w:tcPr>
          <w:p>
            <w:pPr>
              <w:spacing w:after="40" w:before="40"/>
            </w:pPr>
            <w:r>
              <w:rPr>
                <w:sz w:val="16"/>
              </w:rPr>
              <w:t>Random Forest</w:t>
            </w:r>
          </w:p>
        </w:tc>
        <w:tc>
          <w:tcPr>
            <w:tcW w:type="dxa" w:w="1637"/>
            <w:vAlign w:val="center"/>
          </w:tcPr>
          <w:p>
            <w:pPr>
              <w:spacing w:after="40" w:before="40"/>
            </w:pPr>
            <w:r>
              <w:rPr>
                <w:sz w:val="16"/>
              </w:rPr>
              <w:t>18.4%</w:t>
            </w:r>
          </w:p>
        </w:tc>
        <w:tc>
          <w:tcPr>
            <w:tcW w:type="dxa" w:w="1637"/>
            <w:vAlign w:val="center"/>
          </w:tcPr>
          <w:p>
            <w:pPr>
              <w:spacing w:after="40" w:before="40"/>
            </w:pPr>
            <w:r>
              <w:rPr>
                <w:sz w:val="16"/>
              </w:rPr>
              <w:t>0.8%</w:t>
            </w:r>
          </w:p>
        </w:tc>
        <w:tc>
          <w:tcPr>
            <w:tcW w:type="dxa" w:w="1637"/>
            <w:vAlign w:val="center"/>
          </w:tcPr>
          <w:p>
            <w:pPr>
              <w:spacing w:after="40" w:before="40"/>
            </w:pPr>
            <w:r>
              <w:rPr>
                <w:sz w:val="16"/>
              </w:rPr>
              <w:t>1.6%</w:t>
            </w:r>
          </w:p>
        </w:tc>
        <w:tc>
          <w:tcPr>
            <w:tcW w:type="dxa" w:w="1637"/>
            <w:vAlign w:val="center"/>
          </w:tcPr>
          <w:p>
            <w:pPr>
              <w:spacing w:after="40" w:before="40"/>
            </w:pPr>
            <w:r>
              <w:rPr>
                <w:sz w:val="16"/>
              </w:rPr>
              <w:t>65.1%</w:t>
            </w:r>
          </w:p>
        </w:tc>
        <w:tc>
          <w:tcPr>
            <w:tcW w:type="dxa" w:w="1637"/>
            <w:vAlign w:val="center"/>
          </w:tcPr>
          <w:p>
            <w:pPr>
              <w:spacing w:after="40" w:before="40"/>
            </w:pPr>
            <w:r>
              <w:rPr>
                <w:sz w:val="16"/>
              </w:rPr>
              <w:t>10.5%</w:t>
            </w:r>
          </w:p>
        </w:tc>
      </w:tr>
      <w:tr>
        <w:tc>
          <w:tcPr>
            <w:tcW w:type="dxa" w:w="1637"/>
            <w:vAlign w:val="center"/>
          </w:tcPr>
          <w:p>
            <w:pPr>
              <w:spacing w:after="40" w:before="40"/>
            </w:pPr>
            <w:r>
              <w:rPr>
                <w:sz w:val="16"/>
              </w:rPr>
              <w:t>Regresión Logística</w:t>
            </w:r>
          </w:p>
        </w:tc>
        <w:tc>
          <w:tcPr>
            <w:tcW w:type="dxa" w:w="1637"/>
            <w:vAlign w:val="center"/>
          </w:tcPr>
          <w:p>
            <w:pPr>
              <w:spacing w:after="40" w:before="40"/>
            </w:pPr>
            <w:r>
              <w:rPr>
                <w:sz w:val="16"/>
              </w:rPr>
              <w:t>8.0%</w:t>
            </w:r>
          </w:p>
        </w:tc>
        <w:tc>
          <w:tcPr>
            <w:tcW w:type="dxa" w:w="1637"/>
            <w:vAlign w:val="center"/>
          </w:tcPr>
          <w:p>
            <w:pPr>
              <w:spacing w:after="40" w:before="40"/>
            </w:pPr>
            <w:r>
              <w:rPr>
                <w:sz w:val="16"/>
              </w:rPr>
              <w:t>57.7%</w:t>
            </w:r>
          </w:p>
        </w:tc>
        <w:tc>
          <w:tcPr>
            <w:tcW w:type="dxa" w:w="1637"/>
            <w:vAlign w:val="center"/>
          </w:tcPr>
          <w:p>
            <w:pPr>
              <w:spacing w:after="40" w:before="40"/>
            </w:pPr>
            <w:r>
              <w:rPr>
                <w:sz w:val="16"/>
              </w:rPr>
              <w:t>14.1%</w:t>
            </w:r>
          </w:p>
        </w:tc>
        <w:tc>
          <w:tcPr>
            <w:tcW w:type="dxa" w:w="1637"/>
            <w:vAlign w:val="center"/>
          </w:tcPr>
          <w:p>
            <w:pPr>
              <w:spacing w:after="40" w:before="40"/>
            </w:pPr>
            <w:r>
              <w:rPr>
                <w:sz w:val="16"/>
              </w:rPr>
              <w:t>63.4%</w:t>
            </w:r>
          </w:p>
        </w:tc>
        <w:tc>
          <w:tcPr>
            <w:tcW w:type="dxa" w:w="1637"/>
            <w:vAlign w:val="center"/>
          </w:tcPr>
          <w:p>
            <w:pPr>
              <w:spacing w:after="40" w:before="40"/>
            </w:pPr>
            <w:r>
              <w:rPr>
                <w:sz w:val="16"/>
              </w:rPr>
              <w:t>9.4%</w:t>
            </w:r>
          </w:p>
        </w:tc>
      </w:tr>
      <w:tr>
        <w:tc>
          <w:tcPr>
            <w:tcW w:type="dxa" w:w="1637"/>
            <w:vAlign w:val="center"/>
          </w:tcPr>
          <w:p>
            <w:pPr>
              <w:spacing w:after="40" w:before="40"/>
            </w:pPr>
            <w:r>
              <w:rPr>
                <w:sz w:val="16"/>
              </w:rPr>
              <w:t>Árbol de Decisión</w:t>
            </w:r>
          </w:p>
        </w:tc>
        <w:tc>
          <w:tcPr>
            <w:tcW w:type="dxa" w:w="1637"/>
            <w:vAlign w:val="center"/>
          </w:tcPr>
          <w:p>
            <w:pPr>
              <w:spacing w:after="40" w:before="40"/>
            </w:pPr>
            <w:r>
              <w:rPr>
                <w:sz w:val="16"/>
              </w:rPr>
              <w:t>9.1%</w:t>
            </w:r>
          </w:p>
        </w:tc>
        <w:tc>
          <w:tcPr>
            <w:tcW w:type="dxa" w:w="1637"/>
            <w:vAlign w:val="center"/>
          </w:tcPr>
          <w:p>
            <w:pPr>
              <w:spacing w:after="40" w:before="40"/>
            </w:pPr>
            <w:r>
              <w:rPr>
                <w:sz w:val="16"/>
              </w:rPr>
              <w:t>49.4%</w:t>
            </w:r>
          </w:p>
        </w:tc>
        <w:tc>
          <w:tcPr>
            <w:tcW w:type="dxa" w:w="1637"/>
            <w:vAlign w:val="center"/>
          </w:tcPr>
          <w:p>
            <w:pPr>
              <w:spacing w:after="40" w:before="40"/>
            </w:pPr>
            <w:r>
              <w:rPr>
                <w:sz w:val="16"/>
              </w:rPr>
              <w:t>15.3%</w:t>
            </w:r>
          </w:p>
        </w:tc>
        <w:tc>
          <w:tcPr>
            <w:tcW w:type="dxa" w:w="1637"/>
            <w:vAlign w:val="center"/>
          </w:tcPr>
          <w:p>
            <w:pPr>
              <w:spacing w:after="40" w:before="40"/>
            </w:pPr>
            <w:r>
              <w:rPr>
                <w:sz w:val="16"/>
              </w:rPr>
              <w:t>63.1%</w:t>
            </w:r>
          </w:p>
        </w:tc>
        <w:tc>
          <w:tcPr>
            <w:tcW w:type="dxa" w:w="1637"/>
            <w:vAlign w:val="center"/>
          </w:tcPr>
          <w:p>
            <w:pPr>
              <w:spacing w:after="40" w:before="40"/>
            </w:pPr>
            <w:r>
              <w:rPr>
                <w:sz w:val="16"/>
              </w:rPr>
              <w:t>9.2%</w:t>
            </w:r>
          </w:p>
        </w:tc>
      </w:tr>
    </w:tbl>
    <w:p>
      <w:pPr>
        <w:jc w:val="center"/>
      </w:pPr>
      <w:r>
        <w:drawing>
          <wp:inline xmlns:a="http://schemas.openxmlformats.org/drawingml/2006/main" xmlns:pic="http://schemas.openxmlformats.org/drawingml/2006/picture">
            <wp:extent cx="5303520" cy="2190504"/>
            <wp:docPr id="2" name="Picture 2"/>
            <wp:cNvGraphicFramePr>
              <a:graphicFrameLocks noChangeAspect="1"/>
            </wp:cNvGraphicFramePr>
            <a:graphic>
              <a:graphicData uri="http://schemas.openxmlformats.org/drawingml/2006/picture">
                <pic:pic>
                  <pic:nvPicPr>
                    <pic:cNvPr id="0" name="02_comparacion_ap.png"/>
                    <pic:cNvPicPr/>
                  </pic:nvPicPr>
                  <pic:blipFill>
                    <a:blip r:embed="rId12"/>
                    <a:stretch>
                      <a:fillRect/>
                    </a:stretch>
                  </pic:blipFill>
                  <pic:spPr>
                    <a:xfrm>
                      <a:off x="0" y="0"/>
                      <a:ext cx="5303520" cy="2190504"/>
                    </a:xfrm>
                    <a:prstGeom prst="rect"/>
                  </pic:spPr>
                </pic:pic>
              </a:graphicData>
            </a:graphic>
          </wp:inline>
        </w:drawing>
      </w:r>
    </w:p>
    <w:p>
      <w:pPr>
        <w:jc w:val="center"/>
      </w:pPr>
      <w:r>
        <w:rPr>
          <w:i/>
          <w:color w:val="637A87"/>
          <w:sz w:val="16"/>
        </w:rPr>
        <w:t>Figura 2. PR-AUC (AP) media entre cinco folds, calculada solo sobre TRAIN.</w:t>
      </w:r>
    </w:p>
    <w:p>
      <w:r>
        <w:t>Resultado: Gradient Boosting fue seleccionado por una PR-AUC media de 11.38% (desviación estándar 0.77%). La prevalencia del objetivo, cerca de 5,5 %, sirve de referencia interpretativa para AP; no debe confundirse con el desempeño de un modelo real.</w:t>
      </w:r>
    </w:p>
    <w:p>
      <w:r>
        <w:br w:type="page"/>
      </w:r>
    </w:p>
    <w:p>
      <w:pPr>
        <w:pStyle w:val="Heading1"/>
      </w:pPr>
      <w:r>
        <w:t>6. Curvas de clasificación sobre TRAIN</w:t>
      </w:r>
    </w:p>
    <w:p>
      <w:r>
        <w:t>Para generar curvas comparables de los cuatro modelos se utilizaron predicciones out-of-fold (OOF). Cada fila TRAIN fue puntuada por un modelo que no la utilizó durante el ajuste. Este análisis no participa en la selección posterior del modelo en TEST.</w:t>
      </w:r>
    </w:p>
    <w:p>
      <w:pPr>
        <w:jc w:val="center"/>
      </w:pPr>
      <w:r>
        <w:drawing>
          <wp:inline xmlns:a="http://schemas.openxmlformats.org/drawingml/2006/main" xmlns:pic="http://schemas.openxmlformats.org/drawingml/2006/picture">
            <wp:extent cx="5806440" cy="2431812"/>
            <wp:docPr id="3" name="Picture 3"/>
            <wp:cNvGraphicFramePr>
              <a:graphicFrameLocks noChangeAspect="1"/>
            </wp:cNvGraphicFramePr>
            <a:graphic>
              <a:graphicData uri="http://schemas.openxmlformats.org/drawingml/2006/picture">
                <pic:pic>
                  <pic:nvPicPr>
                    <pic:cNvPr id="0" name="03_curvas_oof.png"/>
                    <pic:cNvPicPr/>
                  </pic:nvPicPr>
                  <pic:blipFill>
                    <a:blip r:embed="rId13"/>
                    <a:stretch>
                      <a:fillRect/>
                    </a:stretch>
                  </pic:blipFill>
                  <pic:spPr>
                    <a:xfrm>
                      <a:off x="0" y="0"/>
                      <a:ext cx="5806440" cy="2431812"/>
                    </a:xfrm>
                    <a:prstGeom prst="rect"/>
                  </pic:spPr>
                </pic:pic>
              </a:graphicData>
            </a:graphic>
          </wp:inline>
        </w:drawing>
      </w:r>
    </w:p>
    <w:p>
      <w:pPr>
        <w:jc w:val="center"/>
      </w:pPr>
      <w:r>
        <w:rPr>
          <w:i/>
          <w:color w:val="637A87"/>
          <w:sz w:val="16"/>
        </w:rPr>
        <w:t>Figura 3. Curvas ROC y Precision–Recall OOF de los cuatro algoritmos.</w:t>
      </w:r>
    </w:p>
    <w:p>
      <w:pPr>
        <w:pStyle w:val="Heading1"/>
      </w:pPr>
      <w:r>
        <w:t>7. Evaluación final en TEST</w:t>
      </w:r>
    </w:p>
    <w:p>
      <w:r>
        <w:t>Se reentrenó el pipeline de Gradient Boosting con los 40.000 registros de TRAIN y se evaluó una sola vez sobre los 10.000 ejemplos reservados. La clase positiva tuvo 548 incumplimientos reales.</w:t>
      </w:r>
    </w:p>
    <w:tbl>
      <w:tblPr>
        <w:tblStyle w:val="LightShading-Accent1"/>
        <w:tblW w:type="auto" w:w="0"/>
        <w:jc w:val="center"/>
        <w:tblLook w:firstColumn="1" w:firstRow="1" w:lastColumn="0" w:lastRow="0" w:noHBand="0" w:noVBand="1" w:val="04A0"/>
      </w:tblPr>
      <w:tblGrid>
        <w:gridCol w:w="4910"/>
        <w:gridCol w:w="4910"/>
      </w:tblGrid>
      <w:tr>
        <w:tc>
          <w:tcPr>
            <w:tcW w:type="dxa" w:w="4910"/>
            <w:vAlign w:val="center"/>
          </w:tcPr>
          <w:p>
            <w:pPr>
              <w:spacing w:after="40" w:before="40"/>
            </w:pPr>
            <w:r>
              <w:rPr>
                <w:sz w:val="16"/>
              </w:rPr>
              <w:t>Métrica</w:t>
            </w:r>
          </w:p>
        </w:tc>
        <w:tc>
          <w:tcPr>
            <w:tcW w:type="dxa" w:w="4910"/>
            <w:vAlign w:val="center"/>
          </w:tcPr>
          <w:p>
            <w:pPr>
              <w:spacing w:after="40" w:before="40"/>
            </w:pPr>
            <w:r>
              <w:rPr>
                <w:sz w:val="16"/>
              </w:rPr>
              <w:t>TEST final</w:t>
            </w:r>
          </w:p>
        </w:tc>
      </w:tr>
      <w:tr>
        <w:tc>
          <w:tcPr>
            <w:tcW w:type="dxa" w:w="4910"/>
            <w:vAlign w:val="center"/>
          </w:tcPr>
          <w:p>
            <w:pPr>
              <w:spacing w:after="40" w:before="40"/>
            </w:pPr>
            <w:r>
              <w:rPr>
                <w:sz w:val="16"/>
              </w:rPr>
              <w:t>precision</w:t>
            </w:r>
          </w:p>
        </w:tc>
        <w:tc>
          <w:tcPr>
            <w:tcW w:type="dxa" w:w="4910"/>
            <w:vAlign w:val="center"/>
          </w:tcPr>
          <w:p>
            <w:pPr>
              <w:spacing w:after="40" w:before="40"/>
            </w:pPr>
            <w:r>
              <w:rPr>
                <w:sz w:val="16"/>
              </w:rPr>
              <w:t>0.00%</w:t>
            </w:r>
          </w:p>
        </w:tc>
      </w:tr>
      <w:tr>
        <w:tc>
          <w:tcPr>
            <w:tcW w:type="dxa" w:w="4910"/>
            <w:vAlign w:val="center"/>
          </w:tcPr>
          <w:p>
            <w:pPr>
              <w:spacing w:after="40" w:before="40"/>
            </w:pPr>
            <w:r>
              <w:rPr>
                <w:sz w:val="16"/>
              </w:rPr>
              <w:t>recall</w:t>
            </w:r>
          </w:p>
        </w:tc>
        <w:tc>
          <w:tcPr>
            <w:tcW w:type="dxa" w:w="4910"/>
            <w:vAlign w:val="center"/>
          </w:tcPr>
          <w:p>
            <w:pPr>
              <w:spacing w:after="40" w:before="40"/>
            </w:pPr>
            <w:r>
              <w:rPr>
                <w:sz w:val="16"/>
              </w:rPr>
              <w:t>0.00%</w:t>
            </w:r>
          </w:p>
        </w:tc>
      </w:tr>
      <w:tr>
        <w:tc>
          <w:tcPr>
            <w:tcW w:type="dxa" w:w="4910"/>
            <w:vAlign w:val="center"/>
          </w:tcPr>
          <w:p>
            <w:pPr>
              <w:spacing w:after="40" w:before="40"/>
            </w:pPr>
            <w:r>
              <w:rPr>
                <w:sz w:val="16"/>
              </w:rPr>
              <w:t>f1</w:t>
            </w:r>
          </w:p>
        </w:tc>
        <w:tc>
          <w:tcPr>
            <w:tcW w:type="dxa" w:w="4910"/>
            <w:vAlign w:val="center"/>
          </w:tcPr>
          <w:p>
            <w:pPr>
              <w:spacing w:after="40" w:before="40"/>
            </w:pPr>
            <w:r>
              <w:rPr>
                <w:sz w:val="16"/>
              </w:rPr>
              <w:t>0.00%</w:t>
            </w:r>
          </w:p>
        </w:tc>
      </w:tr>
      <w:tr>
        <w:tc>
          <w:tcPr>
            <w:tcW w:type="dxa" w:w="4910"/>
            <w:vAlign w:val="center"/>
          </w:tcPr>
          <w:p>
            <w:pPr>
              <w:spacing w:after="40" w:before="40"/>
            </w:pPr>
            <w:r>
              <w:rPr>
                <w:sz w:val="16"/>
              </w:rPr>
              <w:t>roc_auc</w:t>
            </w:r>
          </w:p>
        </w:tc>
        <w:tc>
          <w:tcPr>
            <w:tcW w:type="dxa" w:w="4910"/>
            <w:vAlign w:val="center"/>
          </w:tcPr>
          <w:p>
            <w:pPr>
              <w:spacing w:after="40" w:before="40"/>
            </w:pPr>
            <w:r>
              <w:rPr>
                <w:sz w:val="16"/>
              </w:rPr>
              <w:t>67.56%</w:t>
            </w:r>
          </w:p>
        </w:tc>
      </w:tr>
      <w:tr>
        <w:tc>
          <w:tcPr>
            <w:tcW w:type="dxa" w:w="4910"/>
            <w:vAlign w:val="center"/>
          </w:tcPr>
          <w:p>
            <w:pPr>
              <w:spacing w:after="40" w:before="40"/>
            </w:pPr>
            <w:r>
              <w:rPr>
                <w:sz w:val="16"/>
              </w:rPr>
              <w:t>pr_auc</w:t>
            </w:r>
          </w:p>
        </w:tc>
        <w:tc>
          <w:tcPr>
            <w:tcW w:type="dxa" w:w="4910"/>
            <w:vAlign w:val="center"/>
          </w:tcPr>
          <w:p>
            <w:pPr>
              <w:spacing w:after="40" w:before="40"/>
            </w:pPr>
            <w:r>
              <w:rPr>
                <w:sz w:val="16"/>
              </w:rPr>
              <w:t>12.03%</w:t>
            </w:r>
          </w:p>
        </w:tc>
      </w:tr>
      <w:tr>
        <w:tc>
          <w:tcPr>
            <w:tcW w:type="dxa" w:w="4910"/>
            <w:vAlign w:val="center"/>
          </w:tcPr>
          <w:p>
            <w:pPr>
              <w:spacing w:after="40" w:before="40"/>
            </w:pPr>
            <w:r>
              <w:rPr>
                <w:sz w:val="16"/>
              </w:rPr>
              <w:t>accuracy</w:t>
            </w:r>
          </w:p>
        </w:tc>
        <w:tc>
          <w:tcPr>
            <w:tcW w:type="dxa" w:w="4910"/>
            <w:vAlign w:val="center"/>
          </w:tcPr>
          <w:p>
            <w:pPr>
              <w:spacing w:after="40" w:before="40"/>
            </w:pPr>
            <w:r>
              <w:rPr>
                <w:sz w:val="16"/>
              </w:rPr>
              <w:t>94.52%</w:t>
            </w:r>
          </w:p>
        </w:tc>
      </w:tr>
    </w:tbl>
    <w:p>
      <w:pPr>
        <w:jc w:val="center"/>
      </w:pPr>
      <w:r>
        <w:drawing>
          <wp:inline xmlns:a="http://schemas.openxmlformats.org/drawingml/2006/main" xmlns:pic="http://schemas.openxmlformats.org/drawingml/2006/picture">
            <wp:extent cx="4297680" cy="3726067"/>
            <wp:docPr id="4" name="Picture 4"/>
            <wp:cNvGraphicFramePr>
              <a:graphicFrameLocks noChangeAspect="1"/>
            </wp:cNvGraphicFramePr>
            <a:graphic>
              <a:graphicData uri="http://schemas.openxmlformats.org/drawingml/2006/picture">
                <pic:pic>
                  <pic:nvPicPr>
                    <pic:cNvPr id="0" name="04_matriz_test.png"/>
                    <pic:cNvPicPr/>
                  </pic:nvPicPr>
                  <pic:blipFill>
                    <a:blip r:embed="rId14"/>
                    <a:stretch>
                      <a:fillRect/>
                    </a:stretch>
                  </pic:blipFill>
                  <pic:spPr>
                    <a:xfrm>
                      <a:off x="0" y="0"/>
                      <a:ext cx="4297680" cy="3726067"/>
                    </a:xfrm>
                    <a:prstGeom prst="rect"/>
                  </pic:spPr>
                </pic:pic>
              </a:graphicData>
            </a:graphic>
          </wp:inline>
        </w:drawing>
      </w:r>
    </w:p>
    <w:p>
      <w:pPr>
        <w:jc w:val="center"/>
      </w:pPr>
      <w:r>
        <w:rPr>
          <w:i/>
          <w:color w:val="637A87"/>
          <w:sz w:val="16"/>
        </w:rPr>
        <w:t>Figura 4. Matriz de confusión del modelo seleccionado, TEST, umbral fijo 0,50.</w:t>
      </w:r>
    </w:p>
    <w:p>
      <w:r>
        <w:t>VN=9.452, FP=0, FN=548, VP=0. El modelo predijo todos los casos como clase 0, por lo que Precision, Recall y F1 son 0 %. Este comportamiento no debe presentarse como un sistema de detección eficaz.</w:t>
      </w:r>
    </w:p>
    <w:p>
      <w:r>
        <w:br w:type="page"/>
      </w:r>
    </w:p>
    <w:p>
      <w:pPr>
        <w:pStyle w:val="Heading1"/>
      </w:pPr>
      <w:r>
        <w:t>8. Umbral de decisión y costos de errores</w:t>
      </w:r>
    </w:p>
    <w:p>
      <w:r>
        <w:t>La comparación de falsos positivos (marcar como incumplidor a quien pagaría) y falsos negativos (no identificar a quien incumpliría) debe reconocer que el enunciado NO facilita costos monetarios reales. Un falso negativo puede implicar exposición al impago; un falso positivo podría producir revisión adicional o perjuicios si se automatizara una decisión. Por ello, se simulan importes en dólares estadounidenses (USD), explícitamente hipotéticos, sin atribuir al ejercicio pérdidas financieras verificadas.</w:t>
      </w:r>
    </w:p>
    <w:p>
      <w:pPr>
        <w:jc w:val="center"/>
      </w:pPr>
      <w:r>
        <w:drawing>
          <wp:inline xmlns:a="http://schemas.openxmlformats.org/drawingml/2006/main" xmlns:pic="http://schemas.openxmlformats.org/drawingml/2006/picture">
            <wp:extent cx="5303520" cy="2437396"/>
            <wp:docPr id="5" name="Picture 5"/>
            <wp:cNvGraphicFramePr>
              <a:graphicFrameLocks noChangeAspect="1"/>
            </wp:cNvGraphicFramePr>
            <a:graphic>
              <a:graphicData uri="http://schemas.openxmlformats.org/drawingml/2006/picture">
                <pic:pic>
                  <pic:nvPicPr>
                    <pic:cNvPr id="0" name="05_umbral_oof.png"/>
                    <pic:cNvPicPr/>
                  </pic:nvPicPr>
                  <pic:blipFill>
                    <a:blip r:embed="rId15"/>
                    <a:stretch>
                      <a:fillRect/>
                    </a:stretch>
                  </pic:blipFill>
                  <pic:spPr>
                    <a:xfrm>
                      <a:off x="0" y="0"/>
                      <a:ext cx="5303520" cy="2437396"/>
                    </a:xfrm>
                    <a:prstGeom prst="rect"/>
                  </pic:spPr>
                </pic:pic>
              </a:graphicData>
            </a:graphic>
          </wp:inline>
        </w:drawing>
      </w:r>
    </w:p>
    <w:p>
      <w:pPr>
        <w:jc w:val="center"/>
      </w:pPr>
      <w:r>
        <w:rPr>
          <w:i/>
          <w:color w:val="637A87"/>
          <w:sz w:val="16"/>
        </w:rPr>
        <w:t>Figura 5. Sensibilidad pedagógica a distintos umbrales calculada exclusivamente en TRAIN OOF.</w:t>
      </w:r>
    </w:p>
    <w:tbl>
      <w:tblPr>
        <w:tblStyle w:val="LightShading-Accent1"/>
        <w:tblW w:type="auto" w:w="0"/>
        <w:jc w:val="center"/>
        <w:tblLook w:firstColumn="1" w:firstRow="1" w:lastColumn="0" w:lastRow="0" w:noHBand="0" w:noVBand="1" w:val="04A0"/>
      </w:tblPr>
      <w:tblGrid>
        <w:gridCol w:w="1964"/>
        <w:gridCol w:w="1964"/>
        <w:gridCol w:w="1964"/>
        <w:gridCol w:w="1964"/>
        <w:gridCol w:w="1964"/>
      </w:tblGrid>
      <w:tr>
        <w:tc>
          <w:tcPr>
            <w:tcW w:type="dxa" w:w="1964"/>
            <w:vAlign w:val="center"/>
          </w:tcPr>
          <w:p>
            <w:pPr>
              <w:spacing w:after="40" w:before="40"/>
            </w:pPr>
            <w:r>
              <w:rPr>
                <w:sz w:val="16"/>
              </w:rPr>
              <w:t>Umbral TRAIN OOF</w:t>
            </w:r>
          </w:p>
        </w:tc>
        <w:tc>
          <w:tcPr>
            <w:tcW w:type="dxa" w:w="1964"/>
            <w:vAlign w:val="center"/>
          </w:tcPr>
          <w:p>
            <w:pPr>
              <w:spacing w:after="40" w:before="40"/>
            </w:pPr>
            <w:r>
              <w:rPr>
                <w:sz w:val="16"/>
              </w:rPr>
              <w:t>Precision</w:t>
            </w:r>
          </w:p>
        </w:tc>
        <w:tc>
          <w:tcPr>
            <w:tcW w:type="dxa" w:w="1964"/>
            <w:vAlign w:val="center"/>
          </w:tcPr>
          <w:p>
            <w:pPr>
              <w:spacing w:after="40" w:before="40"/>
            </w:pPr>
            <w:r>
              <w:rPr>
                <w:sz w:val="16"/>
              </w:rPr>
              <w:t>Recall</w:t>
            </w:r>
          </w:p>
        </w:tc>
        <w:tc>
          <w:tcPr>
            <w:tcW w:type="dxa" w:w="1964"/>
            <w:vAlign w:val="center"/>
          </w:tcPr>
          <w:p>
            <w:pPr>
              <w:spacing w:after="40" w:before="40"/>
            </w:pPr>
            <w:r>
              <w:rPr>
                <w:sz w:val="16"/>
              </w:rPr>
              <w:t>FP</w:t>
            </w:r>
          </w:p>
        </w:tc>
        <w:tc>
          <w:tcPr>
            <w:tcW w:type="dxa" w:w="1964"/>
            <w:vAlign w:val="center"/>
          </w:tcPr>
          <w:p>
            <w:pPr>
              <w:spacing w:after="40" w:before="40"/>
            </w:pPr>
            <w:r>
              <w:rPr>
                <w:sz w:val="16"/>
              </w:rPr>
              <w:t>FN</w:t>
            </w:r>
          </w:p>
        </w:tc>
      </w:tr>
      <w:tr>
        <w:tc>
          <w:tcPr>
            <w:tcW w:type="dxa" w:w="1964"/>
            <w:vAlign w:val="center"/>
          </w:tcPr>
          <w:p>
            <w:pPr>
              <w:spacing w:after="40" w:before="40"/>
            </w:pPr>
            <w:r>
              <w:rPr>
                <w:sz w:val="16"/>
              </w:rPr>
              <w:t>0.05</w:t>
            </w:r>
          </w:p>
        </w:tc>
        <w:tc>
          <w:tcPr>
            <w:tcW w:type="dxa" w:w="1964"/>
            <w:vAlign w:val="center"/>
          </w:tcPr>
          <w:p>
            <w:pPr>
              <w:spacing w:after="40" w:before="40"/>
            </w:pPr>
            <w:r>
              <w:rPr>
                <w:sz w:val="16"/>
              </w:rPr>
              <w:t>8.61%</w:t>
            </w:r>
          </w:p>
        </w:tc>
        <w:tc>
          <w:tcPr>
            <w:tcW w:type="dxa" w:w="1964"/>
            <w:vAlign w:val="center"/>
          </w:tcPr>
          <w:p>
            <w:pPr>
              <w:spacing w:after="40" w:before="40"/>
            </w:pPr>
            <w:r>
              <w:rPr>
                <w:sz w:val="16"/>
              </w:rPr>
              <w:t>64.63%</w:t>
            </w:r>
          </w:p>
        </w:tc>
        <w:tc>
          <w:tcPr>
            <w:tcW w:type="dxa" w:w="1964"/>
            <w:vAlign w:val="center"/>
          </w:tcPr>
          <w:p>
            <w:pPr>
              <w:spacing w:after="40" w:before="40"/>
            </w:pPr>
            <w:r>
              <w:rPr>
                <w:sz w:val="16"/>
              </w:rPr>
              <w:t>15.057</w:t>
            </w:r>
          </w:p>
        </w:tc>
        <w:tc>
          <w:tcPr>
            <w:tcW w:type="dxa" w:w="1964"/>
            <w:vAlign w:val="center"/>
          </w:tcPr>
          <w:p>
            <w:pPr>
              <w:spacing w:after="40" w:before="40"/>
            </w:pPr>
            <w:r>
              <w:rPr>
                <w:sz w:val="16"/>
              </w:rPr>
              <w:t>776</w:t>
            </w:r>
          </w:p>
        </w:tc>
      </w:tr>
      <w:tr>
        <w:tc>
          <w:tcPr>
            <w:tcW w:type="dxa" w:w="1964"/>
            <w:vAlign w:val="center"/>
          </w:tcPr>
          <w:p>
            <w:pPr>
              <w:spacing w:after="40" w:before="40"/>
            </w:pPr>
            <w:r>
              <w:rPr>
                <w:sz w:val="16"/>
              </w:rPr>
              <w:t>0.10</w:t>
            </w:r>
          </w:p>
        </w:tc>
        <w:tc>
          <w:tcPr>
            <w:tcW w:type="dxa" w:w="1964"/>
            <w:vAlign w:val="center"/>
          </w:tcPr>
          <w:p>
            <w:pPr>
              <w:spacing w:after="40" w:before="40"/>
            </w:pPr>
            <w:r>
              <w:rPr>
                <w:sz w:val="16"/>
              </w:rPr>
              <w:t>14.49%</w:t>
            </w:r>
          </w:p>
        </w:tc>
        <w:tc>
          <w:tcPr>
            <w:tcW w:type="dxa" w:w="1964"/>
            <w:vAlign w:val="center"/>
          </w:tcPr>
          <w:p>
            <w:pPr>
              <w:spacing w:after="40" w:before="40"/>
            </w:pPr>
            <w:r>
              <w:rPr>
                <w:sz w:val="16"/>
              </w:rPr>
              <w:t>20.69%</w:t>
            </w:r>
          </w:p>
        </w:tc>
        <w:tc>
          <w:tcPr>
            <w:tcW w:type="dxa" w:w="1964"/>
            <w:vAlign w:val="center"/>
          </w:tcPr>
          <w:p>
            <w:pPr>
              <w:spacing w:after="40" w:before="40"/>
            </w:pPr>
            <w:r>
              <w:rPr>
                <w:sz w:val="16"/>
              </w:rPr>
              <w:t>2.679</w:t>
            </w:r>
          </w:p>
        </w:tc>
        <w:tc>
          <w:tcPr>
            <w:tcW w:type="dxa" w:w="1964"/>
            <w:vAlign w:val="center"/>
          </w:tcPr>
          <w:p>
            <w:pPr>
              <w:spacing w:after="40" w:before="40"/>
            </w:pPr>
            <w:r>
              <w:rPr>
                <w:sz w:val="16"/>
              </w:rPr>
              <w:t>1.740</w:t>
            </w:r>
          </w:p>
        </w:tc>
      </w:tr>
      <w:tr>
        <w:tc>
          <w:tcPr>
            <w:tcW w:type="dxa" w:w="1964"/>
            <w:vAlign w:val="center"/>
          </w:tcPr>
          <w:p>
            <w:pPr>
              <w:spacing w:after="40" w:before="40"/>
            </w:pPr>
            <w:r>
              <w:rPr>
                <w:sz w:val="16"/>
              </w:rPr>
              <w:t>0.15</w:t>
            </w:r>
          </w:p>
        </w:tc>
        <w:tc>
          <w:tcPr>
            <w:tcW w:type="dxa" w:w="1964"/>
            <w:vAlign w:val="center"/>
          </w:tcPr>
          <w:p>
            <w:pPr>
              <w:spacing w:after="40" w:before="40"/>
            </w:pPr>
            <w:r>
              <w:rPr>
                <w:sz w:val="16"/>
              </w:rPr>
              <w:t>19.04%</w:t>
            </w:r>
          </w:p>
        </w:tc>
        <w:tc>
          <w:tcPr>
            <w:tcW w:type="dxa" w:w="1964"/>
            <w:vAlign w:val="center"/>
          </w:tcPr>
          <w:p>
            <w:pPr>
              <w:spacing w:after="40" w:before="40"/>
            </w:pPr>
            <w:r>
              <w:rPr>
                <w:sz w:val="16"/>
              </w:rPr>
              <w:t>8.71%</w:t>
            </w:r>
          </w:p>
        </w:tc>
        <w:tc>
          <w:tcPr>
            <w:tcW w:type="dxa" w:w="1964"/>
            <w:vAlign w:val="center"/>
          </w:tcPr>
          <w:p>
            <w:pPr>
              <w:spacing w:after="40" w:before="40"/>
            </w:pPr>
            <w:r>
              <w:rPr>
                <w:sz w:val="16"/>
              </w:rPr>
              <w:t>812</w:t>
            </w:r>
          </w:p>
        </w:tc>
        <w:tc>
          <w:tcPr>
            <w:tcW w:type="dxa" w:w="1964"/>
            <w:vAlign w:val="center"/>
          </w:tcPr>
          <w:p>
            <w:pPr>
              <w:spacing w:after="40" w:before="40"/>
            </w:pPr>
            <w:r>
              <w:rPr>
                <w:sz w:val="16"/>
              </w:rPr>
              <w:t>2.003</w:t>
            </w:r>
          </w:p>
        </w:tc>
      </w:tr>
      <w:tr>
        <w:tc>
          <w:tcPr>
            <w:tcW w:type="dxa" w:w="1964"/>
            <w:vAlign w:val="center"/>
          </w:tcPr>
          <w:p>
            <w:pPr>
              <w:spacing w:after="40" w:before="40"/>
            </w:pPr>
            <w:r>
              <w:rPr>
                <w:sz w:val="16"/>
              </w:rPr>
              <w:t>0.20</w:t>
            </w:r>
          </w:p>
        </w:tc>
        <w:tc>
          <w:tcPr>
            <w:tcW w:type="dxa" w:w="1964"/>
            <w:vAlign w:val="center"/>
          </w:tcPr>
          <w:p>
            <w:pPr>
              <w:spacing w:after="40" w:before="40"/>
            </w:pPr>
            <w:r>
              <w:rPr>
                <w:sz w:val="16"/>
              </w:rPr>
              <w:t>20.53%</w:t>
            </w:r>
          </w:p>
        </w:tc>
        <w:tc>
          <w:tcPr>
            <w:tcW w:type="dxa" w:w="1964"/>
            <w:vAlign w:val="center"/>
          </w:tcPr>
          <w:p>
            <w:pPr>
              <w:spacing w:after="40" w:before="40"/>
            </w:pPr>
            <w:r>
              <w:rPr>
                <w:sz w:val="16"/>
              </w:rPr>
              <w:t>3.56%</w:t>
            </w:r>
          </w:p>
        </w:tc>
        <w:tc>
          <w:tcPr>
            <w:tcW w:type="dxa" w:w="1964"/>
            <w:vAlign w:val="center"/>
          </w:tcPr>
          <w:p>
            <w:pPr>
              <w:spacing w:after="40" w:before="40"/>
            </w:pPr>
            <w:r>
              <w:rPr>
                <w:sz w:val="16"/>
              </w:rPr>
              <w:t>302</w:t>
            </w:r>
          </w:p>
        </w:tc>
        <w:tc>
          <w:tcPr>
            <w:tcW w:type="dxa" w:w="1964"/>
            <w:vAlign w:val="center"/>
          </w:tcPr>
          <w:p>
            <w:pPr>
              <w:spacing w:after="40" w:before="40"/>
            </w:pPr>
            <w:r>
              <w:rPr>
                <w:sz w:val="16"/>
              </w:rPr>
              <w:t>2.116</w:t>
            </w:r>
          </w:p>
        </w:tc>
      </w:tr>
      <w:tr>
        <w:tc>
          <w:tcPr>
            <w:tcW w:type="dxa" w:w="1964"/>
            <w:vAlign w:val="center"/>
          </w:tcPr>
          <w:p>
            <w:pPr>
              <w:spacing w:after="40" w:before="40"/>
            </w:pPr>
            <w:r>
              <w:rPr>
                <w:sz w:val="16"/>
              </w:rPr>
              <w:t>0.50</w:t>
            </w:r>
          </w:p>
        </w:tc>
        <w:tc>
          <w:tcPr>
            <w:tcW w:type="dxa" w:w="1964"/>
            <w:vAlign w:val="center"/>
          </w:tcPr>
          <w:p>
            <w:pPr>
              <w:spacing w:after="40" w:before="40"/>
            </w:pPr>
            <w:r>
              <w:rPr>
                <w:sz w:val="16"/>
              </w:rPr>
              <w:t>0.00%</w:t>
            </w:r>
          </w:p>
        </w:tc>
        <w:tc>
          <w:tcPr>
            <w:tcW w:type="dxa" w:w="1964"/>
            <w:vAlign w:val="center"/>
          </w:tcPr>
          <w:p>
            <w:pPr>
              <w:spacing w:after="40" w:before="40"/>
            </w:pPr>
            <w:r>
              <w:rPr>
                <w:sz w:val="16"/>
              </w:rPr>
              <w:t>0.00%</w:t>
            </w:r>
          </w:p>
        </w:tc>
        <w:tc>
          <w:tcPr>
            <w:tcW w:type="dxa" w:w="1964"/>
            <w:vAlign w:val="center"/>
          </w:tcPr>
          <w:p>
            <w:pPr>
              <w:spacing w:after="40" w:before="40"/>
            </w:pPr>
            <w:r>
              <w:rPr>
                <w:sz w:val="16"/>
              </w:rPr>
              <w:t>0</w:t>
            </w:r>
          </w:p>
        </w:tc>
        <w:tc>
          <w:tcPr>
            <w:tcW w:type="dxa" w:w="1964"/>
            <w:vAlign w:val="center"/>
          </w:tcPr>
          <w:p>
            <w:pPr>
              <w:spacing w:after="40" w:before="40"/>
            </w:pPr>
            <w:r>
              <w:rPr>
                <w:sz w:val="16"/>
              </w:rPr>
              <w:t>2.194</w:t>
            </w:r>
          </w:p>
        </w:tc>
      </w:tr>
    </w:tbl>
    <w:p>
      <w:r>
        <w:t>Al reducir el umbral pueden detectarse más incumplimientos, pero suelen aumentar los falsos positivos. Los datos de esta tabla provienen solo de TRAIN con predicciones fuera de fold; NO son una segunda evaluación sobre TEST ni resultados de un sistema en producción.</w:t>
      </w:r>
    </w:p>
    <w:p>
      <w:r>
        <w:br w:type="page"/>
      </w:r>
    </w:p>
    <w:p>
      <w:pPr>
        <w:pStyle w:val="Heading2"/>
      </w:pPr>
      <w:r>
        <w:t>8.1 Análisis cuantitativo de costos hipotéticos en USD</w:t>
      </w:r>
    </w:p>
    <w:p>
      <w:r>
        <w:t>Supuestos monetarios SOLO para demostración: C_FN = US$ 500 por cada incumplimiento no detectado; C_FP = US$ 100 por cada buen pagador revisado o rechazado innecesariamente. Son cantidades expresadas en USD, pero NO provienen del CSV ni del enunciado y NO son pérdidas reales de una institución financiera.</w:t>
      </w:r>
    </w:p>
    <w:p>
      <w:r>
        <w:t>COSTO TOTAL HIPOTÉTICO (USD) = FN × C_FN(USD) + FP × C_FP(USD). Se utilizan los conteos de 40.000 predicciones fuera de fold (OOF) de TRAIN; el conjunto TEST permanece aislado y el modelo final continúa seleccionado por la mayor PR-AUC media en CV.</w:t>
      </w:r>
    </w:p>
    <w:tbl>
      <w:tblPr>
        <w:tblStyle w:val="LightShading-Accent1"/>
        <w:tblW w:type="auto" w:w="0"/>
        <w:jc w:val="center"/>
        <w:tblLook w:firstColumn="1" w:firstRow="1" w:lastColumn="0" w:lastRow="0" w:noHBand="0" w:noVBand="1" w:val="04A0"/>
      </w:tblPr>
      <w:tblGrid>
        <w:gridCol w:w="1403"/>
        <w:gridCol w:w="1403"/>
        <w:gridCol w:w="1403"/>
        <w:gridCol w:w="1403"/>
        <w:gridCol w:w="1403"/>
        <w:gridCol w:w="1403"/>
        <w:gridCol w:w="1403"/>
      </w:tblGrid>
      <w:tr>
        <w:tc>
          <w:tcPr>
            <w:tcW w:type="dxa" w:w="1403"/>
            <w:vAlign w:val="center"/>
          </w:tcPr>
          <w:p>
            <w:pPr>
              <w:spacing w:after="40" w:before="40"/>
            </w:pPr>
            <w:r>
              <w:rPr>
                <w:sz w:val="16"/>
              </w:rPr>
              <w:t>Modelo</w:t>
            </w:r>
          </w:p>
        </w:tc>
        <w:tc>
          <w:tcPr>
            <w:tcW w:type="dxa" w:w="1403"/>
            <w:vAlign w:val="center"/>
          </w:tcPr>
          <w:p>
            <w:pPr>
              <w:spacing w:after="40" w:before="40"/>
            </w:pPr>
            <w:r>
              <w:rPr>
                <w:sz w:val="16"/>
              </w:rPr>
              <w:t>Umbral</w:t>
            </w:r>
          </w:p>
        </w:tc>
        <w:tc>
          <w:tcPr>
            <w:tcW w:type="dxa" w:w="1403"/>
            <w:vAlign w:val="center"/>
          </w:tcPr>
          <w:p>
            <w:pPr>
              <w:spacing w:after="40" w:before="40"/>
            </w:pPr>
            <w:r>
              <w:rPr>
                <w:sz w:val="16"/>
              </w:rPr>
              <w:t>FN</w:t>
            </w:r>
          </w:p>
        </w:tc>
        <w:tc>
          <w:tcPr>
            <w:tcW w:type="dxa" w:w="1403"/>
            <w:vAlign w:val="center"/>
          </w:tcPr>
          <w:p>
            <w:pPr>
              <w:spacing w:after="40" w:before="40"/>
            </w:pPr>
            <w:r>
              <w:rPr>
                <w:sz w:val="16"/>
              </w:rPr>
              <w:t>FP</w:t>
            </w:r>
          </w:p>
        </w:tc>
        <w:tc>
          <w:tcPr>
            <w:tcW w:type="dxa" w:w="1403"/>
            <w:vAlign w:val="center"/>
          </w:tcPr>
          <w:p>
            <w:pPr>
              <w:spacing w:after="40" w:before="40"/>
            </w:pPr>
            <w:r>
              <w:rPr>
                <w:sz w:val="16"/>
              </w:rPr>
              <w:t>Costo FN (USD)</w:t>
            </w:r>
          </w:p>
        </w:tc>
        <w:tc>
          <w:tcPr>
            <w:tcW w:type="dxa" w:w="1403"/>
            <w:vAlign w:val="center"/>
          </w:tcPr>
          <w:p>
            <w:pPr>
              <w:spacing w:after="40" w:before="40"/>
            </w:pPr>
            <w:r>
              <w:rPr>
                <w:sz w:val="16"/>
              </w:rPr>
              <w:t>Costo FP (USD)</w:t>
            </w:r>
          </w:p>
        </w:tc>
        <w:tc>
          <w:tcPr>
            <w:tcW w:type="dxa" w:w="1403"/>
            <w:vAlign w:val="center"/>
          </w:tcPr>
          <w:p>
            <w:pPr>
              <w:spacing w:after="40" w:before="40"/>
            </w:pPr>
            <w:r>
              <w:rPr>
                <w:sz w:val="16"/>
              </w:rPr>
              <w:t>Total (USD)</w:t>
            </w:r>
          </w:p>
        </w:tc>
      </w:tr>
      <w:tr>
        <w:tc>
          <w:tcPr>
            <w:tcW w:type="dxa" w:w="1403"/>
            <w:vAlign w:val="center"/>
          </w:tcPr>
          <w:p>
            <w:pPr>
              <w:spacing w:after="40" w:before="40"/>
            </w:pPr>
            <w:r>
              <w:rPr>
                <w:sz w:val="16"/>
              </w:rPr>
              <w:t>Regresión Logística</w:t>
            </w:r>
          </w:p>
        </w:tc>
        <w:tc>
          <w:tcPr>
            <w:tcW w:type="dxa" w:w="1403"/>
            <w:vAlign w:val="center"/>
          </w:tcPr>
          <w:p>
            <w:pPr>
              <w:spacing w:after="40" w:before="40"/>
            </w:pPr>
            <w:r>
              <w:rPr>
                <w:sz w:val="16"/>
              </w:rPr>
              <w:t>0.15</w:t>
            </w:r>
          </w:p>
        </w:tc>
        <w:tc>
          <w:tcPr>
            <w:tcW w:type="dxa" w:w="1403"/>
            <w:vAlign w:val="center"/>
          </w:tcPr>
          <w:p>
            <w:pPr>
              <w:spacing w:after="40" w:before="40"/>
            </w:pPr>
            <w:r>
              <w:rPr>
                <w:sz w:val="16"/>
              </w:rPr>
              <w:t>1</w:t>
            </w:r>
          </w:p>
        </w:tc>
        <w:tc>
          <w:tcPr>
            <w:tcW w:type="dxa" w:w="1403"/>
            <w:vAlign w:val="center"/>
          </w:tcPr>
          <w:p>
            <w:pPr>
              <w:spacing w:after="40" w:before="40"/>
            </w:pPr>
            <w:r>
              <w:rPr>
                <w:sz w:val="16"/>
              </w:rPr>
              <w:t>37.791</w:t>
            </w:r>
          </w:p>
        </w:tc>
        <w:tc>
          <w:tcPr>
            <w:tcW w:type="dxa" w:w="1403"/>
            <w:vAlign w:val="center"/>
          </w:tcPr>
          <w:p>
            <w:pPr>
              <w:spacing w:after="40" w:before="40"/>
            </w:pPr>
            <w:r>
              <w:rPr>
                <w:sz w:val="16"/>
              </w:rPr>
              <w:t>US$ 500</w:t>
            </w:r>
          </w:p>
        </w:tc>
        <w:tc>
          <w:tcPr>
            <w:tcW w:type="dxa" w:w="1403"/>
            <w:vAlign w:val="center"/>
          </w:tcPr>
          <w:p>
            <w:pPr>
              <w:spacing w:after="40" w:before="40"/>
            </w:pPr>
            <w:r>
              <w:rPr>
                <w:sz w:val="16"/>
              </w:rPr>
              <w:t>US$ 3.779.100</w:t>
            </w:r>
          </w:p>
        </w:tc>
        <w:tc>
          <w:tcPr>
            <w:tcW w:type="dxa" w:w="1403"/>
            <w:vAlign w:val="center"/>
          </w:tcPr>
          <w:p>
            <w:pPr>
              <w:spacing w:after="40" w:before="40"/>
            </w:pPr>
            <w:r>
              <w:rPr>
                <w:sz w:val="16"/>
              </w:rPr>
              <w:t>US$ 3.779.600</w:t>
            </w:r>
          </w:p>
        </w:tc>
      </w:tr>
      <w:tr>
        <w:tc>
          <w:tcPr>
            <w:tcW w:type="dxa" w:w="1403"/>
            <w:vAlign w:val="center"/>
          </w:tcPr>
          <w:p>
            <w:pPr>
              <w:spacing w:after="40" w:before="40"/>
            </w:pPr>
            <w:r>
              <w:rPr>
                <w:sz w:val="16"/>
              </w:rPr>
              <w:t>Regresión Logística</w:t>
            </w:r>
          </w:p>
        </w:tc>
        <w:tc>
          <w:tcPr>
            <w:tcW w:type="dxa" w:w="1403"/>
            <w:vAlign w:val="center"/>
          </w:tcPr>
          <w:p>
            <w:pPr>
              <w:spacing w:after="40" w:before="40"/>
            </w:pPr>
            <w:r>
              <w:rPr>
                <w:sz w:val="16"/>
              </w:rPr>
              <w:t>0.50</w:t>
            </w:r>
          </w:p>
        </w:tc>
        <w:tc>
          <w:tcPr>
            <w:tcW w:type="dxa" w:w="1403"/>
            <w:vAlign w:val="center"/>
          </w:tcPr>
          <w:p>
            <w:pPr>
              <w:spacing w:after="40" w:before="40"/>
            </w:pPr>
            <w:r>
              <w:rPr>
                <w:sz w:val="16"/>
              </w:rPr>
              <w:t>928</w:t>
            </w:r>
          </w:p>
        </w:tc>
        <w:tc>
          <w:tcPr>
            <w:tcW w:type="dxa" w:w="1403"/>
            <w:vAlign w:val="center"/>
          </w:tcPr>
          <w:p>
            <w:pPr>
              <w:spacing w:after="40" w:before="40"/>
            </w:pPr>
            <w:r>
              <w:rPr>
                <w:sz w:val="16"/>
              </w:rPr>
              <w:t>14.554</w:t>
            </w:r>
          </w:p>
        </w:tc>
        <w:tc>
          <w:tcPr>
            <w:tcW w:type="dxa" w:w="1403"/>
            <w:vAlign w:val="center"/>
          </w:tcPr>
          <w:p>
            <w:pPr>
              <w:spacing w:after="40" w:before="40"/>
            </w:pPr>
            <w:r>
              <w:rPr>
                <w:sz w:val="16"/>
              </w:rPr>
              <w:t>US$ 464.000</w:t>
            </w:r>
          </w:p>
        </w:tc>
        <w:tc>
          <w:tcPr>
            <w:tcW w:type="dxa" w:w="1403"/>
            <w:vAlign w:val="center"/>
          </w:tcPr>
          <w:p>
            <w:pPr>
              <w:spacing w:after="40" w:before="40"/>
            </w:pPr>
            <w:r>
              <w:rPr>
                <w:sz w:val="16"/>
              </w:rPr>
              <w:t>US$ 1.455.400</w:t>
            </w:r>
          </w:p>
        </w:tc>
        <w:tc>
          <w:tcPr>
            <w:tcW w:type="dxa" w:w="1403"/>
            <w:vAlign w:val="center"/>
          </w:tcPr>
          <w:p>
            <w:pPr>
              <w:spacing w:after="40" w:before="40"/>
            </w:pPr>
            <w:r>
              <w:rPr>
                <w:sz w:val="16"/>
              </w:rPr>
              <w:t>US$ 1.919.400</w:t>
            </w:r>
          </w:p>
        </w:tc>
      </w:tr>
      <w:tr>
        <w:tc>
          <w:tcPr>
            <w:tcW w:type="dxa" w:w="1403"/>
            <w:vAlign w:val="center"/>
          </w:tcPr>
          <w:p>
            <w:pPr>
              <w:spacing w:after="40" w:before="40"/>
            </w:pPr>
            <w:r>
              <w:rPr>
                <w:sz w:val="16"/>
              </w:rPr>
              <w:t>Árbol de Decisión</w:t>
            </w:r>
          </w:p>
        </w:tc>
        <w:tc>
          <w:tcPr>
            <w:tcW w:type="dxa" w:w="1403"/>
            <w:vAlign w:val="center"/>
          </w:tcPr>
          <w:p>
            <w:pPr>
              <w:spacing w:after="40" w:before="40"/>
            </w:pPr>
            <w:r>
              <w:rPr>
                <w:sz w:val="16"/>
              </w:rPr>
              <w:t>0.15</w:t>
            </w:r>
          </w:p>
        </w:tc>
        <w:tc>
          <w:tcPr>
            <w:tcW w:type="dxa" w:w="1403"/>
            <w:vAlign w:val="center"/>
          </w:tcPr>
          <w:p>
            <w:pPr>
              <w:spacing w:after="40" w:before="40"/>
            </w:pPr>
            <w:r>
              <w:rPr>
                <w:sz w:val="16"/>
              </w:rPr>
              <w:t>36</w:t>
            </w:r>
          </w:p>
        </w:tc>
        <w:tc>
          <w:tcPr>
            <w:tcW w:type="dxa" w:w="1403"/>
            <w:vAlign w:val="center"/>
          </w:tcPr>
          <w:p>
            <w:pPr>
              <w:spacing w:after="40" w:before="40"/>
            </w:pPr>
            <w:r>
              <w:rPr>
                <w:sz w:val="16"/>
              </w:rPr>
              <w:t>37.384</w:t>
            </w:r>
          </w:p>
        </w:tc>
        <w:tc>
          <w:tcPr>
            <w:tcW w:type="dxa" w:w="1403"/>
            <w:vAlign w:val="center"/>
          </w:tcPr>
          <w:p>
            <w:pPr>
              <w:spacing w:after="40" w:before="40"/>
            </w:pPr>
            <w:r>
              <w:rPr>
                <w:sz w:val="16"/>
              </w:rPr>
              <w:t>US$ 18.000</w:t>
            </w:r>
          </w:p>
        </w:tc>
        <w:tc>
          <w:tcPr>
            <w:tcW w:type="dxa" w:w="1403"/>
            <w:vAlign w:val="center"/>
          </w:tcPr>
          <w:p>
            <w:pPr>
              <w:spacing w:after="40" w:before="40"/>
            </w:pPr>
            <w:r>
              <w:rPr>
                <w:sz w:val="16"/>
              </w:rPr>
              <w:t>US$ 3.738.400</w:t>
            </w:r>
          </w:p>
        </w:tc>
        <w:tc>
          <w:tcPr>
            <w:tcW w:type="dxa" w:w="1403"/>
            <w:vAlign w:val="center"/>
          </w:tcPr>
          <w:p>
            <w:pPr>
              <w:spacing w:after="40" w:before="40"/>
            </w:pPr>
            <w:r>
              <w:rPr>
                <w:sz w:val="16"/>
              </w:rPr>
              <w:t>US$ 3.756.400</w:t>
            </w:r>
          </w:p>
        </w:tc>
      </w:tr>
      <w:tr>
        <w:tc>
          <w:tcPr>
            <w:tcW w:type="dxa" w:w="1403"/>
            <w:vAlign w:val="center"/>
          </w:tcPr>
          <w:p>
            <w:pPr>
              <w:spacing w:after="40" w:before="40"/>
            </w:pPr>
            <w:r>
              <w:rPr>
                <w:sz w:val="16"/>
              </w:rPr>
              <w:t>Árbol de Decisión</w:t>
            </w:r>
          </w:p>
        </w:tc>
        <w:tc>
          <w:tcPr>
            <w:tcW w:type="dxa" w:w="1403"/>
            <w:vAlign w:val="center"/>
          </w:tcPr>
          <w:p>
            <w:pPr>
              <w:spacing w:after="40" w:before="40"/>
            </w:pPr>
            <w:r>
              <w:rPr>
                <w:sz w:val="16"/>
              </w:rPr>
              <w:t>0.50</w:t>
            </w:r>
          </w:p>
        </w:tc>
        <w:tc>
          <w:tcPr>
            <w:tcW w:type="dxa" w:w="1403"/>
            <w:vAlign w:val="center"/>
          </w:tcPr>
          <w:p>
            <w:pPr>
              <w:spacing w:after="40" w:before="40"/>
            </w:pPr>
            <w:r>
              <w:rPr>
                <w:sz w:val="16"/>
              </w:rPr>
              <w:t>1.110</w:t>
            </w:r>
          </w:p>
        </w:tc>
        <w:tc>
          <w:tcPr>
            <w:tcW w:type="dxa" w:w="1403"/>
            <w:vAlign w:val="center"/>
          </w:tcPr>
          <w:p>
            <w:pPr>
              <w:spacing w:after="40" w:before="40"/>
            </w:pPr>
            <w:r>
              <w:rPr>
                <w:sz w:val="16"/>
              </w:rPr>
              <w:t>10.906</w:t>
            </w:r>
          </w:p>
        </w:tc>
        <w:tc>
          <w:tcPr>
            <w:tcW w:type="dxa" w:w="1403"/>
            <w:vAlign w:val="center"/>
          </w:tcPr>
          <w:p>
            <w:pPr>
              <w:spacing w:after="40" w:before="40"/>
            </w:pPr>
            <w:r>
              <w:rPr>
                <w:sz w:val="16"/>
              </w:rPr>
              <w:t>US$ 555.000</w:t>
            </w:r>
          </w:p>
        </w:tc>
        <w:tc>
          <w:tcPr>
            <w:tcW w:type="dxa" w:w="1403"/>
            <w:vAlign w:val="center"/>
          </w:tcPr>
          <w:p>
            <w:pPr>
              <w:spacing w:after="40" w:before="40"/>
            </w:pPr>
            <w:r>
              <w:rPr>
                <w:sz w:val="16"/>
              </w:rPr>
              <w:t>US$ 1.090.600</w:t>
            </w:r>
          </w:p>
        </w:tc>
        <w:tc>
          <w:tcPr>
            <w:tcW w:type="dxa" w:w="1403"/>
            <w:vAlign w:val="center"/>
          </w:tcPr>
          <w:p>
            <w:pPr>
              <w:spacing w:after="40" w:before="40"/>
            </w:pPr>
            <w:r>
              <w:rPr>
                <w:sz w:val="16"/>
              </w:rPr>
              <w:t>US$ 1.645.600</w:t>
            </w:r>
          </w:p>
        </w:tc>
      </w:tr>
      <w:tr>
        <w:tc>
          <w:tcPr>
            <w:tcW w:type="dxa" w:w="1403"/>
            <w:vAlign w:val="center"/>
          </w:tcPr>
          <w:p>
            <w:pPr>
              <w:spacing w:after="40" w:before="40"/>
            </w:pPr>
            <w:r>
              <w:rPr>
                <w:sz w:val="16"/>
              </w:rPr>
              <w:t>Random Forest</w:t>
            </w:r>
          </w:p>
        </w:tc>
        <w:tc>
          <w:tcPr>
            <w:tcW w:type="dxa" w:w="1403"/>
            <w:vAlign w:val="center"/>
          </w:tcPr>
          <w:p>
            <w:pPr>
              <w:spacing w:after="40" w:before="40"/>
            </w:pPr>
            <w:r>
              <w:rPr>
                <w:sz w:val="16"/>
              </w:rPr>
              <w:t>0.15</w:t>
            </w:r>
          </w:p>
        </w:tc>
        <w:tc>
          <w:tcPr>
            <w:tcW w:type="dxa" w:w="1403"/>
            <w:vAlign w:val="center"/>
          </w:tcPr>
          <w:p>
            <w:pPr>
              <w:spacing w:after="40" w:before="40"/>
            </w:pPr>
            <w:r>
              <w:rPr>
                <w:sz w:val="16"/>
              </w:rPr>
              <w:t>772</w:t>
            </w:r>
          </w:p>
        </w:tc>
        <w:tc>
          <w:tcPr>
            <w:tcW w:type="dxa" w:w="1403"/>
            <w:vAlign w:val="center"/>
          </w:tcPr>
          <w:p>
            <w:pPr>
              <w:spacing w:after="40" w:before="40"/>
            </w:pPr>
            <w:r>
              <w:rPr>
                <w:sz w:val="16"/>
              </w:rPr>
              <w:t>16.379</w:t>
            </w:r>
          </w:p>
        </w:tc>
        <w:tc>
          <w:tcPr>
            <w:tcW w:type="dxa" w:w="1403"/>
            <w:vAlign w:val="center"/>
          </w:tcPr>
          <w:p>
            <w:pPr>
              <w:spacing w:after="40" w:before="40"/>
            </w:pPr>
            <w:r>
              <w:rPr>
                <w:sz w:val="16"/>
              </w:rPr>
              <w:t>US$ 386.000</w:t>
            </w:r>
          </w:p>
        </w:tc>
        <w:tc>
          <w:tcPr>
            <w:tcW w:type="dxa" w:w="1403"/>
            <w:vAlign w:val="center"/>
          </w:tcPr>
          <w:p>
            <w:pPr>
              <w:spacing w:after="40" w:before="40"/>
            </w:pPr>
            <w:r>
              <w:rPr>
                <w:sz w:val="16"/>
              </w:rPr>
              <w:t>US$ 1.637.900</w:t>
            </w:r>
          </w:p>
        </w:tc>
        <w:tc>
          <w:tcPr>
            <w:tcW w:type="dxa" w:w="1403"/>
            <w:vAlign w:val="center"/>
          </w:tcPr>
          <w:p>
            <w:pPr>
              <w:spacing w:after="40" w:before="40"/>
            </w:pPr>
            <w:r>
              <w:rPr>
                <w:sz w:val="16"/>
              </w:rPr>
              <w:t>US$ 2.023.900</w:t>
            </w:r>
          </w:p>
        </w:tc>
      </w:tr>
      <w:tr>
        <w:tc>
          <w:tcPr>
            <w:tcW w:type="dxa" w:w="1403"/>
            <w:vAlign w:val="center"/>
          </w:tcPr>
          <w:p>
            <w:pPr>
              <w:spacing w:after="40" w:before="40"/>
            </w:pPr>
            <w:r>
              <w:rPr>
                <w:sz w:val="16"/>
              </w:rPr>
              <w:t>Random Forest</w:t>
            </w:r>
          </w:p>
        </w:tc>
        <w:tc>
          <w:tcPr>
            <w:tcW w:type="dxa" w:w="1403"/>
            <w:vAlign w:val="center"/>
          </w:tcPr>
          <w:p>
            <w:pPr>
              <w:spacing w:after="40" w:before="40"/>
            </w:pPr>
            <w:r>
              <w:rPr>
                <w:sz w:val="16"/>
              </w:rPr>
              <w:t>0.50</w:t>
            </w:r>
          </w:p>
        </w:tc>
        <w:tc>
          <w:tcPr>
            <w:tcW w:type="dxa" w:w="1403"/>
            <w:vAlign w:val="center"/>
          </w:tcPr>
          <w:p>
            <w:pPr>
              <w:spacing w:after="40" w:before="40"/>
            </w:pPr>
            <w:r>
              <w:rPr>
                <w:sz w:val="16"/>
              </w:rPr>
              <w:t>2.176</w:t>
            </w:r>
          </w:p>
        </w:tc>
        <w:tc>
          <w:tcPr>
            <w:tcW w:type="dxa" w:w="1403"/>
            <w:vAlign w:val="center"/>
          </w:tcPr>
          <w:p>
            <w:pPr>
              <w:spacing w:after="40" w:before="40"/>
            </w:pPr>
            <w:r>
              <w:rPr>
                <w:sz w:val="16"/>
              </w:rPr>
              <w:t>90</w:t>
            </w:r>
          </w:p>
        </w:tc>
        <w:tc>
          <w:tcPr>
            <w:tcW w:type="dxa" w:w="1403"/>
            <w:vAlign w:val="center"/>
          </w:tcPr>
          <w:p>
            <w:pPr>
              <w:spacing w:after="40" w:before="40"/>
            </w:pPr>
            <w:r>
              <w:rPr>
                <w:sz w:val="16"/>
              </w:rPr>
              <w:t>US$ 1.088.000</w:t>
            </w:r>
          </w:p>
        </w:tc>
        <w:tc>
          <w:tcPr>
            <w:tcW w:type="dxa" w:w="1403"/>
            <w:vAlign w:val="center"/>
          </w:tcPr>
          <w:p>
            <w:pPr>
              <w:spacing w:after="40" w:before="40"/>
            </w:pPr>
            <w:r>
              <w:rPr>
                <w:sz w:val="16"/>
              </w:rPr>
              <w:t>US$ 9.000</w:t>
            </w:r>
          </w:p>
        </w:tc>
        <w:tc>
          <w:tcPr>
            <w:tcW w:type="dxa" w:w="1403"/>
            <w:vAlign w:val="center"/>
          </w:tcPr>
          <w:p>
            <w:pPr>
              <w:spacing w:after="40" w:before="40"/>
            </w:pPr>
            <w:r>
              <w:rPr>
                <w:sz w:val="16"/>
              </w:rPr>
              <w:t>US$ 1.097.000</w:t>
            </w:r>
          </w:p>
        </w:tc>
      </w:tr>
      <w:tr>
        <w:tc>
          <w:tcPr>
            <w:tcW w:type="dxa" w:w="1403"/>
            <w:vAlign w:val="center"/>
          </w:tcPr>
          <w:p>
            <w:pPr>
              <w:spacing w:after="40" w:before="40"/>
            </w:pPr>
            <w:r>
              <w:rPr>
                <w:sz w:val="16"/>
              </w:rPr>
              <w:t>Gradient Boosting</w:t>
            </w:r>
          </w:p>
        </w:tc>
        <w:tc>
          <w:tcPr>
            <w:tcW w:type="dxa" w:w="1403"/>
            <w:vAlign w:val="center"/>
          </w:tcPr>
          <w:p>
            <w:pPr>
              <w:spacing w:after="40" w:before="40"/>
            </w:pPr>
            <w:r>
              <w:rPr>
                <w:sz w:val="16"/>
              </w:rPr>
              <w:t>0.15</w:t>
            </w:r>
          </w:p>
        </w:tc>
        <w:tc>
          <w:tcPr>
            <w:tcW w:type="dxa" w:w="1403"/>
            <w:vAlign w:val="center"/>
          </w:tcPr>
          <w:p>
            <w:pPr>
              <w:spacing w:after="40" w:before="40"/>
            </w:pPr>
            <w:r>
              <w:rPr>
                <w:sz w:val="16"/>
              </w:rPr>
              <w:t>2.003</w:t>
            </w:r>
          </w:p>
        </w:tc>
        <w:tc>
          <w:tcPr>
            <w:tcW w:type="dxa" w:w="1403"/>
            <w:vAlign w:val="center"/>
          </w:tcPr>
          <w:p>
            <w:pPr>
              <w:spacing w:after="40" w:before="40"/>
            </w:pPr>
            <w:r>
              <w:rPr>
                <w:sz w:val="16"/>
              </w:rPr>
              <w:t>812</w:t>
            </w:r>
          </w:p>
        </w:tc>
        <w:tc>
          <w:tcPr>
            <w:tcW w:type="dxa" w:w="1403"/>
            <w:vAlign w:val="center"/>
          </w:tcPr>
          <w:p>
            <w:pPr>
              <w:spacing w:after="40" w:before="40"/>
            </w:pPr>
            <w:r>
              <w:rPr>
                <w:sz w:val="16"/>
              </w:rPr>
              <w:t>US$ 1.001.500</w:t>
            </w:r>
          </w:p>
        </w:tc>
        <w:tc>
          <w:tcPr>
            <w:tcW w:type="dxa" w:w="1403"/>
            <w:vAlign w:val="center"/>
          </w:tcPr>
          <w:p>
            <w:pPr>
              <w:spacing w:after="40" w:before="40"/>
            </w:pPr>
            <w:r>
              <w:rPr>
                <w:sz w:val="16"/>
              </w:rPr>
              <w:t>US$ 81.200</w:t>
            </w:r>
          </w:p>
        </w:tc>
        <w:tc>
          <w:tcPr>
            <w:tcW w:type="dxa" w:w="1403"/>
            <w:vAlign w:val="center"/>
          </w:tcPr>
          <w:p>
            <w:pPr>
              <w:spacing w:after="40" w:before="40"/>
            </w:pPr>
            <w:r>
              <w:rPr>
                <w:sz w:val="16"/>
              </w:rPr>
              <w:t>US$ 1.082.700</w:t>
            </w:r>
          </w:p>
        </w:tc>
      </w:tr>
      <w:tr>
        <w:tc>
          <w:tcPr>
            <w:tcW w:type="dxa" w:w="1403"/>
            <w:vAlign w:val="center"/>
          </w:tcPr>
          <w:p>
            <w:pPr>
              <w:spacing w:after="40" w:before="40"/>
            </w:pPr>
            <w:r>
              <w:rPr>
                <w:sz w:val="16"/>
              </w:rPr>
              <w:t>Gradient Boosting</w:t>
            </w:r>
          </w:p>
        </w:tc>
        <w:tc>
          <w:tcPr>
            <w:tcW w:type="dxa" w:w="1403"/>
            <w:vAlign w:val="center"/>
          </w:tcPr>
          <w:p>
            <w:pPr>
              <w:spacing w:after="40" w:before="40"/>
            </w:pPr>
            <w:r>
              <w:rPr>
                <w:sz w:val="16"/>
              </w:rPr>
              <w:t>0.50</w:t>
            </w:r>
          </w:p>
        </w:tc>
        <w:tc>
          <w:tcPr>
            <w:tcW w:type="dxa" w:w="1403"/>
            <w:vAlign w:val="center"/>
          </w:tcPr>
          <w:p>
            <w:pPr>
              <w:spacing w:after="40" w:before="40"/>
            </w:pPr>
            <w:r>
              <w:rPr>
                <w:sz w:val="16"/>
              </w:rPr>
              <w:t>2.194</w:t>
            </w:r>
          </w:p>
        </w:tc>
        <w:tc>
          <w:tcPr>
            <w:tcW w:type="dxa" w:w="1403"/>
            <w:vAlign w:val="center"/>
          </w:tcPr>
          <w:p>
            <w:pPr>
              <w:spacing w:after="40" w:before="40"/>
            </w:pPr>
            <w:r>
              <w:rPr>
                <w:sz w:val="16"/>
              </w:rPr>
              <w:t>0</w:t>
            </w:r>
          </w:p>
        </w:tc>
        <w:tc>
          <w:tcPr>
            <w:tcW w:type="dxa" w:w="1403"/>
            <w:vAlign w:val="center"/>
          </w:tcPr>
          <w:p>
            <w:pPr>
              <w:spacing w:after="40" w:before="40"/>
            </w:pPr>
            <w:r>
              <w:rPr>
                <w:sz w:val="16"/>
              </w:rPr>
              <w:t>US$ 1.097.000</w:t>
            </w:r>
          </w:p>
        </w:tc>
        <w:tc>
          <w:tcPr>
            <w:tcW w:type="dxa" w:w="1403"/>
            <w:vAlign w:val="center"/>
          </w:tcPr>
          <w:p>
            <w:pPr>
              <w:spacing w:after="40" w:before="40"/>
            </w:pPr>
            <w:r>
              <w:rPr>
                <w:sz w:val="16"/>
              </w:rPr>
              <w:t>US$ 0</w:t>
            </w:r>
          </w:p>
        </w:tc>
        <w:tc>
          <w:tcPr>
            <w:tcW w:type="dxa" w:w="1403"/>
            <w:vAlign w:val="center"/>
          </w:tcPr>
          <w:p>
            <w:pPr>
              <w:spacing w:after="40" w:before="40"/>
            </w:pPr>
            <w:r>
              <w:rPr>
                <w:sz w:val="16"/>
              </w:rPr>
              <w:t>US$ 1.097.000</w:t>
            </w:r>
          </w:p>
        </w:tc>
      </w:tr>
    </w:tbl>
    <w:p>
      <w:pPr>
        <w:jc w:val="center"/>
      </w:pPr>
      <w:r>
        <w:drawing>
          <wp:inline xmlns:a="http://schemas.openxmlformats.org/drawingml/2006/main" xmlns:pic="http://schemas.openxmlformats.org/drawingml/2006/picture">
            <wp:extent cx="5166360" cy="2183343"/>
            <wp:docPr id="6" name="Picture 6"/>
            <wp:cNvGraphicFramePr>
              <a:graphicFrameLocks noChangeAspect="1"/>
            </wp:cNvGraphicFramePr>
            <a:graphic>
              <a:graphicData uri="http://schemas.openxmlformats.org/drawingml/2006/picture">
                <pic:pic>
                  <pic:nvPicPr>
                    <pic:cNvPr id="0" name="07_escenarios_costo_oof.png"/>
                    <pic:cNvPicPr/>
                  </pic:nvPicPr>
                  <pic:blipFill>
                    <a:blip r:embed="rId16"/>
                    <a:stretch>
                      <a:fillRect/>
                    </a:stretch>
                  </pic:blipFill>
                  <pic:spPr>
                    <a:xfrm>
                      <a:off x="0" y="0"/>
                      <a:ext cx="5166360" cy="2183343"/>
                    </a:xfrm>
                    <a:prstGeom prst="rect"/>
                  </pic:spPr>
                </pic:pic>
              </a:graphicData>
            </a:graphic>
          </wp:inline>
        </w:drawing>
      </w:r>
    </w:p>
    <w:p>
      <w:pPr>
        <w:jc w:val="center"/>
      </w:pPr>
      <w:r>
        <w:rPr>
          <w:i/>
          <w:color w:val="637A87"/>
          <w:sz w:val="16"/>
        </w:rPr>
        <w:t>Figura 6. Costo simulado en USD, solo TRAIN OOF. FN: US$ 500 por error; FP: US$ 100 por error. No representa pérdidas reales.</w:t>
      </w:r>
    </w:p>
    <w:p>
      <w:r>
        <w:t>En Gradient Boosting el umbral 0,15 genera FN=2.003 y FP=812 (costo hipotético US$ 1.082.700); el umbral 0,50 genera FN=2.194 y FP=0 (costo hipotético US$ 1.097.000). Esta comparación explica la compensación entre errores, NO valida económicamente ni recomienda alterar el umbral del TEST existente. Para decisiones reales se necesitarían costos observados, políticas de revisión y otra evaluación independiente.</w:t>
      </w:r>
    </w:p>
    <w:p>
      <w:r>
        <w:br w:type="page"/>
      </w:r>
    </w:p>
    <w:p>
      <w:pPr>
        <w:pStyle w:val="Heading1"/>
      </w:pPr>
      <w:r>
        <w:t>9. Generalización y posible sobreajuste</w:t>
      </w:r>
    </w:p>
    <w:p>
      <w:r>
        <w:t>PR-AUC TRAIN interno promedio = 23.87%; PR-AUC CV media = 11.38%; PR-AUC TEST = 12.03%. La brecha TRAIN interno frente a CV de 12.49% puntos porcentuales sugiere sobreajuste o una discrepancia importante entre ajuste y validación. TEST no evidencia una caída adicional grande respecto de CV, pero ello no elimina el problema del umbral 0,50.</w:t>
      </w:r>
    </w:p>
    <w:p>
      <w:r>
        <w:br w:type="page"/>
      </w:r>
    </w:p>
    <w:p>
      <w:pPr>
        <w:pStyle w:val="Heading1"/>
      </w:pPr>
      <w:r>
        <w:t>10. Conclusiones y recomendaciones</w:t>
      </w:r>
    </w:p>
    <w:p>
      <w:pPr>
        <w:pStyle w:val="ListBullet"/>
      </w:pPr>
      <w:r>
        <w:t>Se verificaron 50.000 observaciones y 16 columnas completas, sin nulos ni duplicados; el objetivo muestra un desbalance pronunciado (5,48 % positivos).</w:t>
      </w:r>
    </w:p>
    <w:p>
      <w:pPr>
        <w:pStyle w:val="ListBullet"/>
      </w:pPr>
      <w:r>
        <w:t>Los cuatro algoritmos se compararon con cinco folds estratificados, preprocesamiento dentro de los pipelines y TEST aislado de la selección.</w:t>
      </w:r>
    </w:p>
    <w:p>
      <w:pPr>
        <w:pStyle w:val="ListBullet"/>
      </w:pPr>
      <w:r>
        <w:t>Gradient Boosting encabezó la PR-AUC media de CV (11,38 %), pero su Recall y F1 a umbral 0,50 fueron 0 % en TRAIN y TEST; la accuracy no demuestra detección efectiva.</w:t>
      </w:r>
    </w:p>
    <w:p>
      <w:pPr>
        <w:pStyle w:val="ListBullet"/>
      </w:pPr>
      <w:r>
        <w:t>La diferencia entre PR-AUC de TRAIN interno y CV amerita cautela por posible sobreajuste. La utilidad del clasificador depende de umbral, costos de errores y condiciones de aplicación.</w:t>
      </w:r>
    </w:p>
    <w:p>
      <w:pPr>
        <w:pStyle w:val="ListBullet"/>
      </w:pPr>
      <w:r>
        <w:t>Se simularon costos hipotéticos en USD (FN = US$ 500 y FP = US$ 100 por error), exclusivamente en TRAIN OOF. Antes de cualquier uso real habría que obtener costos observados, definir y validar un umbral en TRAIN y realizar una evaluación independiente nueva.</w:t>
      </w:r>
    </w:p>
    <w:p>
      <w:pPr>
        <w:pStyle w:val="ListBullet"/>
      </w:pPr>
      <w:r>
        <w:t>El dataset es sintético, carece de evidencia de generalización temporal y no autoriza decisiones reales de aprobación o rechazo automático de créditos.</w:t>
      </w:r>
    </w:p>
    <w:p>
      <w:pPr>
        <w:pStyle w:val="Heading1"/>
      </w:pPr>
      <w:r>
        <w:t>11. Limitaciones y responsabilidad académica</w:t>
      </w:r>
    </w:p>
    <w:p>
      <w:r>
        <w:t>Los resultados dependen de una base artificial, de una única división estratificada y de hiperparámetros predefinidos. Ninguna métrica revela causalidad. No se evaluaron cambios económicos futuros, deriva de datos, sesgos de representación ni equidad por grupos protegidos. Una implementación real requeriría auditorías independientes, trazabilidad, supervisión humana y requisitos regulatorios aplicables.</w:t>
      </w:r>
    </w:p>
    <w:p>
      <w:pPr>
        <w:pStyle w:val="Heading1"/>
      </w:pPr>
      <w:r>
        <w:t>12. Referencias y fuentes de evidencia</w:t>
      </w:r>
    </w:p>
    <w:p>
      <w:pPr>
        <w:pStyle w:val="ListBullet"/>
      </w:pPr>
      <w:r>
        <w:t>Universidad Central del Ecuador. Caso 48: Predicción de incumplimiento crediticio, documento oficial proporcionado (2 páginas), instrucciones 1–12 y diccionario de variables.</w:t>
      </w:r>
    </w:p>
    <w:p>
      <w:pPr>
        <w:pStyle w:val="ListBullet"/>
      </w:pPr>
      <w:r>
        <w:t>Archivo riesgo_crediticio_bigdata.csv proporcionado para el ejercicio; 50.000 filas, 16 columnas; dataset sintético didáctico.</w:t>
      </w:r>
    </w:p>
    <w:p>
      <w:pPr>
        <w:pStyle w:val="ListBullet"/>
      </w:pPr>
      <w:r>
        <w:t>Código reproducible: src/entrenar.py; salidas tabulares en resultados/ y dashboard agregado en dashboard/datos.js.</w:t>
      </w:r>
    </w:p>
    <w:p>
      <w:pPr>
        <w:pStyle w:val="ListBullet"/>
      </w:pPr>
      <w:r>
        <w:t>Documentación de scikit-learn para Pipeline, ColumnTransformer, StratifiedKFold, HistGradientBoostingClassifier y métricas.</w:t>
      </w:r>
    </w:p>
    <w:p>
      <w:pPr>
        <w:pStyle w:val="ListBullet"/>
      </w:pPr>
      <w:r>
        <w:t>GitHub Docs: GitHub Pages permite HTML/CSS/JS estático, no ejecuta Python del lado del servidor.</w:t>
      </w:r>
    </w:p>
    <w:p>
      <w:r>
        <w:br w:type="page"/>
      </w:r>
    </w:p>
    <w:p>
      <w:pPr>
        <w:pStyle w:val="Heading1"/>
      </w:pPr>
      <w:r>
        <w:t>Anexo A. Correspondencia con las 12 instrucciones</w:t>
      </w:r>
    </w:p>
    <w:tbl>
      <w:tblPr>
        <w:tblStyle w:val="LightShading-Accent1"/>
        <w:tblW w:type="auto" w:w="0"/>
        <w:jc w:val="center"/>
        <w:tblLook w:firstColumn="1" w:firstRow="1" w:lastColumn="0" w:lastRow="0" w:noHBand="0" w:noVBand="1" w:val="04A0"/>
      </w:tblPr>
      <w:tblGrid>
        <w:gridCol w:w="3273"/>
        <w:gridCol w:w="3273"/>
        <w:gridCol w:w="3273"/>
      </w:tblGrid>
      <w:tr>
        <w:tc>
          <w:tcPr>
            <w:tcW w:type="dxa" w:w="3273"/>
            <w:vAlign w:val="center"/>
          </w:tcPr>
          <w:p>
            <w:pPr>
              <w:spacing w:after="40" w:before="40"/>
            </w:pPr>
            <w:r>
              <w:rPr>
                <w:sz w:val="16"/>
              </w:rPr>
              <w:t>N.º</w:t>
            </w:r>
          </w:p>
        </w:tc>
        <w:tc>
          <w:tcPr>
            <w:tcW w:type="dxa" w:w="3273"/>
            <w:vAlign w:val="center"/>
          </w:tcPr>
          <w:p>
            <w:pPr>
              <w:spacing w:after="40" w:before="40"/>
            </w:pPr>
            <w:r>
              <w:rPr>
                <w:sz w:val="16"/>
              </w:rPr>
              <w:t>Requerimiento del caso</w:t>
            </w:r>
          </w:p>
        </w:tc>
        <w:tc>
          <w:tcPr>
            <w:tcW w:type="dxa" w:w="3273"/>
            <w:vAlign w:val="center"/>
          </w:tcPr>
          <w:p>
            <w:pPr>
              <w:spacing w:after="40" w:before="40"/>
            </w:pPr>
            <w:r>
              <w:rPr>
                <w:sz w:val="16"/>
              </w:rPr>
              <w:t>Evidencia en el proyecto</w:t>
            </w:r>
          </w:p>
        </w:tc>
      </w:tr>
      <w:tr>
        <w:tc>
          <w:tcPr>
            <w:tcW w:type="dxa" w:w="3273"/>
            <w:vAlign w:val="center"/>
          </w:tcPr>
          <w:p>
            <w:pPr>
              <w:spacing w:after="40" w:before="40"/>
            </w:pPr>
            <w:r>
              <w:rPr>
                <w:sz w:val="16"/>
              </w:rPr>
              <w:t>1</w:t>
            </w:r>
          </w:p>
        </w:tc>
        <w:tc>
          <w:tcPr>
            <w:tcW w:type="dxa" w:w="3273"/>
            <w:vAlign w:val="center"/>
          </w:tcPr>
          <w:p>
            <w:pPr>
              <w:spacing w:after="40" w:before="40"/>
            </w:pPr>
            <w:r>
              <w:rPr>
                <w:sz w:val="16"/>
              </w:rPr>
              <w:t>Control de dimensiones, tipos, duplicados y nulos</w:t>
            </w:r>
          </w:p>
        </w:tc>
        <w:tc>
          <w:tcPr>
            <w:tcW w:type="dxa" w:w="3273"/>
            <w:vAlign w:val="center"/>
          </w:tcPr>
          <w:p>
            <w:pPr>
              <w:spacing w:after="40" w:before="40"/>
            </w:pPr>
            <w:r>
              <w:rPr>
                <w:sz w:val="16"/>
              </w:rPr>
              <w:t>Auditoría del dataset / src/entrenar.py</w:t>
            </w:r>
          </w:p>
        </w:tc>
      </w:tr>
      <w:tr>
        <w:tc>
          <w:tcPr>
            <w:tcW w:type="dxa" w:w="3273"/>
            <w:vAlign w:val="center"/>
          </w:tcPr>
          <w:p>
            <w:pPr>
              <w:spacing w:after="40" w:before="40"/>
            </w:pPr>
            <w:r>
              <w:rPr>
                <w:sz w:val="16"/>
              </w:rPr>
              <w:t>2</w:t>
            </w:r>
          </w:p>
        </w:tc>
        <w:tc>
          <w:tcPr>
            <w:tcW w:type="dxa" w:w="3273"/>
            <w:vAlign w:val="center"/>
          </w:tcPr>
          <w:p>
            <w:pPr>
              <w:spacing w:after="40" w:before="40"/>
            </w:pPr>
            <w:r>
              <w:rPr>
                <w:sz w:val="16"/>
              </w:rPr>
              <w:t>EDA de clase objetivo, descriptivos, frecuencias, outliers y relaciones</w:t>
            </w:r>
          </w:p>
        </w:tc>
        <w:tc>
          <w:tcPr>
            <w:tcW w:type="dxa" w:w="3273"/>
            <w:vAlign w:val="center"/>
          </w:tcPr>
          <w:p>
            <w:pPr>
              <w:spacing w:after="40" w:before="40"/>
            </w:pPr>
            <w:r>
              <w:rPr>
                <w:sz w:val="16"/>
              </w:rPr>
              <w:t>Dashboard Exploración; tablas train</w:t>
            </w:r>
          </w:p>
        </w:tc>
      </w:tr>
      <w:tr>
        <w:tc>
          <w:tcPr>
            <w:tcW w:type="dxa" w:w="3273"/>
            <w:vAlign w:val="center"/>
          </w:tcPr>
          <w:p>
            <w:pPr>
              <w:spacing w:after="40" w:before="40"/>
            </w:pPr>
            <w:r>
              <w:rPr>
                <w:sz w:val="16"/>
              </w:rPr>
              <w:t>3</w:t>
            </w:r>
          </w:p>
        </w:tc>
        <w:tc>
          <w:tcPr>
            <w:tcW w:type="dxa" w:w="3273"/>
            <w:vAlign w:val="center"/>
          </w:tcPr>
          <w:p>
            <w:pPr>
              <w:spacing w:after="40" w:before="40"/>
            </w:pPr>
            <w:r>
              <w:rPr>
                <w:sz w:val="16"/>
              </w:rPr>
              <w:t>Separar X/y y excluir applicant_id</w:t>
            </w:r>
          </w:p>
        </w:tc>
        <w:tc>
          <w:tcPr>
            <w:tcW w:type="dxa" w:w="3273"/>
            <w:vAlign w:val="center"/>
          </w:tcPr>
          <w:p>
            <w:pPr>
              <w:spacing w:after="40" w:before="40"/>
            </w:pPr>
            <w:r>
              <w:rPr>
                <w:sz w:val="16"/>
              </w:rPr>
              <w:t>Preparación X = 14 predictores, y = default_12m</w:t>
            </w:r>
          </w:p>
        </w:tc>
      </w:tr>
      <w:tr>
        <w:tc>
          <w:tcPr>
            <w:tcW w:type="dxa" w:w="3273"/>
            <w:vAlign w:val="center"/>
          </w:tcPr>
          <w:p>
            <w:pPr>
              <w:spacing w:after="40" w:before="40"/>
            </w:pPr>
            <w:r>
              <w:rPr>
                <w:sz w:val="16"/>
              </w:rPr>
              <w:t>4</w:t>
            </w:r>
          </w:p>
        </w:tc>
        <w:tc>
          <w:tcPr>
            <w:tcW w:type="dxa" w:w="3273"/>
            <w:vAlign w:val="center"/>
          </w:tcPr>
          <w:p>
            <w:pPr>
              <w:spacing w:after="40" w:before="40"/>
            </w:pPr>
            <w:r>
              <w:rPr>
                <w:sz w:val="16"/>
              </w:rPr>
              <w:t>Holdout 80/20 estratificado y TEST reservado</w:t>
            </w:r>
          </w:p>
        </w:tc>
        <w:tc>
          <w:tcPr>
            <w:tcW w:type="dxa" w:w="3273"/>
            <w:vAlign w:val="center"/>
          </w:tcPr>
          <w:p>
            <w:pPr>
              <w:spacing w:after="40" w:before="40"/>
            </w:pPr>
            <w:r>
              <w:rPr>
                <w:sz w:val="16"/>
              </w:rPr>
              <w:t>Método / src/entrenar.py</w:t>
            </w:r>
          </w:p>
        </w:tc>
      </w:tr>
      <w:tr>
        <w:tc>
          <w:tcPr>
            <w:tcW w:type="dxa" w:w="3273"/>
            <w:vAlign w:val="center"/>
          </w:tcPr>
          <w:p>
            <w:pPr>
              <w:spacing w:after="40" w:before="40"/>
            </w:pPr>
            <w:r>
              <w:rPr>
                <w:sz w:val="16"/>
              </w:rPr>
              <w:t>5</w:t>
            </w:r>
          </w:p>
        </w:tc>
        <w:tc>
          <w:tcPr>
            <w:tcW w:type="dxa" w:w="3273"/>
            <w:vAlign w:val="center"/>
          </w:tcPr>
          <w:p>
            <w:pPr>
              <w:spacing w:after="40" w:before="40"/>
            </w:pPr>
            <w:r>
              <w:rPr>
                <w:sz w:val="16"/>
              </w:rPr>
              <w:t>ColumnTransformer/Pipeline, One-Hot, escalado</w:t>
            </w:r>
          </w:p>
        </w:tc>
        <w:tc>
          <w:tcPr>
            <w:tcW w:type="dxa" w:w="3273"/>
            <w:vAlign w:val="center"/>
          </w:tcPr>
          <w:p>
            <w:pPr>
              <w:spacing w:after="40" w:before="40"/>
            </w:pPr>
            <w:r>
              <w:rPr>
                <w:sz w:val="16"/>
              </w:rPr>
              <w:t>processor() / build_models()</w:t>
            </w:r>
          </w:p>
        </w:tc>
      </w:tr>
      <w:tr>
        <w:tc>
          <w:tcPr>
            <w:tcW w:type="dxa" w:w="3273"/>
            <w:vAlign w:val="center"/>
          </w:tcPr>
          <w:p>
            <w:pPr>
              <w:spacing w:after="40" w:before="40"/>
            </w:pPr>
            <w:r>
              <w:rPr>
                <w:sz w:val="16"/>
              </w:rPr>
              <w:t>6</w:t>
            </w:r>
          </w:p>
        </w:tc>
        <w:tc>
          <w:tcPr>
            <w:tcW w:type="dxa" w:w="3273"/>
            <w:vAlign w:val="center"/>
          </w:tcPr>
          <w:p>
            <w:pPr>
              <w:spacing w:after="40" w:before="40"/>
            </w:pPr>
            <w:r>
              <w:rPr>
                <w:sz w:val="16"/>
              </w:rPr>
              <w:t>Cuatro algoritmos de clasificación</w:t>
            </w:r>
          </w:p>
        </w:tc>
        <w:tc>
          <w:tcPr>
            <w:tcW w:type="dxa" w:w="3273"/>
            <w:vAlign w:val="center"/>
          </w:tcPr>
          <w:p>
            <w:pPr>
              <w:spacing w:after="40" w:before="40"/>
            </w:pPr>
            <w:r>
              <w:rPr>
                <w:sz w:val="16"/>
              </w:rPr>
              <w:t>Modelos de src/entrenar.py</w:t>
            </w:r>
          </w:p>
        </w:tc>
      </w:tr>
      <w:tr>
        <w:tc>
          <w:tcPr>
            <w:tcW w:type="dxa" w:w="3273"/>
            <w:vAlign w:val="center"/>
          </w:tcPr>
          <w:p>
            <w:pPr>
              <w:spacing w:after="40" w:before="40"/>
            </w:pPr>
            <w:r>
              <w:rPr>
                <w:sz w:val="16"/>
              </w:rPr>
              <w:t>7</w:t>
            </w:r>
          </w:p>
        </w:tc>
        <w:tc>
          <w:tcPr>
            <w:tcW w:type="dxa" w:w="3273"/>
            <w:vAlign w:val="center"/>
          </w:tcPr>
          <w:p>
            <w:pPr>
              <w:spacing w:after="40" w:before="40"/>
            </w:pPr>
            <w:r>
              <w:rPr>
                <w:sz w:val="16"/>
              </w:rPr>
              <w:t>StratifiedKFold de 5 folds solo TRAIN</w:t>
            </w:r>
          </w:p>
        </w:tc>
        <w:tc>
          <w:tcPr>
            <w:tcW w:type="dxa" w:w="3273"/>
            <w:vAlign w:val="center"/>
          </w:tcPr>
          <w:p>
            <w:pPr>
              <w:spacing w:after="40" w:before="40"/>
            </w:pPr>
            <w:r>
              <w:rPr>
                <w:sz w:val="16"/>
              </w:rPr>
              <w:t>Ciclo de CV y métricas_por_fold.csv</w:t>
            </w:r>
          </w:p>
        </w:tc>
      </w:tr>
      <w:tr>
        <w:tc>
          <w:tcPr>
            <w:tcW w:type="dxa" w:w="3273"/>
            <w:vAlign w:val="center"/>
          </w:tcPr>
          <w:p>
            <w:pPr>
              <w:spacing w:after="40" w:before="40"/>
            </w:pPr>
            <w:r>
              <w:rPr>
                <w:sz w:val="16"/>
              </w:rPr>
              <w:t>8</w:t>
            </w:r>
          </w:p>
        </w:tc>
        <w:tc>
          <w:tcPr>
            <w:tcW w:type="dxa" w:w="3273"/>
            <w:vAlign w:val="center"/>
          </w:tcPr>
          <w:p>
            <w:pPr>
              <w:spacing w:after="40" w:before="40"/>
            </w:pPr>
            <w:r>
              <w:rPr>
                <w:sz w:val="16"/>
              </w:rPr>
              <w:t>Precision, Recall, F1, ROC-AUC, PR-AUC, matriz de confusión</w:t>
            </w:r>
          </w:p>
        </w:tc>
        <w:tc>
          <w:tcPr>
            <w:tcW w:type="dxa" w:w="3273"/>
            <w:vAlign w:val="center"/>
          </w:tcPr>
          <w:p>
            <w:pPr>
              <w:spacing w:after="40" w:before="40"/>
            </w:pPr>
            <w:r>
              <w:rPr>
                <w:sz w:val="16"/>
              </w:rPr>
              <w:t>Dashboard CV/TEST y gráficos</w:t>
            </w:r>
          </w:p>
        </w:tc>
      </w:tr>
      <w:tr>
        <w:tc>
          <w:tcPr>
            <w:tcW w:type="dxa" w:w="3273"/>
            <w:vAlign w:val="center"/>
          </w:tcPr>
          <w:p>
            <w:pPr>
              <w:spacing w:after="40" w:before="40"/>
            </w:pPr>
            <w:r>
              <w:rPr>
                <w:sz w:val="16"/>
              </w:rPr>
              <w:t>9</w:t>
            </w:r>
          </w:p>
        </w:tc>
        <w:tc>
          <w:tcPr>
            <w:tcW w:type="dxa" w:w="3273"/>
            <w:vAlign w:val="center"/>
          </w:tcPr>
          <w:p>
            <w:pPr>
              <w:spacing w:after="40" w:before="40"/>
            </w:pPr>
            <w:r>
              <w:rPr>
                <w:sz w:val="16"/>
              </w:rPr>
              <w:t>Selección mediante CV y análisis FP/FN</w:t>
            </w:r>
          </w:p>
        </w:tc>
        <w:tc>
          <w:tcPr>
            <w:tcW w:type="dxa" w:w="3273"/>
            <w:vAlign w:val="center"/>
          </w:tcPr>
          <w:p>
            <w:pPr>
              <w:spacing w:after="40" w:before="40"/>
            </w:pPr>
            <w:r>
              <w:rPr>
                <w:sz w:val="16"/>
              </w:rPr>
              <w:t>Ranking por AP; dashboard Costos y errores · P9; costos monetarios SIMULADOS en USD usando TRAIN OOF</w:t>
            </w:r>
          </w:p>
        </w:tc>
      </w:tr>
      <w:tr>
        <w:tc>
          <w:tcPr>
            <w:tcW w:type="dxa" w:w="3273"/>
            <w:vAlign w:val="center"/>
          </w:tcPr>
          <w:p>
            <w:pPr>
              <w:spacing w:after="40" w:before="40"/>
            </w:pPr>
            <w:r>
              <w:rPr>
                <w:sz w:val="16"/>
              </w:rPr>
              <w:t>10</w:t>
            </w:r>
          </w:p>
        </w:tc>
        <w:tc>
          <w:tcPr>
            <w:tcW w:type="dxa" w:w="3273"/>
            <w:vAlign w:val="center"/>
          </w:tcPr>
          <w:p>
            <w:pPr>
              <w:spacing w:after="40" w:before="40"/>
            </w:pPr>
            <w:r>
              <w:rPr>
                <w:sz w:val="16"/>
              </w:rPr>
              <w:t>Reentrenar final y evaluar una sola vez en TEST</w:t>
            </w:r>
          </w:p>
        </w:tc>
        <w:tc>
          <w:tcPr>
            <w:tcW w:type="dxa" w:w="3273"/>
            <w:vAlign w:val="center"/>
          </w:tcPr>
          <w:p>
            <w:pPr>
              <w:spacing w:after="40" w:before="40"/>
            </w:pPr>
            <w:r>
              <w:rPr>
                <w:sz w:val="16"/>
              </w:rPr>
              <w:t>modelo final y metricas_test_FINAL.csv</w:t>
            </w:r>
          </w:p>
        </w:tc>
      </w:tr>
      <w:tr>
        <w:tc>
          <w:tcPr>
            <w:tcW w:type="dxa" w:w="3273"/>
            <w:vAlign w:val="center"/>
          </w:tcPr>
          <w:p>
            <w:pPr>
              <w:spacing w:after="40" w:before="40"/>
            </w:pPr>
            <w:r>
              <w:rPr>
                <w:sz w:val="16"/>
              </w:rPr>
              <w:t>11</w:t>
            </w:r>
          </w:p>
        </w:tc>
        <w:tc>
          <w:tcPr>
            <w:tcW w:type="dxa" w:w="3273"/>
            <w:vAlign w:val="center"/>
          </w:tcPr>
          <w:p>
            <w:pPr>
              <w:spacing w:after="40" w:before="40"/>
            </w:pPr>
            <w:r>
              <w:rPr>
                <w:sz w:val="16"/>
              </w:rPr>
              <w:t>Comparar CV vs TEST, estabilidad y sobreajuste</w:t>
            </w:r>
          </w:p>
        </w:tc>
        <w:tc>
          <w:tcPr>
            <w:tcW w:type="dxa" w:w="3273"/>
            <w:vAlign w:val="center"/>
          </w:tcPr>
          <w:p>
            <w:pPr>
              <w:spacing w:after="40" w:before="40"/>
            </w:pPr>
            <w:r>
              <w:rPr>
                <w:sz w:val="16"/>
              </w:rPr>
              <w:t>cv_vs_test.csv y sección de análisis</w:t>
            </w:r>
          </w:p>
        </w:tc>
      </w:tr>
      <w:tr>
        <w:tc>
          <w:tcPr>
            <w:tcW w:type="dxa" w:w="3273"/>
            <w:vAlign w:val="center"/>
          </w:tcPr>
          <w:p>
            <w:pPr>
              <w:spacing w:after="40" w:before="40"/>
            </w:pPr>
            <w:r>
              <w:rPr>
                <w:sz w:val="16"/>
              </w:rPr>
              <w:t>12</w:t>
            </w:r>
          </w:p>
        </w:tc>
        <w:tc>
          <w:tcPr>
            <w:tcW w:type="dxa" w:w="3273"/>
            <w:vAlign w:val="center"/>
          </w:tcPr>
          <w:p>
            <w:pPr>
              <w:spacing w:after="40" w:before="40"/>
            </w:pPr>
            <w:r>
              <w:rPr>
                <w:sz w:val="16"/>
              </w:rPr>
              <w:t>Conclusiones, límites y condiciones para uso real</w:t>
            </w:r>
          </w:p>
        </w:tc>
        <w:tc>
          <w:tcPr>
            <w:tcW w:type="dxa" w:w="3273"/>
            <w:vAlign w:val="center"/>
          </w:tcPr>
          <w:p>
            <w:pPr>
              <w:spacing w:after="40" w:before="40"/>
            </w:pPr>
            <w:r>
              <w:rPr>
                <w:sz w:val="16"/>
              </w:rPr>
              <w:t>Informe: secciones 10 y 11</w:t>
            </w:r>
          </w:p>
        </w:tc>
      </w:tr>
    </w:tbl>
    <w:p>
      <w:pPr>
        <w:pStyle w:val="Heading2"/>
      </w:pPr>
      <w:r>
        <w:t>Glosario para la defensa</w:t>
      </w:r>
    </w:p>
    <w:p>
      <w:r>
        <w:t>OOF: Predicción fuera de fold; cada ejemplo se predice por un modelo que no lo entrenó.</w:t>
      </w:r>
    </w:p>
    <w:p>
      <w:r>
        <w:t>PR-AUC / AP: Aquí es Average Precision; no es idéntica al área trapezoidal bajo la curva PR.</w:t>
      </w:r>
    </w:p>
    <w:p>
      <w:r>
        <w:t>Precision: Porcentaje de positivos predichos que realmente son positivos.</w:t>
      </w:r>
    </w:p>
    <w:p>
      <w:r>
        <w:t>Recall: Porcentaje de incumplidores reales correctamente detectados.</w:t>
      </w:r>
    </w:p>
    <w:p>
      <w:r>
        <w:t>Falsos negativos: Personas que incumplen clasificadas como no incumplidoras.</w:t>
      </w:r>
    </w:p>
    <w:p>
      <w:r>
        <w:t>Data leakage: Uso indebido de información que no debería estar disponible durante entrenamiento/selección.</w:t>
      </w:r>
    </w:p>
    <w:sectPr w:rsidR="00FC693F" w:rsidRPr="0006063C" w:rsidSect="00034616">
      <w:footerReference w:type="default" r:id="rId9"/>
      <w:headerReference w:type="default" r:id="rId10"/>
      <w:pgSz w:w="12240" w:h="15840"/>
      <w:pgMar w:top="1051" w:right="1210" w:bottom="965" w:left="12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3838D"/>
        <w:sz w:val="16"/>
      </w:rPr>
      <w:t>UCE · Caso 48  |  Análisis académico reproducible  |  Octubre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D929B"/>
        <w:sz w:val="14"/>
      </w:rPr>
      <w:t>INGENIERÍA EN SISTEMAS DE INFORMACIÓN  /  MINERÍA DE DATOS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6444E"/>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16444E"/>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16444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80"/>
      <w:contextualSpacing/>
    </w:pPr>
    <w:rPr>
      <w:rFonts w:asciiTheme="majorHAnsi" w:eastAsiaTheme="majorEastAsia" w:hAnsiTheme="majorHAnsi" w:cstheme="majorBidi" w:ascii="Aptos Display" w:hAnsi="Aptos Display"/>
      <w:b/>
      <w:color w:val="16444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