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23"/>
        <w:ind w:left="360" w:hanging="0"/>
        <w:jc w:val="center"/>
        <w:rPr>
          <w:rFonts w:ascii="Montserrat" w:hAnsi="Montserrat"/>
          <w:sz w:val="28"/>
          <w:szCs w:val="28"/>
        </w:rPr>
      </w:pPr>
      <w:r>
        <w:rPr>
          <w:rFonts w:eastAsia="Arial" w:cs="Arial" w:ascii="Montserrat" w:hAnsi="Montserrat"/>
          <w:b/>
          <w:sz w:val="20"/>
          <w:szCs w:val="28"/>
        </w:rPr>
        <w:t>Secretaría de la Defensa Nacional.</w:t>
      </w:r>
    </w:p>
    <w:p>
      <w:pPr>
        <w:pStyle w:val="Normal"/>
        <w:spacing w:lineRule="auto" w:line="240"/>
        <w:rPr>
          <w:rFonts w:ascii="Montserrat" w:hAnsi="Montserrat"/>
          <w:sz w:val="12"/>
          <w:szCs w:val="28"/>
        </w:rPr>
      </w:pPr>
      <w:r>
        <w:rPr>
          <w:rFonts w:ascii="Montserrat" w:hAnsi="Montserrat"/>
          <w:sz w:val="20"/>
          <w:szCs w:val="28"/>
        </w:rPr>
        <w:t xml:space="preserve"> </w:t>
      </w:r>
    </w:p>
    <w:p>
      <w:pPr>
        <w:pStyle w:val="Normal"/>
        <w:tabs>
          <w:tab w:val="clear" w:pos="708"/>
          <w:tab w:val="left" w:pos="8647" w:leader="none"/>
        </w:tabs>
        <w:spacing w:lineRule="auto" w:line="240"/>
        <w:ind w:left="360" w:hanging="0"/>
        <w:rPr>
          <w:rFonts w:ascii="Montserrat" w:hAnsi="Montserrat"/>
          <w:sz w:val="28"/>
          <w:szCs w:val="28"/>
        </w:rPr>
      </w:pPr>
      <w:r>
        <w:rPr>
          <w:rFonts w:eastAsia="Arial" w:cs="Arial" w:ascii="Montserrat" w:hAnsi="Montserrat"/>
          <w:b/>
          <w:sz w:val="20"/>
          <w:szCs w:val="28"/>
        </w:rPr>
        <w:t xml:space="preserve">Dir. Gral. Educ. Mil. Y </w:t>
        <w:tab/>
      </w:r>
      <w:r>
        <w:rPr>
          <w:rFonts w:eastAsia="Arial" w:cs="Arial" w:ascii="Montserrat" w:hAnsi="Montserrat"/>
          <w:b/>
          <w:sz w:val="18"/>
          <w:szCs w:val="18"/>
        </w:rPr>
        <w:t>Esc. Mil. de Ings.</w:t>
      </w:r>
    </w:p>
    <w:p>
      <w:pPr>
        <w:pStyle w:val="Normal"/>
        <w:tabs>
          <w:tab w:val="clear" w:pos="708"/>
          <w:tab w:val="left" w:pos="8222" w:leader="none"/>
        </w:tabs>
        <w:spacing w:lineRule="auto" w:line="240"/>
        <w:ind w:left="360" w:hanging="0"/>
        <w:rPr>
          <w:rFonts w:ascii="Montserrat" w:hAnsi="Montserrat" w:eastAsia="Arial" w:cs="Arial"/>
          <w:b/>
          <w:b/>
          <w:sz w:val="20"/>
          <w:szCs w:val="28"/>
        </w:rPr>
      </w:pPr>
      <w:r>
        <w:rPr>
          <w:rFonts w:eastAsia="Arial" w:cs="Arial" w:ascii="Montserrat" w:hAnsi="Montserrat"/>
          <w:b/>
          <w:sz w:val="20"/>
          <w:szCs w:val="28"/>
        </w:rPr>
        <w:t xml:space="preserve">Rectoría De La U.D.E.F.A. </w:t>
        <w:tab/>
      </w:r>
      <w:r>
        <w:rPr>
          <w:rFonts w:eastAsia="Arial" w:cs="Arial" w:ascii="Montserrat" w:hAnsi="Montserrat"/>
          <w:b/>
          <w:sz w:val="19"/>
          <w:szCs w:val="19"/>
        </w:rPr>
        <w:t>Sección Académica.</w:t>
      </w:r>
    </w:p>
    <w:p>
      <w:pPr>
        <w:pStyle w:val="Normal"/>
        <w:tabs>
          <w:tab w:val="clear" w:pos="708"/>
          <w:tab w:val="left" w:pos="8222" w:leader="none"/>
        </w:tabs>
        <w:spacing w:lineRule="auto" w:line="240"/>
        <w:ind w:left="360" w:hanging="0"/>
        <w:jc w:val="right"/>
        <w:rPr>
          <w:rFonts w:ascii="Montserrat" w:hAnsi="Montserrat"/>
          <w:b/>
          <w:b/>
          <w:bCs/>
          <w:sz w:val="28"/>
          <w:szCs w:val="28"/>
        </w:rPr>
      </w:pPr>
      <w:r>
        <w:rPr>
          <w:rFonts w:eastAsia="Arial" w:cs="Arial" w:ascii="Montserrat" w:hAnsi="Montserrat"/>
          <w:b/>
          <w:bCs/>
          <w:sz w:val="20"/>
          <w:szCs w:val="28"/>
        </w:rPr>
        <w:t>Grupo. 2/o. I.C.E.</w:t>
      </w:r>
    </w:p>
    <w:tbl>
      <w:tblPr>
        <w:tblStyle w:val="TableGrid"/>
        <w:tblW w:w="10836" w:type="dxa"/>
        <w:jc w:val="left"/>
        <w:tblInd w:w="-68" w:type="dxa"/>
        <w:tblLayout w:type="fixed"/>
        <w:tblCellMar>
          <w:top w:w="0" w:type="dxa"/>
          <w:left w:w="107" w:type="dxa"/>
          <w:bottom w:w="0" w:type="dxa"/>
          <w:right w:w="115" w:type="dxa"/>
        </w:tblCellMar>
        <w:tblLook w:val="04a0" w:noHBand="0" w:noVBand="1" w:firstColumn="1" w:lastRow="0" w:lastColumn="0" w:firstRow="1"/>
      </w:tblPr>
      <w:tblGrid>
        <w:gridCol w:w="2145"/>
        <w:gridCol w:w="662"/>
        <w:gridCol w:w="708"/>
        <w:gridCol w:w="964"/>
        <w:gridCol w:w="1251"/>
        <w:gridCol w:w="1381"/>
        <w:gridCol w:w="141"/>
        <w:gridCol w:w="1951"/>
        <w:gridCol w:w="59"/>
        <w:gridCol w:w="1574"/>
      </w:tblGrid>
      <w:tr>
        <w:trPr>
          <w:trHeight w:val="328" w:hRule="atLeast"/>
        </w:trPr>
        <w:tc>
          <w:tcPr>
            <w:tcW w:w="10836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>Secuencia Didáctica</w:t>
            </w:r>
          </w:p>
        </w:tc>
      </w:tr>
      <w:tr>
        <w:trPr>
          <w:trHeight w:val="486" w:hRule="atLeast"/>
        </w:trPr>
        <w:tc>
          <w:tcPr>
            <w:tcW w:w="2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93" w:hanging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Unidad de aprendizaje: </w:t>
            </w:r>
          </w:p>
        </w:tc>
        <w:tc>
          <w:tcPr>
            <w:tcW w:w="29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108" w:hanging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Unidad de competencia: </w:t>
            </w:r>
          </w:p>
        </w:tc>
        <w:tc>
          <w:tcPr>
            <w:tcW w:w="510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39" w:hanging="0"/>
              <w:jc w:val="center"/>
              <w:rPr>
                <w:rFonts w:ascii="Montserrat" w:hAnsi="Montserrat" w:eastAsia="Arial" w:cs="Arial"/>
                <w:b/>
                <w:b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>Elementos de competencia: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39" w:hanging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>(aprendizajes esperados)</w:t>
            </w:r>
          </w:p>
        </w:tc>
      </w:tr>
      <w:tr>
        <w:trPr>
          <w:trHeight w:val="703" w:hRule="atLeast"/>
        </w:trPr>
        <w:tc>
          <w:tcPr>
            <w:tcW w:w="2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Montserrat" w:hAnsi="Montserrat"/>
                <w:kern w:val="0"/>
                <w:sz w:val="18"/>
                <w:szCs w:val="18"/>
                <w:lang w:val="es-MX" w:eastAsia="es-MX" w:bidi="ar-SA"/>
              </w:rPr>
            </w:pPr>
            <w:r>
              <w:rPr>
                <w:rFonts w:eastAsia="Arial" w:cs="Arial" w:ascii="Montserrat" w:hAnsi="Montserrat"/>
                <w:b/>
                <w:color w:val="000000"/>
                <w:kern w:val="0"/>
                <w:sz w:val="18"/>
                <w:szCs w:val="18"/>
                <w:lang w:val="es-MX" w:eastAsia="es-MX" w:bidi="ar-SA"/>
              </w:rPr>
              <w:fldChar w:fldCharType="begin"/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color w:val="000000"/>
                <w:lang w:val="es-MX" w:eastAsia="es-MX" w:bidi="ar-SA"/>
              </w:rPr>
              <w:instrText> MERGEFIELD UnidadDAprendizaje </w:instrText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color w:val="000000"/>
                <w:lang w:val="es-MX" w:eastAsia="es-MX" w:bidi="ar-SA"/>
              </w:rPr>
              <w:fldChar w:fldCharType="separate"/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color w:val="000000"/>
                <w:lang w:val="es-MX" w:eastAsia="es-MX" w:bidi="ar-SA"/>
              </w:rPr>
              <w:t>Probabilidad y Estadística</w:t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color w:val="000000"/>
                <w:lang w:val="es-MX" w:eastAsia="es-MX" w:bidi="ar-SA"/>
              </w:rPr>
              <w:fldChar w:fldCharType="end"/>
            </w:r>
          </w:p>
        </w:tc>
        <w:tc>
          <w:tcPr>
            <w:tcW w:w="29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fldChar w:fldCharType="begin"/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instrText> MERGEFIELD UnidadDCompetencia </w:instrText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separate"/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t>II VARIABLES ALEATORIAS</w:t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end"/>
            </w:r>
          </w:p>
        </w:tc>
        <w:tc>
          <w:tcPr>
            <w:tcW w:w="510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fldChar w:fldCharType="begin"/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instrText> MERGEFIELD ElementoDCompetencia </w:instrText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separate"/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t>OBTIENE EL VALOR ESPERADO DE LA VARIABLE ALEATORIA CONTINUA INVOLUCRADA, SIN ERROR DE CONCEPTO.</w:t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end"/>
            </w: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</w:tc>
      </w:tr>
      <w:tr>
        <w:trPr>
          <w:trHeight w:val="305" w:hRule="atLeast"/>
        </w:trPr>
        <w:tc>
          <w:tcPr>
            <w:tcW w:w="57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>Docente/Instructor</w:t>
            </w:r>
          </w:p>
        </w:tc>
        <w:tc>
          <w:tcPr>
            <w:tcW w:w="510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129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Lugar y fecha: </w:t>
            </w:r>
          </w:p>
        </w:tc>
      </w:tr>
      <w:tr>
        <w:trPr>
          <w:trHeight w:val="703" w:hRule="atLeast"/>
        </w:trPr>
        <w:tc>
          <w:tcPr>
            <w:tcW w:w="57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fldChar w:fldCharType="begin"/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instrText> MERGEFIELD Docente </w:instrText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separate"/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t>Ing. Lamberto Maza Casas</w:t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end"/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</w:tc>
        <w:tc>
          <w:tcPr>
            <w:tcW w:w="510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Montserrat" w:hAnsi="Montserrat" w:eastAsia="Calibri" w:cs="" w:cstheme="minorBidi" w:eastAsiaTheme="minorHAnsi"/>
                <w:color w:val="auto"/>
                <w:sz w:val="18"/>
                <w:szCs w:val="18"/>
              </w:rPr>
            </w:pPr>
            <w:r>
              <w:rPr>
                <w:rFonts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Campo Mil. No. 1-K, “Gral. Bgda. Manuel Vázquez Bárete”, Lomas de San Isidro, Nauc., Méx., a </w:t>
            </w:r>
            <w:r>
              <w:rPr>
                <w:rFonts w:eastAsia="Calibri" w:cs="Arial" w:ascii="Montserrat" w:hAnsi="Montserrat"/>
                <w:b w:val="false"/>
                <w:bCs w:val="false"/>
                <w:color w:val="000000"/>
                <w:kern w:val="0"/>
                <w:sz w:val="18"/>
                <w:szCs w:val="18"/>
                <w:lang w:val="es-MX" w:eastAsia="es-MX" w:bidi="ar-SA"/>
              </w:rPr>
              <w:fldChar w:fldCharType="begin"/>
            </w:r>
            <w:r>
              <w:rPr>
                <w:sz w:val="18"/>
                <w:b w:val="false"/>
                <w:kern w:val="0"/>
                <w:szCs w:val="18"/>
                <w:bCs w:val="false"/>
                <w:rFonts w:eastAsia="Calibri" w:cs="Arial" w:ascii="Montserrat" w:hAnsi="Montserrat"/>
                <w:color w:val="000000"/>
                <w:lang w:val="es-MX" w:eastAsia="es-MX" w:bidi="ar-SA"/>
              </w:rPr>
              <w:instrText> MERGEFIELD FECHA </w:instrText>
            </w:r>
            <w:r>
              <w:rPr>
                <w:sz w:val="18"/>
                <w:b w:val="false"/>
                <w:kern w:val="0"/>
                <w:szCs w:val="18"/>
                <w:bCs w:val="false"/>
                <w:rFonts w:eastAsia="Calibri" w:cs="Arial" w:ascii="Montserrat" w:hAnsi="Montserrat"/>
                <w:color w:val="000000"/>
                <w:lang w:val="es-MX" w:eastAsia="es-MX" w:bidi="ar-SA"/>
              </w:rPr>
              <w:fldChar w:fldCharType="separate"/>
            </w:r>
            <w:r>
              <w:rPr>
                <w:sz w:val="18"/>
                <w:b w:val="false"/>
                <w:kern w:val="0"/>
                <w:szCs w:val="18"/>
                <w:bCs w:val="false"/>
                <w:rFonts w:eastAsia="Calibri" w:cs="Arial" w:ascii="Montserrat" w:hAnsi="Montserrat"/>
                <w:color w:val="000000"/>
                <w:lang w:val="es-MX" w:eastAsia="es-MX" w:bidi="ar-SA"/>
              </w:rPr>
              <w:t>23 marzo de 2022</w:t>
            </w:r>
            <w:r>
              <w:rPr>
                <w:sz w:val="18"/>
                <w:b w:val="false"/>
                <w:kern w:val="0"/>
                <w:szCs w:val="18"/>
                <w:bCs w:val="false"/>
                <w:rFonts w:eastAsia="Calibri" w:cs="Arial" w:ascii="Montserrat" w:hAnsi="Montserrat"/>
                <w:color w:val="000000"/>
                <w:lang w:val="es-MX" w:eastAsia="es-MX" w:bidi="ar-SA"/>
              </w:rPr>
              <w:fldChar w:fldCharType="end"/>
            </w:r>
            <w:r>
              <w:rPr>
                <w:rFonts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>.</w:t>
            </w:r>
          </w:p>
        </w:tc>
      </w:tr>
      <w:tr>
        <w:trPr>
          <w:trHeight w:val="490" w:hRule="atLeast"/>
        </w:trPr>
        <w:tc>
          <w:tcPr>
            <w:tcW w:w="57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240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>Situación problema: (conflicto cognitivo)</w:t>
            </w: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</w:tc>
        <w:tc>
          <w:tcPr>
            <w:tcW w:w="510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129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Competencia a desarrollar: </w:t>
            </w: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</w:tc>
      </w:tr>
      <w:tr>
        <w:trPr>
          <w:trHeight w:val="703" w:hRule="atLeast"/>
        </w:trPr>
        <w:tc>
          <w:tcPr>
            <w:tcW w:w="57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fldChar w:fldCharType="begin"/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instrText> MERGEFIELD SituacionProblema </w:instrText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separate"/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t>¿Cuál es la definición del valor esperado de una variable aleatoria continua?</w:t>
              <w:br/>
              <w:t>¿Cómo se calcula el valor esperado de una variable aleatoria continua?</w:t>
              <w:br/>
              <w:t>¿Considera usted que el concepto de valor esperado de una variable aleatoria continua es aprovechado por algunas empresas?</w:t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end"/>
            </w:r>
          </w:p>
        </w:tc>
        <w:tc>
          <w:tcPr>
            <w:tcW w:w="510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fldChar w:fldCharType="begin"/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instrText> MERGEFIELD CopetenciaADesarrollar </w:instrText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separate"/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t>EMPLEA LAS PROPIEDADES DE LAS DIFERENTES VARIABLES ALEATORIAS EN LA RESOLUCION DE PROBLEMAS.</w:t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end"/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</w:tc>
      </w:tr>
      <w:tr>
        <w:trPr>
          <w:trHeight w:val="239" w:hRule="atLeast"/>
        </w:trPr>
        <w:tc>
          <w:tcPr>
            <w:tcW w:w="10836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Actividades de aprendizaje </w:t>
            </w:r>
          </w:p>
        </w:tc>
      </w:tr>
      <w:tr>
        <w:trPr>
          <w:trHeight w:val="309" w:hRule="atLeast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98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>Metodología a desarrollar:</w:t>
            </w: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</w:tc>
        <w:tc>
          <w:tcPr>
            <w:tcW w:w="233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lineRule="auto" w:line="235" w:before="0" w:after="0"/>
              <w:ind w:left="35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Actividades del docente: </w:t>
            </w: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</w:tc>
        <w:tc>
          <w:tcPr>
            <w:tcW w:w="2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lineRule="auto" w:line="235"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Actividades del estudiante: </w:t>
            </w: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</w:tc>
        <w:tc>
          <w:tcPr>
            <w:tcW w:w="2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Recursos:  </w:t>
            </w:r>
            <w:r>
              <w:rPr>
                <w:rFonts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</w:tc>
        <w:tc>
          <w:tcPr>
            <w:tcW w:w="16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>Indicadores de desempeño:</w:t>
            </w:r>
            <w:r>
              <w:rPr>
                <w:rFonts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</w:tc>
      </w:tr>
      <w:tr>
        <w:trPr>
          <w:trHeight w:val="924" w:hRule="atLeast"/>
        </w:trPr>
        <w:tc>
          <w:tcPr>
            <w:tcW w:w="2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247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fldChar w:fldCharType="begin"/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instrText> MERGEFIELD MetodologiaADesarrollar </w:instrText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separate"/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t xml:space="preserve">Método Expositivo.  </w:t>
              <w:br/>
              <w:br/>
              <w:t>Técnica de Explicación Oral.</w:t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end"/>
            </w:r>
          </w:p>
        </w:tc>
        <w:tc>
          <w:tcPr>
            <w:tcW w:w="2334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fldChar w:fldCharType="begin"/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instrText> MERGEFIELD ActividadesDelDocente </w:instrText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separate"/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t>• Se menciona el propósito del tema.</w:t>
              <w:br/>
              <w:t>• Se realizan las preguntas del Conflicto Cognitivo.</w:t>
              <w:br/>
              <w:t>• Se dan las instrucciones pertinentes sobre las estrategias de trabajo.</w:t>
              <w:br/>
              <w:t>• Se da realimentación sobre el trabajo realizado, al personal discente.</w:t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end"/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</w:tc>
        <w:tc>
          <w:tcPr>
            <w:tcW w:w="263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fldChar w:fldCharType="begin"/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instrText> MERGEFIELD ActividadesDelEstudiante </w:instrText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separate"/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t>Obtiene mediante la aplicación de la definición, el valor esperado de una variable aleatoria continua definida sobre un espacio de probabilidad adecuado para el problema considerado.</w:t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end"/>
            </w:r>
          </w:p>
        </w:tc>
        <w:tc>
          <w:tcPr>
            <w:tcW w:w="2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32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b/>
                <w:bCs/>
                <w:kern w:val="0"/>
                <w:sz w:val="18"/>
                <w:szCs w:val="18"/>
                <w:lang w:val="es-MX" w:eastAsia="es-MX" w:bidi="ar-SA"/>
              </w:rPr>
              <w:fldChar w:fldCharType="begin"/>
            </w:r>
            <w:r>
              <w:rPr>
                <w:sz w:val="18"/>
                <w:b/>
                <w:kern w:val="0"/>
                <w:szCs w:val="18"/>
                <w:bCs/>
                <w:rFonts w:ascii="Montserrat" w:hAnsi="Montserrat"/>
                <w:lang w:val="es-MX" w:eastAsia="es-MX" w:bidi="ar-SA"/>
              </w:rPr>
              <w:instrText> MERGEFIELD Recursos </w:instrText>
            </w:r>
            <w:r>
              <w:rPr>
                <w:sz w:val="18"/>
                <w:b/>
                <w:kern w:val="0"/>
                <w:szCs w:val="18"/>
                <w:bCs/>
                <w:rFonts w:ascii="Montserrat" w:hAnsi="Montserrat"/>
                <w:lang w:val="es-MX" w:eastAsia="es-MX" w:bidi="ar-SA"/>
              </w:rPr>
              <w:fldChar w:fldCharType="separate"/>
            </w:r>
            <w:r>
              <w:rPr>
                <w:sz w:val="18"/>
                <w:b/>
                <w:kern w:val="0"/>
                <w:szCs w:val="18"/>
                <w:bCs/>
                <w:rFonts w:ascii="Montserrat" w:hAnsi="Montserrat"/>
                <w:lang w:val="es-MX" w:eastAsia="es-MX" w:bidi="ar-SA"/>
              </w:rPr>
              <w:t xml:space="preserve">• Pintarrón     </w:t>
              <w:br/>
              <w:t xml:space="preserve">• Marcadores para pintarrón     </w:t>
              <w:br/>
              <w:t xml:space="preserve">• Videoproyector     </w:t>
              <w:br/>
              <w:t>• Internet .</w:t>
            </w:r>
            <w:r>
              <w:rPr>
                <w:sz w:val="18"/>
                <w:b/>
                <w:kern w:val="0"/>
                <w:szCs w:val="18"/>
                <w:bCs/>
                <w:rFonts w:ascii="Montserrat" w:hAnsi="Montserrat"/>
                <w:lang w:val="es-MX" w:eastAsia="es-MX" w:bidi="ar-SA"/>
              </w:rPr>
              <w:fldChar w:fldCharType="end"/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</w:tc>
        <w:tc>
          <w:tcPr>
            <w:tcW w:w="163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fldChar w:fldCharType="begin"/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instrText> MERGEFIELD IndicadoresDDesempenio </w:instrText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separate"/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t xml:space="preserve">• Capacidad de abstracción.     </w:t>
              <w:br/>
              <w:t xml:space="preserve">• Capacidad de análisis.     </w:t>
              <w:br/>
              <w:t xml:space="preserve">• Creatividad.    </w:t>
              <w:br/>
              <w:t xml:space="preserve"> • Trabajo colaborativo.     </w:t>
              <w:br/>
              <w:t>• Capacidad de toma de decisiones.</w:t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end"/>
            </w:r>
          </w:p>
        </w:tc>
      </w:tr>
      <w:tr>
        <w:trPr>
          <w:trHeight w:val="276" w:hRule="atLeast"/>
        </w:trPr>
        <w:tc>
          <w:tcPr>
            <w:tcW w:w="2145" w:type="dxa"/>
            <w:vMerge w:val="continue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</w:r>
          </w:p>
        </w:tc>
        <w:tc>
          <w:tcPr>
            <w:tcW w:w="2334" w:type="dxa"/>
            <w:gridSpan w:val="3"/>
            <w:vMerge w:val="continue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</w:r>
          </w:p>
        </w:tc>
        <w:tc>
          <w:tcPr>
            <w:tcW w:w="2632" w:type="dxa"/>
            <w:gridSpan w:val="2"/>
            <w:vMerge w:val="continue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</w:r>
          </w:p>
        </w:tc>
        <w:tc>
          <w:tcPr>
            <w:tcW w:w="2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Tiempo: </w:t>
            </w:r>
          </w:p>
        </w:tc>
        <w:tc>
          <w:tcPr>
            <w:tcW w:w="1633" w:type="dxa"/>
            <w:gridSpan w:val="2"/>
            <w:vMerge w:val="continue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</w:r>
          </w:p>
        </w:tc>
      </w:tr>
      <w:tr>
        <w:trPr>
          <w:trHeight w:val="840" w:hRule="atLeast"/>
        </w:trPr>
        <w:tc>
          <w:tcPr>
            <w:tcW w:w="2145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</w:r>
          </w:p>
        </w:tc>
        <w:tc>
          <w:tcPr>
            <w:tcW w:w="2334" w:type="dxa"/>
            <w:gridSpan w:val="3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</w:r>
          </w:p>
        </w:tc>
        <w:tc>
          <w:tcPr>
            <w:tcW w:w="2632" w:type="dxa"/>
            <w:gridSpan w:val="2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</w:r>
          </w:p>
        </w:tc>
        <w:tc>
          <w:tcPr>
            <w:tcW w:w="2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318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fldChar w:fldCharType="begin"/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instrText> MERGEFIELD Tiempo </w:instrText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separate"/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t xml:space="preserve">• 120 minutos en total.     </w:t>
              <w:br/>
              <w:t xml:space="preserve">• 20 minutos de receso intercalados     </w:t>
              <w:br/>
              <w:t xml:space="preserve">• 5 minutos de encuadre.     </w:t>
              <w:br/>
              <w:t xml:space="preserve">• 5 minutos para explicar el desarrollo de la dinámica de trabajo.     </w:t>
              <w:br/>
              <w:t xml:space="preserve">• 25 minutos para dar retroalimentación sobre las tareas y evidencias desarrolladas por los discentes en las clases anteriores.     </w:t>
              <w:br/>
              <w:t xml:space="preserve">• 50 minutos para la resolución de problemas que involucren la obtención del valor esperado de variables aleatorias continuas.     </w:t>
              <w:br/>
              <w:t>• 15 minutos para el cierre y las conclusiones.</w:t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end"/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318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</w:tc>
        <w:tc>
          <w:tcPr>
            <w:tcW w:w="1633" w:type="dxa"/>
            <w:gridSpan w:val="2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</w:r>
          </w:p>
        </w:tc>
      </w:tr>
      <w:tr>
        <w:trPr>
          <w:trHeight w:val="262" w:hRule="atLeast"/>
        </w:trPr>
        <w:tc>
          <w:tcPr>
            <w:tcW w:w="10836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Proceso Metacognitivo: </w:t>
            </w:r>
          </w:p>
        </w:tc>
      </w:tr>
      <w:tr>
        <w:trPr>
          <w:trHeight w:val="637" w:hRule="atLeast"/>
        </w:trPr>
        <w:tc>
          <w:tcPr>
            <w:tcW w:w="10836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fldChar w:fldCharType="begin"/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instrText> MERGEFIELD ProcMetacognitivo </w:instrText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separate"/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t xml:space="preserve">¿Qué tan preciso le pareció a usted el aprendizaje adquirido? </w:t>
              <w:br/>
              <w:t xml:space="preserve">¿Qué tan claro fue para usted el aprendizaje adquirido? </w:t>
              <w:br/>
              <w:t>¿Cómo aplicará el aprendizaje adquirido en su práctica laboral?</w:t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end"/>
            </w:r>
          </w:p>
        </w:tc>
      </w:tr>
      <w:tr>
        <w:trPr>
          <w:trHeight w:val="314" w:hRule="atLeast"/>
        </w:trPr>
        <w:tc>
          <w:tcPr>
            <w:tcW w:w="10836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Procedimiento de la evaluación </w:t>
            </w:r>
          </w:p>
        </w:tc>
      </w:tr>
      <w:tr>
        <w:trPr>
          <w:trHeight w:val="517" w:hRule="atLeast"/>
        </w:trPr>
        <w:tc>
          <w:tcPr>
            <w:tcW w:w="35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103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Momentos de evaluación: </w:t>
            </w:r>
          </w:p>
        </w:tc>
        <w:tc>
          <w:tcPr>
            <w:tcW w:w="373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Intencionalidad de la evaluación </w:t>
            </w:r>
          </w:p>
        </w:tc>
        <w:tc>
          <w:tcPr>
            <w:tcW w:w="20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Instrumentos de evaluación </w:t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Producto final: </w:t>
            </w:r>
          </w:p>
        </w:tc>
      </w:tr>
      <w:tr>
        <w:trPr>
          <w:trHeight w:val="326" w:hRule="atLeast"/>
        </w:trPr>
        <w:tc>
          <w:tcPr>
            <w:tcW w:w="2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Diagnóstica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(    ) </w:t>
            </w:r>
          </w:p>
        </w:tc>
        <w:tc>
          <w:tcPr>
            <w:tcW w:w="3737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35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3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  <w:r>
              <w:rPr>
                <w:rFonts w:ascii="Montserrat" w:hAnsi="Montserrat"/>
                <w:kern w:val="0"/>
                <w:sz w:val="18"/>
                <w:szCs w:val="18"/>
                <w:lang w:val="es-MX" w:eastAsia="es-MX" w:bidi="ar-SA"/>
              </w:rPr>
              <w:fldChar w:fldCharType="begin"/>
            </w:r>
            <w:r>
              <w:rPr>
                <w:sz w:val="18"/>
                <w:kern w:val="0"/>
                <w:szCs w:val="18"/>
                <w:rFonts w:ascii="Montserrat" w:hAnsi="Montserrat"/>
                <w:lang w:val="es-MX" w:eastAsia="es-MX" w:bidi="ar-SA"/>
              </w:rPr>
              <w:instrText> MERGEFIELD IntencionalidadDLaEval </w:instrText>
            </w:r>
            <w:r>
              <w:rPr>
                <w:sz w:val="18"/>
                <w:kern w:val="0"/>
                <w:szCs w:val="18"/>
                <w:rFonts w:ascii="Montserrat" w:hAnsi="Montserrat"/>
                <w:lang w:val="es-MX" w:eastAsia="es-MX" w:bidi="ar-SA"/>
              </w:rPr>
              <w:fldChar w:fldCharType="separate"/>
            </w:r>
            <w:r>
              <w:rPr>
                <w:sz w:val="18"/>
                <w:kern w:val="0"/>
                <w:szCs w:val="18"/>
                <w:rFonts w:ascii="Montserrat" w:hAnsi="Montserrat"/>
                <w:lang w:val="es-MX" w:eastAsia="es-MX" w:bidi="ar-SA"/>
              </w:rPr>
              <w:t>Sistematizar e interpretar la información vertida por el personal discente, para dar la realimentación requerida</w:t>
            </w:r>
            <w:r>
              <w:rPr>
                <w:sz w:val="18"/>
                <w:kern w:val="0"/>
                <w:szCs w:val="18"/>
                <w:rFonts w:ascii="Montserrat" w:hAnsi="Montserrat"/>
                <w:lang w:val="es-MX" w:eastAsia="es-MX" w:bidi="ar-SA"/>
              </w:rPr>
              <w:fldChar w:fldCharType="end"/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32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</w:tc>
        <w:tc>
          <w:tcPr>
            <w:tcW w:w="201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fldChar w:fldCharType="begin"/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instrText> MERGEFIELD InstrumentosDEval </w:instrText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separate"/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t xml:space="preserve">• Lista de cotejo o verificación.     </w:t>
              <w:br/>
              <w:t>• Preguntas metacognitivas.</w:t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end"/>
            </w:r>
          </w:p>
        </w:tc>
        <w:tc>
          <w:tcPr>
            <w:tcW w:w="15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fldChar w:fldCharType="begin"/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instrText> MERGEFIELD ProdFinal </w:instrText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separate"/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t>Problemas resueltos en donde se utilicen variables aleatorias discretas.</w:t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end"/>
            </w: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</w:tc>
      </w:tr>
      <w:tr>
        <w:trPr>
          <w:trHeight w:val="415" w:hRule="atLeast"/>
        </w:trPr>
        <w:tc>
          <w:tcPr>
            <w:tcW w:w="2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Formativa.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(    ) </w:t>
            </w:r>
          </w:p>
        </w:tc>
        <w:tc>
          <w:tcPr>
            <w:tcW w:w="3737" w:type="dxa"/>
            <w:gridSpan w:val="4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</w:r>
          </w:p>
        </w:tc>
        <w:tc>
          <w:tcPr>
            <w:tcW w:w="2010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</w:r>
          </w:p>
        </w:tc>
        <w:tc>
          <w:tcPr>
            <w:tcW w:w="157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</w:r>
          </w:p>
        </w:tc>
      </w:tr>
      <w:tr>
        <w:trPr>
          <w:trHeight w:val="325" w:hRule="atLeast"/>
        </w:trPr>
        <w:tc>
          <w:tcPr>
            <w:tcW w:w="2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>Sumativa.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(    ) </w:t>
            </w:r>
          </w:p>
        </w:tc>
        <w:tc>
          <w:tcPr>
            <w:tcW w:w="3737" w:type="dxa"/>
            <w:gridSpan w:val="4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</w:r>
          </w:p>
        </w:tc>
        <w:tc>
          <w:tcPr>
            <w:tcW w:w="2010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</w:r>
          </w:p>
        </w:tc>
        <w:tc>
          <w:tcPr>
            <w:tcW w:w="157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Grid"/>
        <w:tblW w:w="10836" w:type="dxa"/>
        <w:jc w:val="left"/>
        <w:tblInd w:w="-63" w:type="dxa"/>
        <w:tblLayout w:type="fixed"/>
        <w:tblCellMar>
          <w:top w:w="0" w:type="dxa"/>
          <w:left w:w="107" w:type="dxa"/>
          <w:bottom w:w="0" w:type="dxa"/>
          <w:right w:w="115" w:type="dxa"/>
        </w:tblCellMar>
        <w:tblLook w:val="04a0" w:noHBand="0" w:noVBand="1" w:firstColumn="1" w:lastRow="0" w:lastColumn="0" w:firstRow="1"/>
      </w:tblPr>
      <w:tblGrid>
        <w:gridCol w:w="5450"/>
        <w:gridCol w:w="5385"/>
      </w:tblGrid>
      <w:tr>
        <w:trPr>
          <w:trHeight w:val="1393" w:hRule="atLeast"/>
        </w:trPr>
        <w:tc>
          <w:tcPr>
            <w:tcW w:w="545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-95" w:hanging="0"/>
              <w:jc w:val="center"/>
              <w:rPr>
                <w:rFonts w:ascii="Montserrat" w:hAnsi="Montserrat" w:eastAsia="Arial" w:cs="Arial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>Elaboró: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right="-95" w:hanging="0"/>
              <w:jc w:val="center"/>
              <w:rPr>
                <w:rFonts w:ascii="Montserrat" w:hAnsi="Montserrat" w:eastAsia="Arial" w:cs="Arial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>El Ingeniero Industrial en Electrónica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right="-95" w:hanging="0"/>
              <w:jc w:val="center"/>
              <w:rPr>
                <w:rFonts w:ascii="Montserrat" w:hAnsi="Montserrat" w:eastAsia="Arial" w:cs="Arial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sz w:val="18"/>
                <w:szCs w:val="18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right="-95" w:hanging="0"/>
              <w:jc w:val="center"/>
              <w:rPr>
                <w:rFonts w:ascii="Montserrat" w:hAnsi="Montserrat" w:eastAsia="Arial" w:cs="Arial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color w:val="000000"/>
                <w:kern w:val="0"/>
                <w:sz w:val="18"/>
                <w:szCs w:val="18"/>
                <w:lang w:val="es-MX" w:eastAsia="es-MX" w:bidi="ar-SA"/>
              </w:rPr>
              <w:t>Lamberto</w:t>
            </w: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Maza Casas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729" w:right="669" w:hanging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>C.P. (3045005)</w:t>
            </w:r>
          </w:p>
        </w:tc>
        <w:tc>
          <w:tcPr>
            <w:tcW w:w="538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kern w:val="0"/>
                <w:sz w:val="18"/>
                <w:szCs w:val="18"/>
                <w:lang w:val="es-MX" w:eastAsia="es-MX" w:bidi="ar-SA"/>
              </w:rPr>
              <w:t>Revisó: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Montserrat" w:hAnsi="Montserrat" w:eastAsia="Times New Roman" w:cs="Arial"/>
                <w:bCs/>
                <w:color w:val="auto"/>
                <w:sz w:val="18"/>
                <w:szCs w:val="18"/>
              </w:rPr>
            </w:pPr>
            <w:r>
              <w:rPr>
                <w:rFonts w:ascii="Montserrat" w:hAnsi="Montserrat"/>
                <w:bCs/>
                <w:kern w:val="0"/>
                <w:sz w:val="18"/>
                <w:szCs w:val="18"/>
                <w:lang w:val="es-MX" w:eastAsia="es-MX" w:bidi="ar-SA"/>
              </w:rPr>
              <w:t>El Cap. 1/o I.C.E.,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Montserrat" w:hAnsi="Montserrat"/>
                <w:bCs/>
                <w:sz w:val="18"/>
                <w:szCs w:val="18"/>
              </w:rPr>
            </w:pPr>
            <w:r>
              <w:rPr>
                <w:rFonts w:ascii="Montserrat" w:hAnsi="Montserrat"/>
                <w:bCs/>
                <w:kern w:val="0"/>
                <w:sz w:val="18"/>
                <w:szCs w:val="18"/>
                <w:lang w:val="es-MX" w:eastAsia="es-MX" w:bidi="ar-SA"/>
              </w:rPr>
              <w:t>Jefe de la SS. de Ejec. Y Ctrl. de II.CC.EE.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Montserrat" w:hAnsi="Montserrat"/>
                <w:bCs/>
                <w:sz w:val="18"/>
                <w:szCs w:val="18"/>
              </w:rPr>
            </w:pPr>
            <w:r>
              <w:rPr>
                <w:rFonts w:ascii="Montserrat" w:hAnsi="Montserrat"/>
                <w:bCs/>
                <w:sz w:val="18"/>
                <w:szCs w:val="18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outlineLvl w:val="0"/>
              <w:rPr>
                <w:rFonts w:ascii="Montserrat" w:hAnsi="Montserrat"/>
                <w:bCs/>
                <w:sz w:val="18"/>
                <w:szCs w:val="18"/>
              </w:rPr>
            </w:pPr>
            <w:r>
              <w:rPr>
                <w:rFonts w:ascii="Montserrat" w:hAnsi="Montserrat"/>
                <w:bCs/>
                <w:kern w:val="0"/>
                <w:sz w:val="18"/>
                <w:szCs w:val="18"/>
                <w:lang w:val="es-MX" w:eastAsia="es-MX" w:bidi="ar-SA"/>
              </w:rPr>
              <w:t>Diego Alfaro Manjarrez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769" w:right="706" w:hanging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bCs/>
                <w:kern w:val="0"/>
                <w:sz w:val="18"/>
                <w:szCs w:val="18"/>
                <w:lang w:val="es-MX" w:eastAsia="es-MX" w:bidi="ar-SA"/>
              </w:rPr>
              <w:t>(B-7171110)</w:t>
            </w:r>
          </w:p>
        </w:tc>
      </w:tr>
      <w:tr>
        <w:trPr>
          <w:trHeight w:val="1393" w:hRule="atLeast"/>
        </w:trPr>
        <w:tc>
          <w:tcPr>
            <w:tcW w:w="10835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Montserrat" w:hAnsi="Montserrat" w:eastAsia="Arial" w:cs="Arial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sz w:val="18"/>
                <w:szCs w:val="18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>Vo.                  Bo.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Montserrat" w:hAnsi="Montserrat" w:eastAsia="Times New Roman" w:cs="Arial"/>
                <w:bCs/>
                <w:color w:val="auto"/>
                <w:sz w:val="18"/>
                <w:szCs w:val="18"/>
              </w:rPr>
            </w:pPr>
            <w:r>
              <w:rPr>
                <w:rFonts w:ascii="Montserrat" w:hAnsi="Montserrat"/>
                <w:bCs/>
                <w:kern w:val="0"/>
                <w:sz w:val="18"/>
                <w:szCs w:val="18"/>
                <w:lang w:val="es-MX" w:eastAsia="es-MX" w:bidi="ar-SA"/>
              </w:rPr>
              <w:t>El Myr. I.I., Jefe Secc. Académica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Montserrat" w:hAnsi="Montserrat"/>
                <w:bCs/>
                <w:sz w:val="18"/>
                <w:szCs w:val="18"/>
              </w:rPr>
            </w:pPr>
            <w:r>
              <w:rPr>
                <w:rFonts w:ascii="Montserrat" w:hAnsi="Montserrat"/>
                <w:bCs/>
                <w:sz w:val="18"/>
                <w:szCs w:val="18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lineRule="auto" w:line="240" w:before="0" w:after="0"/>
              <w:ind w:left="0" w:hanging="0"/>
              <w:jc w:val="center"/>
              <w:outlineLvl w:val="0"/>
              <w:rPr>
                <w:rFonts w:ascii="Montserrat" w:hAnsi="Montserrat"/>
                <w:bCs/>
                <w:sz w:val="18"/>
                <w:szCs w:val="18"/>
              </w:rPr>
            </w:pPr>
            <w:r>
              <w:rPr>
                <w:rFonts w:ascii="Montserrat" w:hAnsi="Montserrat"/>
                <w:bCs/>
                <w:kern w:val="0"/>
                <w:sz w:val="18"/>
                <w:szCs w:val="18"/>
                <w:lang w:val="es-MX" w:eastAsia="es-MX" w:bidi="ar-SA"/>
              </w:rPr>
              <w:t>Mazatl Valadez Huertos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bCs/>
                <w:kern w:val="0"/>
                <w:sz w:val="18"/>
                <w:szCs w:val="18"/>
                <w:lang w:val="es-MX" w:eastAsia="es-MX" w:bidi="ar-SA"/>
              </w:rPr>
              <w:t>(C-7681266)</w:t>
            </w:r>
          </w:p>
        </w:tc>
      </w:tr>
    </w:tbl>
    <w:p>
      <w:pPr>
        <w:pStyle w:val="Normal"/>
        <w:spacing w:lineRule="auto" w:line="240"/>
        <w:rPr>
          <w:rFonts w:ascii="Montserrat" w:hAnsi="Montserrat" w:eastAsia="Arial" w:cs="Arial"/>
        </w:rPr>
      </w:pPr>
      <w:r>
        <w:rPr/>
      </w:r>
    </w:p>
    <w:sectPr>
      <w:type w:val="nextPage"/>
      <w:pgSz w:w="12240" w:h="15840"/>
      <w:pgMar w:left="851" w:right="992" w:header="0" w:top="284" w:footer="0" w:bottom="142" w:gutter="0"/>
      <w:pgNumType w:fmt="decimal"/>
      <w:formProt w:val="false"/>
      <w:textDirection w:val="lrTb"/>
      <w:docGrid w:type="default" w:linePitch="299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Montserrat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8"/>
  <w:mailMerge>
    <w:mainDocumentType w:val="formLetters"/>
    <w:dataType w:val="textFile"/>
    <w:query w:val="SELECT * FROM DB_Table_test01.dbo.DB_Table_test01$"/>
  </w:mailMerge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es-MX" w:eastAsia="es-MX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Calibri" w:hAnsi="Calibri" w:eastAsia="Calibri" w:cs="Calibri"/>
      <w:color w:val="000000"/>
      <w:kern w:val="0"/>
      <w:sz w:val="22"/>
      <w:szCs w:val="22"/>
      <w:lang w:val="es-MX" w:eastAsia="es-MX" w:bidi="ar-SA"/>
    </w:rPr>
  </w:style>
  <w:style w:type="character" w:styleId="DefaultParagraphFont">
    <w:name w:val="Default Paragraph Font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648</TotalTime>
  <Application>LibreOffice/7.0.4.2$Linux_X86_64 LibreOffice_project/00$Build-2</Application>
  <AppVersion>15.0000</AppVersion>
  <Pages>2</Pages>
  <Words>465</Words>
  <Characters>2674</Characters>
  <CharactersWithSpaces>3244</CharactersWithSpaces>
  <Paragraphs>82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2022-02-28T23:46:00Z</dcterms:created>
  <dc:creator>FENIX</dc:creator>
  <dc:description/>
  <dc:language>es-MX</dc:language>
  <cp:lastModifiedBy/>
  <dcterms:modified xsi:type="dcterms:W3CDTF">2022-03-16T07:53:16Z</dcterms:modified>
  <cp:revision>30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