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IX INFERENCIAS DE DOS POBLACIONES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EXPLICA VERBALMENTE, SIN ERROR DE CONCEPTO, LAS SITUACIONES EN DONDE SE REALIZAN COMPARACIONES ENTRE LOS PARAMETROS (MEDIAS Y VARIANZAS) DE DOS POBLACIONES. 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6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¿Cuál es el concepto de comparación de dos poblaciones?</w:t>
              <w:br/>
              <w:t>¿Cómo se obtienen muestras independientes de dos o más poblaciones?</w:t>
              <w:br/>
              <w:t>¿Puede usted proporcionar ejemplos para justificar sus respuestas?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MEDIANTE LA SOLUCION DE PROBLEMAS LA VALIDEZ DE LAS SUPOSICIONES SOBRE LOS PARAMETROS </w:t>
              <w:br/>
              <w:t>DE DOS POBLACIONES.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Aplica los procedimientos de análisis de muestras independientes de dos o más poblaciones.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aplicación de procedimientos de análisis de muestras independientes de dos o más poblaciones.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lustración de la aplicación de procedimientos de análisis de muestras independientes de dos o más poblaciones.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