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81A" w14:textId="77777777" w:rsidR="00FD01BC" w:rsidRDefault="00FD01BC" w:rsidP="00FD01BC">
      <w:pPr>
        <w:pStyle w:val="1"/>
        <w:keepNext w:val="0"/>
        <w:keepLines w:val="0"/>
        <w:spacing w:line="240" w:lineRule="auto"/>
        <w:rPr>
          <w:rFonts w:ascii="Arial" w:hAnsi="Arial"/>
          <w:color w:val="202124"/>
          <w:sz w:val="24"/>
          <w:szCs w:val="24"/>
        </w:rPr>
      </w:pPr>
      <w:r>
        <w:rPr>
          <w:rFonts w:ascii="Times New Roman" w:eastAsia="Times New Roman" w:hAnsi="Times New Roman" w:cs="Times New Roman"/>
          <w:noProof/>
          <w:sz w:val="32"/>
          <w:szCs w:val="32"/>
        </w:rPr>
        <w:drawing>
          <wp:inline distT="0" distB="0" distL="0" distR="0" wp14:anchorId="0D105CC4" wp14:editId="47C37084">
            <wp:extent cx="5905500" cy="2635250"/>
            <wp:effectExtent l="0" t="0" r="0" b="0"/>
            <wp:docPr id="13734231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2635250"/>
                    </a:xfrm>
                    <a:prstGeom prst="rect">
                      <a:avLst/>
                    </a:prstGeom>
                    <a:noFill/>
                    <a:ln>
                      <a:noFill/>
                    </a:ln>
                  </pic:spPr>
                </pic:pic>
              </a:graphicData>
            </a:graphic>
          </wp:inline>
        </w:drawing>
      </w:r>
    </w:p>
    <w:p w14:paraId="609CC4D8" w14:textId="77777777" w:rsidR="00FD01BC" w:rsidRPr="00DA3810" w:rsidRDefault="00FD01BC" w:rsidP="00FD01BC">
      <w:pPr>
        <w:pStyle w:val="1"/>
        <w:keepNext w:val="0"/>
        <w:keepLines w:val="0"/>
        <w:spacing w:line="240" w:lineRule="auto"/>
        <w:jc w:val="center"/>
        <w:rPr>
          <w:color w:val="202124"/>
          <w:sz w:val="36"/>
          <w:szCs w:val="36"/>
        </w:rPr>
      </w:pPr>
      <w:bookmarkStart w:id="0" w:name="_2ibg1hvg0qgj"/>
      <w:bookmarkEnd w:id="0"/>
      <w:r w:rsidRPr="00DA3810">
        <w:rPr>
          <w:color w:val="202124"/>
          <w:sz w:val="36"/>
          <w:szCs w:val="36"/>
        </w:rPr>
        <w:t>CA6001- AI Algorithms Fundamentals &amp; Application Assignment</w:t>
      </w:r>
    </w:p>
    <w:p w14:paraId="793885C8" w14:textId="77777777" w:rsidR="00FD01BC" w:rsidRDefault="00FD01BC" w:rsidP="00FD01BC">
      <w:pPr>
        <w:pStyle w:val="1"/>
        <w:keepNext w:val="0"/>
        <w:keepLines w:val="0"/>
        <w:spacing w:line="240" w:lineRule="auto"/>
        <w:jc w:val="center"/>
        <w:rPr>
          <w:rFonts w:eastAsia="宋体"/>
          <w:color w:val="202124"/>
          <w:sz w:val="36"/>
          <w:szCs w:val="36"/>
          <w:lang w:eastAsia="zh-CN"/>
        </w:rPr>
      </w:pPr>
      <w:bookmarkStart w:id="1" w:name="_kq8k9dz24i7i"/>
      <w:bookmarkEnd w:id="1"/>
      <w:r w:rsidRPr="00DA3810">
        <w:rPr>
          <w:color w:val="202124"/>
          <w:sz w:val="36"/>
          <w:szCs w:val="36"/>
        </w:rPr>
        <w:t>Progressive Chess Outcome Prediction</w:t>
      </w:r>
      <w:bookmarkStart w:id="2" w:name="_27h2w68j1o4l"/>
      <w:bookmarkEnd w:id="2"/>
    </w:p>
    <w:p w14:paraId="08713867" w14:textId="77777777" w:rsidR="00FD01BC" w:rsidRDefault="00FD01BC" w:rsidP="00FD01BC">
      <w:pPr>
        <w:rPr>
          <w:rFonts w:eastAsia="宋体"/>
          <w:lang w:eastAsia="zh-CN"/>
        </w:rPr>
      </w:pPr>
    </w:p>
    <w:p w14:paraId="7A8D8CE0" w14:textId="77777777" w:rsidR="00FD01BC" w:rsidRDefault="00FD01BC" w:rsidP="00FD01BC">
      <w:pPr>
        <w:rPr>
          <w:rFonts w:eastAsia="宋体"/>
          <w:lang w:eastAsia="zh-CN"/>
        </w:rPr>
      </w:pPr>
    </w:p>
    <w:p w14:paraId="236255D4" w14:textId="77777777" w:rsidR="00FD01BC" w:rsidRDefault="00FD01BC" w:rsidP="00FD01BC">
      <w:pPr>
        <w:rPr>
          <w:rFonts w:eastAsia="宋体"/>
          <w:lang w:eastAsia="zh-CN"/>
        </w:rPr>
      </w:pPr>
    </w:p>
    <w:p w14:paraId="0E836196" w14:textId="77777777" w:rsidR="00FD01BC" w:rsidRDefault="00FD01BC" w:rsidP="00FD01BC">
      <w:pPr>
        <w:rPr>
          <w:rFonts w:eastAsia="宋体"/>
          <w:lang w:eastAsia="zh-CN"/>
        </w:rPr>
      </w:pPr>
    </w:p>
    <w:p w14:paraId="61437A7A" w14:textId="77777777" w:rsidR="00FD01BC" w:rsidRDefault="00FD01BC" w:rsidP="00FD01BC">
      <w:pPr>
        <w:rPr>
          <w:rFonts w:eastAsia="宋体"/>
          <w:lang w:eastAsia="zh-CN"/>
        </w:rPr>
      </w:pPr>
    </w:p>
    <w:p w14:paraId="74BE82FE" w14:textId="77777777" w:rsidR="00FD01BC" w:rsidRDefault="00FD01BC" w:rsidP="00FD01BC">
      <w:pPr>
        <w:rPr>
          <w:rFonts w:eastAsia="宋体"/>
          <w:lang w:eastAsia="zh-CN"/>
        </w:rPr>
      </w:pPr>
    </w:p>
    <w:p w14:paraId="4BB440F6" w14:textId="77777777" w:rsidR="00FD01BC" w:rsidRDefault="00FD01BC" w:rsidP="00FD01BC">
      <w:pPr>
        <w:rPr>
          <w:rFonts w:eastAsia="宋体"/>
          <w:lang w:eastAsia="zh-CN"/>
        </w:rPr>
      </w:pPr>
    </w:p>
    <w:p w14:paraId="5D2CEC6A" w14:textId="77777777" w:rsidR="00FD01BC" w:rsidRDefault="00FD01BC" w:rsidP="00FD01BC">
      <w:pPr>
        <w:rPr>
          <w:rFonts w:eastAsia="宋体"/>
          <w:lang w:eastAsia="zh-CN"/>
        </w:rPr>
      </w:pPr>
    </w:p>
    <w:p w14:paraId="1F76908D" w14:textId="77777777" w:rsidR="00FD01BC" w:rsidRDefault="00FD01BC" w:rsidP="00FD01BC">
      <w:pPr>
        <w:rPr>
          <w:rFonts w:eastAsia="宋体"/>
          <w:lang w:eastAsia="zh-CN"/>
        </w:rPr>
      </w:pPr>
    </w:p>
    <w:p w14:paraId="2294363C" w14:textId="77777777" w:rsidR="00FD01BC" w:rsidRDefault="00FD01BC" w:rsidP="00FD01BC">
      <w:pPr>
        <w:rPr>
          <w:rFonts w:eastAsia="宋体"/>
          <w:lang w:eastAsia="zh-CN"/>
        </w:rPr>
      </w:pPr>
    </w:p>
    <w:p w14:paraId="2AF15A70" w14:textId="77777777" w:rsidR="00FD01BC" w:rsidRDefault="00FD01BC" w:rsidP="00FD01BC">
      <w:pPr>
        <w:rPr>
          <w:rFonts w:eastAsia="宋体"/>
          <w:lang w:eastAsia="zh-CN"/>
        </w:rPr>
      </w:pPr>
    </w:p>
    <w:p w14:paraId="08274ED6" w14:textId="77777777" w:rsidR="00FD01BC" w:rsidRDefault="00FD01BC" w:rsidP="00FD01BC">
      <w:pPr>
        <w:rPr>
          <w:rFonts w:eastAsia="宋体"/>
          <w:lang w:eastAsia="zh-CN"/>
        </w:rPr>
      </w:pPr>
    </w:p>
    <w:p w14:paraId="67081A8B" w14:textId="77777777" w:rsidR="00FD01BC" w:rsidRDefault="00FD01BC" w:rsidP="00FD01BC">
      <w:pPr>
        <w:rPr>
          <w:rFonts w:eastAsia="宋体"/>
          <w:lang w:eastAsia="zh-CN"/>
        </w:rPr>
      </w:pPr>
    </w:p>
    <w:p w14:paraId="3CEF262E" w14:textId="77777777" w:rsidR="00FD01BC" w:rsidRDefault="00FD01BC" w:rsidP="00FD01BC">
      <w:pPr>
        <w:rPr>
          <w:rFonts w:eastAsia="宋体"/>
          <w:lang w:eastAsia="zh-CN"/>
        </w:rPr>
      </w:pPr>
    </w:p>
    <w:p w14:paraId="3D988AD4" w14:textId="77777777" w:rsidR="00FD01BC" w:rsidRDefault="00FD01BC" w:rsidP="00FD01BC">
      <w:pPr>
        <w:rPr>
          <w:rFonts w:eastAsia="宋体"/>
          <w:lang w:eastAsia="zh-CN"/>
        </w:rPr>
      </w:pPr>
    </w:p>
    <w:p w14:paraId="2012B1DF" w14:textId="77777777" w:rsidR="00FD01BC" w:rsidRDefault="00FD01BC" w:rsidP="00FD01BC">
      <w:pPr>
        <w:rPr>
          <w:rFonts w:eastAsia="宋体"/>
          <w:lang w:eastAsia="zh-CN"/>
        </w:rPr>
      </w:pPr>
    </w:p>
    <w:p w14:paraId="083E7D19" w14:textId="77777777" w:rsidR="00FD01BC" w:rsidRDefault="00FD01BC" w:rsidP="00FD01BC">
      <w:pPr>
        <w:rPr>
          <w:rFonts w:eastAsia="宋体"/>
          <w:lang w:eastAsia="zh-CN"/>
        </w:rPr>
      </w:pPr>
    </w:p>
    <w:p w14:paraId="6051EDB0" w14:textId="77777777" w:rsidR="00FD01BC" w:rsidRDefault="00FD01BC" w:rsidP="00FD01BC">
      <w:pPr>
        <w:rPr>
          <w:rFonts w:eastAsia="宋体"/>
          <w:lang w:eastAsia="zh-CN"/>
        </w:rPr>
      </w:pPr>
    </w:p>
    <w:p w14:paraId="42186F53" w14:textId="77777777" w:rsidR="00FD01BC" w:rsidRDefault="00FD01BC" w:rsidP="00FD01BC">
      <w:pPr>
        <w:rPr>
          <w:rFonts w:eastAsia="宋体"/>
          <w:lang w:eastAsia="zh-CN"/>
        </w:rPr>
      </w:pPr>
    </w:p>
    <w:tbl>
      <w:tblPr>
        <w:tblStyle w:val="aff1"/>
        <w:tblW w:w="0" w:type="auto"/>
        <w:tblLook w:val="04A0" w:firstRow="1" w:lastRow="0" w:firstColumn="1" w:lastColumn="0" w:noHBand="0" w:noVBand="1"/>
      </w:tblPr>
      <w:tblGrid>
        <w:gridCol w:w="5041"/>
        <w:gridCol w:w="5041"/>
      </w:tblGrid>
      <w:tr w:rsidR="00FD01BC" w14:paraId="17EAAEBE" w14:textId="77777777" w:rsidTr="009F2BC3">
        <w:tc>
          <w:tcPr>
            <w:tcW w:w="5041" w:type="dxa"/>
          </w:tcPr>
          <w:p w14:paraId="3E739CB1" w14:textId="77777777" w:rsidR="00FD01BC" w:rsidRPr="00DA3810" w:rsidRDefault="00FD01BC" w:rsidP="009F2BC3">
            <w:pPr>
              <w:rPr>
                <w:rFonts w:ascii="Arial" w:eastAsia="宋体" w:hAnsi="Arial" w:cs="Arial"/>
                <w:sz w:val="21"/>
                <w:szCs w:val="28"/>
                <w:lang w:eastAsia="zh-CN"/>
              </w:rPr>
            </w:pPr>
            <w:r w:rsidRPr="00DA3810">
              <w:rPr>
                <w:rFonts w:ascii="Arial" w:eastAsia="宋体" w:hAnsi="Arial" w:cs="Arial"/>
                <w:sz w:val="21"/>
                <w:szCs w:val="28"/>
                <w:lang w:eastAsia="zh-CN"/>
              </w:rPr>
              <w:t>Group member name</w:t>
            </w:r>
          </w:p>
        </w:tc>
        <w:tc>
          <w:tcPr>
            <w:tcW w:w="5041" w:type="dxa"/>
          </w:tcPr>
          <w:p w14:paraId="744F0E76" w14:textId="77777777" w:rsidR="00FD01BC" w:rsidRPr="00DA3810" w:rsidRDefault="00FD01BC" w:rsidP="009F2BC3">
            <w:pPr>
              <w:rPr>
                <w:rFonts w:ascii="Arial" w:eastAsia="宋体" w:hAnsi="Arial" w:cs="Arial"/>
                <w:sz w:val="21"/>
                <w:szCs w:val="28"/>
                <w:lang w:eastAsia="zh-CN"/>
              </w:rPr>
            </w:pPr>
            <w:r w:rsidRPr="00DA3810">
              <w:rPr>
                <w:rFonts w:ascii="Arial" w:eastAsia="宋体" w:hAnsi="Arial" w:cs="Arial"/>
                <w:sz w:val="21"/>
                <w:szCs w:val="28"/>
                <w:lang w:eastAsia="zh-CN"/>
              </w:rPr>
              <w:t>Matriculation Number</w:t>
            </w:r>
          </w:p>
        </w:tc>
      </w:tr>
      <w:tr w:rsidR="00FD01BC" w14:paraId="1500326C" w14:textId="77777777" w:rsidTr="009F2BC3">
        <w:tc>
          <w:tcPr>
            <w:tcW w:w="5041" w:type="dxa"/>
          </w:tcPr>
          <w:p w14:paraId="213E7BD4" w14:textId="77777777" w:rsidR="00FD01BC" w:rsidRPr="00DA3810" w:rsidRDefault="00FD01BC" w:rsidP="009F2BC3">
            <w:pPr>
              <w:rPr>
                <w:rFonts w:ascii="Arial" w:eastAsia="宋体" w:hAnsi="Arial" w:cs="Arial"/>
                <w:sz w:val="21"/>
                <w:szCs w:val="28"/>
                <w:lang w:eastAsia="zh-CN"/>
              </w:rPr>
            </w:pPr>
            <w:r>
              <w:rPr>
                <w:rFonts w:ascii="Arial" w:eastAsia="宋体" w:hAnsi="Arial" w:cs="Arial"/>
                <w:sz w:val="21"/>
                <w:szCs w:val="28"/>
                <w:lang w:eastAsia="zh-CN"/>
              </w:rPr>
              <w:t>Gu Shucheng</w:t>
            </w:r>
          </w:p>
        </w:tc>
        <w:tc>
          <w:tcPr>
            <w:tcW w:w="5041" w:type="dxa"/>
          </w:tcPr>
          <w:p w14:paraId="75212E75" w14:textId="77777777" w:rsidR="00FD01BC" w:rsidRPr="00DA3810" w:rsidRDefault="00FD01BC" w:rsidP="009F2BC3">
            <w:pPr>
              <w:rPr>
                <w:rFonts w:ascii="Arial" w:eastAsia="宋体" w:hAnsi="Arial" w:cs="Arial"/>
                <w:sz w:val="21"/>
                <w:szCs w:val="28"/>
                <w:lang w:eastAsia="zh-CN"/>
              </w:rPr>
            </w:pPr>
            <w:r>
              <w:rPr>
                <w:rFonts w:ascii="Arial" w:eastAsia="宋体" w:hAnsi="Arial" w:cs="Arial"/>
                <w:sz w:val="21"/>
                <w:szCs w:val="28"/>
                <w:lang w:eastAsia="zh-CN"/>
              </w:rPr>
              <w:t>G2605220E</w:t>
            </w:r>
          </w:p>
        </w:tc>
      </w:tr>
      <w:tr w:rsidR="00FD01BC" w14:paraId="6CBDE5C5" w14:textId="77777777" w:rsidTr="009F2BC3">
        <w:tc>
          <w:tcPr>
            <w:tcW w:w="5041" w:type="dxa"/>
          </w:tcPr>
          <w:p w14:paraId="439B0CB6" w14:textId="77777777" w:rsidR="00FD01BC" w:rsidRPr="00DA3810" w:rsidRDefault="00FD01BC" w:rsidP="009F2BC3">
            <w:pPr>
              <w:rPr>
                <w:rFonts w:ascii="Arial" w:eastAsia="宋体" w:hAnsi="Arial" w:cs="Arial"/>
                <w:sz w:val="21"/>
                <w:szCs w:val="28"/>
                <w:lang w:eastAsia="zh-CN"/>
              </w:rPr>
            </w:pPr>
          </w:p>
        </w:tc>
        <w:tc>
          <w:tcPr>
            <w:tcW w:w="5041" w:type="dxa"/>
          </w:tcPr>
          <w:p w14:paraId="2E4373CA" w14:textId="77777777" w:rsidR="00FD01BC" w:rsidRPr="00DA3810" w:rsidRDefault="00FD01BC" w:rsidP="009F2BC3">
            <w:pPr>
              <w:rPr>
                <w:rFonts w:ascii="Arial" w:eastAsia="宋体" w:hAnsi="Arial" w:cs="Arial"/>
                <w:sz w:val="21"/>
                <w:szCs w:val="28"/>
                <w:lang w:eastAsia="zh-CN"/>
              </w:rPr>
            </w:pPr>
          </w:p>
        </w:tc>
      </w:tr>
      <w:tr w:rsidR="00FD01BC" w14:paraId="2AF06180" w14:textId="77777777" w:rsidTr="009F2BC3">
        <w:tc>
          <w:tcPr>
            <w:tcW w:w="5041" w:type="dxa"/>
          </w:tcPr>
          <w:p w14:paraId="4C24AB28" w14:textId="77777777" w:rsidR="00FD01BC" w:rsidRPr="00DA3810" w:rsidRDefault="00FD01BC" w:rsidP="009F2BC3">
            <w:pPr>
              <w:rPr>
                <w:rFonts w:ascii="Arial" w:eastAsia="宋体" w:hAnsi="Arial" w:cs="Arial"/>
                <w:sz w:val="21"/>
                <w:szCs w:val="28"/>
                <w:lang w:eastAsia="zh-CN"/>
              </w:rPr>
            </w:pPr>
          </w:p>
        </w:tc>
        <w:tc>
          <w:tcPr>
            <w:tcW w:w="5041" w:type="dxa"/>
          </w:tcPr>
          <w:p w14:paraId="35C6E949" w14:textId="77777777" w:rsidR="00FD01BC" w:rsidRPr="00DA3810" w:rsidRDefault="00FD01BC" w:rsidP="009F2BC3">
            <w:pPr>
              <w:rPr>
                <w:rFonts w:ascii="Arial" w:eastAsia="宋体" w:hAnsi="Arial" w:cs="Arial"/>
                <w:sz w:val="21"/>
                <w:szCs w:val="28"/>
                <w:lang w:eastAsia="zh-CN"/>
              </w:rPr>
            </w:pPr>
          </w:p>
        </w:tc>
      </w:tr>
      <w:tr w:rsidR="00FD01BC" w14:paraId="3A8D52E3" w14:textId="77777777" w:rsidTr="009F2BC3">
        <w:tc>
          <w:tcPr>
            <w:tcW w:w="5041" w:type="dxa"/>
          </w:tcPr>
          <w:p w14:paraId="62D92604" w14:textId="77777777" w:rsidR="00FD01BC" w:rsidRPr="00DA3810" w:rsidRDefault="00FD01BC" w:rsidP="009F2BC3">
            <w:pPr>
              <w:rPr>
                <w:rFonts w:ascii="Arial" w:eastAsia="宋体" w:hAnsi="Arial" w:cs="Arial"/>
                <w:sz w:val="21"/>
                <w:szCs w:val="28"/>
                <w:lang w:eastAsia="zh-CN"/>
              </w:rPr>
            </w:pPr>
          </w:p>
        </w:tc>
        <w:tc>
          <w:tcPr>
            <w:tcW w:w="5041" w:type="dxa"/>
          </w:tcPr>
          <w:p w14:paraId="3F946256" w14:textId="77777777" w:rsidR="00FD01BC" w:rsidRPr="00DA3810" w:rsidRDefault="00FD01BC" w:rsidP="009F2BC3">
            <w:pPr>
              <w:rPr>
                <w:rFonts w:ascii="Arial" w:eastAsia="宋体" w:hAnsi="Arial" w:cs="Arial"/>
                <w:sz w:val="21"/>
                <w:szCs w:val="28"/>
                <w:lang w:eastAsia="zh-CN"/>
              </w:rPr>
            </w:pPr>
          </w:p>
        </w:tc>
      </w:tr>
      <w:tr w:rsidR="00FD01BC" w14:paraId="7095CBA7" w14:textId="77777777" w:rsidTr="009F2BC3">
        <w:tc>
          <w:tcPr>
            <w:tcW w:w="5041" w:type="dxa"/>
          </w:tcPr>
          <w:p w14:paraId="5AB1998B" w14:textId="77777777" w:rsidR="00FD01BC" w:rsidRPr="00DA3810" w:rsidRDefault="00FD01BC" w:rsidP="009F2BC3">
            <w:pPr>
              <w:rPr>
                <w:rFonts w:ascii="Arial" w:eastAsia="宋体" w:hAnsi="Arial" w:cs="Arial"/>
                <w:sz w:val="21"/>
                <w:szCs w:val="28"/>
                <w:lang w:eastAsia="zh-CN"/>
              </w:rPr>
            </w:pPr>
          </w:p>
        </w:tc>
        <w:tc>
          <w:tcPr>
            <w:tcW w:w="5041" w:type="dxa"/>
          </w:tcPr>
          <w:p w14:paraId="6A5C437C" w14:textId="77777777" w:rsidR="00FD01BC" w:rsidRPr="00DA3810" w:rsidRDefault="00FD01BC" w:rsidP="009F2BC3">
            <w:pPr>
              <w:rPr>
                <w:rFonts w:ascii="Arial" w:eastAsia="宋体" w:hAnsi="Arial" w:cs="Arial"/>
                <w:sz w:val="21"/>
                <w:szCs w:val="28"/>
                <w:lang w:eastAsia="zh-CN"/>
              </w:rPr>
            </w:pPr>
          </w:p>
        </w:tc>
      </w:tr>
    </w:tbl>
    <w:p w14:paraId="3DB2BD2E" w14:textId="77777777" w:rsidR="00FD01BC" w:rsidRPr="0094662D" w:rsidRDefault="00FD01BC" w:rsidP="00FD01BC">
      <w:pPr>
        <w:spacing w:after="200" w:line="276" w:lineRule="auto"/>
        <w:rPr>
          <w:rFonts w:eastAsia="宋体"/>
          <w:sz w:val="21"/>
          <w:szCs w:val="28"/>
          <w:lang w:eastAsia="zh-CN"/>
        </w:rPr>
      </w:pPr>
      <w:bookmarkStart w:id="3" w:name="_dnkqk19qp2o"/>
      <w:bookmarkEnd w:id="3"/>
      <w:r>
        <w:rPr>
          <w:sz w:val="21"/>
          <w:szCs w:val="28"/>
        </w:rPr>
        <w:br w:type="page"/>
      </w:r>
    </w:p>
    <w:p w14:paraId="09A7E3C3" w14:textId="77777777" w:rsidR="00E258B0" w:rsidRPr="00FD01BC" w:rsidRDefault="00FD01BC">
      <w:pPr>
        <w:pStyle w:val="1"/>
        <w:rPr>
          <w:sz w:val="40"/>
          <w:szCs w:val="40"/>
        </w:rPr>
      </w:pPr>
      <w:r w:rsidRPr="00FD01BC">
        <w:rPr>
          <w:sz w:val="40"/>
          <w:szCs w:val="40"/>
        </w:rPr>
        <w:lastRenderedPageBreak/>
        <w:t>Abstract</w:t>
      </w:r>
    </w:p>
    <w:p w14:paraId="08D96C63" w14:textId="77777777" w:rsidR="00E258B0" w:rsidRPr="00FD01BC" w:rsidRDefault="00FD01BC">
      <w:pPr>
        <w:rPr>
          <w:rFonts w:hint="eastAsia"/>
          <w:sz w:val="22"/>
          <w:szCs w:val="32"/>
        </w:rPr>
      </w:pPr>
      <w:r w:rsidRPr="00FD01BC">
        <w:rPr>
          <w:sz w:val="22"/>
          <w:szCs w:val="32"/>
        </w:rPr>
        <w:t>Stockfish can evaluate objective board strength, but its win/draw/loss (WDL) probabilities describe engine play rather than the particular human players in a game. This project asks whether human context improves three-class outcome prediction beyond direct Stockfish WDL. A public Lichess sample is cleaned to 19,113 unique games and split by game. Three in-game predictors are compared: direct WDL, a learned position-only model, and the same learner augmented with pre-match ratings and time control. Across a</w:t>
      </w:r>
      <w:r w:rsidRPr="00FD01BC">
        <w:rPr>
          <w:sz w:val="22"/>
          <w:szCs w:val="32"/>
        </w:rPr>
        <w:t>ll held-out snapshots pooled from the 10%, 25%, 50%, 75%, and 100% checkpoints, direct WDL obtains 47.6% accuracy and 43.4% macro-F1; the position-only HGB raises these to 63.4% and 52.0%; the Human-context HGB reaches 68.7% and 54.5%. The main model progresses from 52.3% accuracy before play to 89.9% at the final recorded position. The controlled comparison demonstrates that objective evaluation and human context are complementary, while retaining a compact and interpretable design.</w:t>
      </w:r>
    </w:p>
    <w:p w14:paraId="181FBC74" w14:textId="77777777" w:rsidR="00E258B0" w:rsidRPr="00FD01BC" w:rsidRDefault="00FD01BC">
      <w:pPr>
        <w:pStyle w:val="1"/>
        <w:rPr>
          <w:sz w:val="40"/>
          <w:szCs w:val="40"/>
        </w:rPr>
      </w:pPr>
      <w:r w:rsidRPr="00FD01BC">
        <w:rPr>
          <w:sz w:val="40"/>
          <w:szCs w:val="40"/>
        </w:rPr>
        <w:t>1. Problem Background</w:t>
      </w:r>
    </w:p>
    <w:p w14:paraId="148D613F" w14:textId="77777777" w:rsidR="00E258B0" w:rsidRPr="00FD01BC" w:rsidRDefault="00FD01BC">
      <w:pPr>
        <w:rPr>
          <w:rFonts w:hint="eastAsia"/>
          <w:sz w:val="22"/>
          <w:szCs w:val="32"/>
        </w:rPr>
      </w:pPr>
      <w:r w:rsidRPr="00FD01BC">
        <w:rPr>
          <w:sz w:val="22"/>
          <w:szCs w:val="32"/>
        </w:rPr>
        <w:t>A strategy engine is designed to evaluate positions under strong play. Human outcomes also depend on rating difference, time control, and the practical ability to convert or defend a position. Two boards with the same engine score may therefore lead to different result probabilities for different players. The study isolates this issue through a controlled ablation: the same classifier is trained first without and then with pre-match human context.</w:t>
      </w:r>
    </w:p>
    <w:p w14:paraId="0ED85CB8" w14:textId="77777777" w:rsidR="00E258B0" w:rsidRPr="00FD01BC" w:rsidRDefault="00FD01BC">
      <w:pPr>
        <w:pStyle w:val="1"/>
        <w:rPr>
          <w:sz w:val="40"/>
          <w:szCs w:val="40"/>
        </w:rPr>
      </w:pPr>
      <w:r w:rsidRPr="00FD01BC">
        <w:rPr>
          <w:sz w:val="40"/>
          <w:szCs w:val="40"/>
        </w:rPr>
        <w:t>2. Task Definition</w:t>
      </w:r>
    </w:p>
    <w:p w14:paraId="1D69C67A" w14:textId="77777777" w:rsidR="00E258B0" w:rsidRPr="00FD01BC" w:rsidRDefault="00FD01BC">
      <w:pPr>
        <w:pStyle w:val="a0"/>
        <w:rPr>
          <w:rFonts w:hint="eastAsia"/>
          <w:sz w:val="22"/>
          <w:szCs w:val="32"/>
        </w:rPr>
      </w:pPr>
      <w:r w:rsidRPr="00FD01BC">
        <w:rPr>
          <w:sz w:val="22"/>
          <w:szCs w:val="32"/>
        </w:rPr>
        <w:t>Target: Black win, draw, or White win.</w:t>
      </w:r>
    </w:p>
    <w:p w14:paraId="7DF002AB" w14:textId="77777777" w:rsidR="00E258B0" w:rsidRPr="00FD01BC" w:rsidRDefault="00FD01BC">
      <w:pPr>
        <w:pStyle w:val="a0"/>
        <w:rPr>
          <w:rFonts w:hint="eastAsia"/>
          <w:sz w:val="22"/>
          <w:szCs w:val="32"/>
        </w:rPr>
      </w:pPr>
      <w:r w:rsidRPr="00FD01BC">
        <w:rPr>
          <w:sz w:val="22"/>
          <w:szCs w:val="32"/>
        </w:rPr>
        <w:t>Pre-match inputs: ratings, rated status, and time control.</w:t>
      </w:r>
    </w:p>
    <w:p w14:paraId="7BA35DD7" w14:textId="77777777" w:rsidR="00E258B0" w:rsidRPr="00FD01BC" w:rsidRDefault="00FD01BC">
      <w:pPr>
        <w:pStyle w:val="a0"/>
        <w:rPr>
          <w:rFonts w:hint="eastAsia"/>
          <w:sz w:val="22"/>
          <w:szCs w:val="32"/>
        </w:rPr>
      </w:pPr>
      <w:r w:rsidRPr="00FD01BC">
        <w:rPr>
          <w:sz w:val="22"/>
          <w:szCs w:val="32"/>
        </w:rPr>
        <w:t>Comparison A: direct Stockfish WDL, without fitting a classifier.</w:t>
      </w:r>
    </w:p>
    <w:p w14:paraId="45540DE5" w14:textId="77777777" w:rsidR="00E258B0" w:rsidRPr="00FD01BC" w:rsidRDefault="00FD01BC">
      <w:pPr>
        <w:pStyle w:val="a0"/>
        <w:rPr>
          <w:rFonts w:hint="eastAsia"/>
          <w:sz w:val="22"/>
          <w:szCs w:val="32"/>
        </w:rPr>
      </w:pPr>
      <w:r w:rsidRPr="00FD01BC">
        <w:rPr>
          <w:sz w:val="22"/>
          <w:szCs w:val="32"/>
        </w:rPr>
        <w:t>Comparison B: a position-only classifier using four engine indicators and three transparent features.</w:t>
      </w:r>
    </w:p>
    <w:p w14:paraId="44A5EFB8" w14:textId="77777777" w:rsidR="00E258B0" w:rsidRPr="00FD01BC" w:rsidRDefault="00FD01BC">
      <w:pPr>
        <w:pStyle w:val="a0"/>
        <w:rPr>
          <w:rFonts w:hint="eastAsia"/>
          <w:sz w:val="22"/>
          <w:szCs w:val="32"/>
        </w:rPr>
      </w:pPr>
      <w:r w:rsidRPr="00FD01BC">
        <w:rPr>
          <w:sz w:val="22"/>
          <w:szCs w:val="32"/>
        </w:rPr>
        <w:t>Main model: the identical classifier plus ratings, rated status, and time control.</w:t>
      </w:r>
    </w:p>
    <w:p w14:paraId="2CEA4468" w14:textId="77777777" w:rsidR="00E258B0" w:rsidRPr="00FD01BC" w:rsidRDefault="00FD01BC">
      <w:pPr>
        <w:pStyle w:val="a0"/>
        <w:rPr>
          <w:rFonts w:hint="eastAsia"/>
          <w:sz w:val="22"/>
          <w:szCs w:val="32"/>
        </w:rPr>
      </w:pPr>
      <w:r w:rsidRPr="00FD01BC">
        <w:rPr>
          <w:sz w:val="22"/>
          <w:szCs w:val="32"/>
        </w:rPr>
        <w:t>Metrics: macro-F1, accuracy, and multiclass log loss, followed across retrospective game progress.</w:t>
      </w:r>
    </w:p>
    <w:p w14:paraId="324F061A" w14:textId="77777777" w:rsidR="00E258B0" w:rsidRPr="00FD01BC" w:rsidRDefault="00FD01BC">
      <w:pPr>
        <w:rPr>
          <w:rFonts w:hint="eastAsia"/>
          <w:sz w:val="22"/>
          <w:szCs w:val="32"/>
        </w:rPr>
      </w:pPr>
      <w:r w:rsidRPr="00FD01BC">
        <w:rPr>
          <w:sz w:val="22"/>
          <w:szCs w:val="32"/>
        </w:rPr>
        <w:t>Final length and percentage progress are never model inputs. Training and validation use predetermined ply counts; percentage is used only to locate reporting positions in test games.</w:t>
      </w:r>
    </w:p>
    <w:p w14:paraId="1CA9CF64" w14:textId="77777777" w:rsidR="00E258B0" w:rsidRPr="00FD01BC" w:rsidRDefault="00FD01BC">
      <w:pPr>
        <w:rPr>
          <w:rFonts w:hint="eastAsia"/>
          <w:sz w:val="22"/>
          <w:szCs w:val="32"/>
        </w:rPr>
      </w:pPr>
      <w:r w:rsidRPr="00FD01BC">
        <w:rPr>
          <w:sz w:val="22"/>
          <w:szCs w:val="32"/>
        </w:rPr>
        <w:br w:type="page"/>
      </w:r>
    </w:p>
    <w:p w14:paraId="3985EECB" w14:textId="77777777" w:rsidR="00E258B0" w:rsidRPr="00FD01BC" w:rsidRDefault="00FD01BC">
      <w:pPr>
        <w:pStyle w:val="1"/>
        <w:rPr>
          <w:sz w:val="40"/>
          <w:szCs w:val="40"/>
        </w:rPr>
      </w:pPr>
      <w:r w:rsidRPr="00FD01BC">
        <w:rPr>
          <w:sz w:val="40"/>
          <w:szCs w:val="40"/>
        </w:rPr>
        <w:lastRenderedPageBreak/>
        <w:t>3. Dataset and Data Quality</w:t>
      </w:r>
    </w:p>
    <w:p w14:paraId="6226B5D0" w14:textId="77777777" w:rsidR="00E258B0" w:rsidRPr="00FD01BC" w:rsidRDefault="00FD01BC">
      <w:pPr>
        <w:rPr>
          <w:rFonts w:hint="eastAsia"/>
          <w:sz w:val="22"/>
          <w:szCs w:val="32"/>
        </w:rPr>
      </w:pPr>
      <w:r w:rsidRPr="00FD01BC">
        <w:rPr>
          <w:sz w:val="22"/>
          <w:szCs w:val="32"/>
        </w:rPr>
        <w:t>The source is the public Chess Game Dataset (Lichess) on Kaggle [1]. Its 16 columns include identifiers, ratings, rated status, time control, SAN moves, opening metadata, termination status, and winner. The notebook downloads the source and prints a SHA-256 digest. Opening labels, player IDs, duration, turns, termination status, and winner are excluded from all predictors.</w:t>
      </w:r>
    </w:p>
    <w:p w14:paraId="0219E520" w14:textId="77777777" w:rsidR="00E258B0" w:rsidRPr="00FD01BC" w:rsidRDefault="00FD01BC">
      <w:pPr>
        <w:pStyle w:val="af7"/>
        <w:jc w:val="center"/>
        <w:rPr>
          <w:rFonts w:hint="eastAsia"/>
          <w:sz w:val="21"/>
          <w:szCs w:val="22"/>
        </w:rPr>
      </w:pPr>
      <w:r w:rsidRPr="00FD01BC">
        <w:rPr>
          <w:sz w:val="21"/>
          <w:szCs w:val="22"/>
        </w:rPr>
        <w:t>Table 1. Data audit and split</w:t>
      </w:r>
    </w:p>
    <w:tbl>
      <w:tblPr>
        <w:tblStyle w:val="-1"/>
        <w:tblW w:w="0" w:type="auto"/>
        <w:tblLook w:val="04A0" w:firstRow="1" w:lastRow="0" w:firstColumn="1" w:lastColumn="0" w:noHBand="0" w:noVBand="1"/>
      </w:tblPr>
      <w:tblGrid>
        <w:gridCol w:w="3289"/>
        <w:gridCol w:w="3289"/>
        <w:gridCol w:w="3289"/>
      </w:tblGrid>
      <w:tr w:rsidR="00E258B0" w:rsidRPr="00FD01BC" w14:paraId="7F9E1F5F" w14:textId="77777777" w:rsidTr="00E258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89" w:type="dxa"/>
            <w:shd w:val="clear" w:color="auto" w:fill="1F4E78"/>
          </w:tcPr>
          <w:p w14:paraId="3677BA11" w14:textId="77777777" w:rsidR="00E258B0" w:rsidRPr="00FD01BC" w:rsidRDefault="00FD01BC">
            <w:pPr>
              <w:rPr>
                <w:rFonts w:hint="eastAsia"/>
                <w:sz w:val="22"/>
                <w:szCs w:val="32"/>
              </w:rPr>
            </w:pPr>
            <w:r w:rsidRPr="00FD01BC">
              <w:rPr>
                <w:color w:val="FFFFFF"/>
                <w:sz w:val="21"/>
                <w:szCs w:val="32"/>
              </w:rPr>
              <w:t>Item</w:t>
            </w:r>
          </w:p>
        </w:tc>
        <w:tc>
          <w:tcPr>
            <w:tcW w:w="3289" w:type="dxa"/>
            <w:shd w:val="clear" w:color="auto" w:fill="1F4E78"/>
          </w:tcPr>
          <w:p w14:paraId="2A29F5EC"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Count</w:t>
            </w:r>
          </w:p>
        </w:tc>
        <w:tc>
          <w:tcPr>
            <w:tcW w:w="3289" w:type="dxa"/>
            <w:shd w:val="clear" w:color="auto" w:fill="1F4E78"/>
          </w:tcPr>
          <w:p w14:paraId="26CC1DC0"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Use</w:t>
            </w:r>
          </w:p>
        </w:tc>
      </w:tr>
      <w:tr w:rsidR="00E258B0" w:rsidRPr="00FD01BC" w14:paraId="382A025A"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70266A6F" w14:textId="77777777" w:rsidR="00E258B0" w:rsidRPr="00FD01BC" w:rsidRDefault="00FD01BC">
            <w:pPr>
              <w:spacing w:after="0"/>
              <w:rPr>
                <w:rFonts w:hint="eastAsia"/>
                <w:sz w:val="22"/>
                <w:szCs w:val="32"/>
              </w:rPr>
            </w:pPr>
            <w:r w:rsidRPr="00FD01BC">
              <w:rPr>
                <w:sz w:val="21"/>
                <w:szCs w:val="32"/>
              </w:rPr>
              <w:t>Raw rows</w:t>
            </w:r>
          </w:p>
        </w:tc>
        <w:tc>
          <w:tcPr>
            <w:tcW w:w="3289" w:type="dxa"/>
            <w:vAlign w:val="center"/>
          </w:tcPr>
          <w:p w14:paraId="0CCE05F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20,058</w:t>
            </w:r>
          </w:p>
        </w:tc>
        <w:tc>
          <w:tcPr>
            <w:tcW w:w="3289" w:type="dxa"/>
            <w:vAlign w:val="center"/>
          </w:tcPr>
          <w:p w14:paraId="56C7558E"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Initial CSV</w:t>
            </w:r>
          </w:p>
        </w:tc>
      </w:tr>
      <w:tr w:rsidR="00E258B0" w:rsidRPr="00FD01BC" w14:paraId="17194D65"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3EA90166" w14:textId="77777777" w:rsidR="00E258B0" w:rsidRPr="00FD01BC" w:rsidRDefault="00FD01BC">
            <w:pPr>
              <w:spacing w:after="0"/>
              <w:rPr>
                <w:rFonts w:hint="eastAsia"/>
                <w:sz w:val="22"/>
                <w:szCs w:val="32"/>
              </w:rPr>
            </w:pPr>
            <w:r w:rsidRPr="00FD01BC">
              <w:rPr>
                <w:sz w:val="21"/>
                <w:szCs w:val="32"/>
              </w:rPr>
              <w:t>Duplicate game IDs</w:t>
            </w:r>
          </w:p>
        </w:tc>
        <w:tc>
          <w:tcPr>
            <w:tcW w:w="3289" w:type="dxa"/>
            <w:vAlign w:val="center"/>
          </w:tcPr>
          <w:p w14:paraId="74A78390"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945</w:t>
            </w:r>
          </w:p>
        </w:tc>
        <w:tc>
          <w:tcPr>
            <w:tcW w:w="3289" w:type="dxa"/>
            <w:vAlign w:val="center"/>
          </w:tcPr>
          <w:p w14:paraId="596F1F86"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Removed before splitting</w:t>
            </w:r>
          </w:p>
        </w:tc>
      </w:tr>
      <w:tr w:rsidR="00E258B0" w:rsidRPr="00FD01BC" w14:paraId="2BAB348C"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40BADCE1" w14:textId="77777777" w:rsidR="00E258B0" w:rsidRPr="00FD01BC" w:rsidRDefault="00FD01BC">
            <w:pPr>
              <w:spacing w:after="0"/>
              <w:rPr>
                <w:rFonts w:hint="eastAsia"/>
                <w:sz w:val="22"/>
                <w:szCs w:val="32"/>
              </w:rPr>
            </w:pPr>
            <w:r w:rsidRPr="00FD01BC">
              <w:rPr>
                <w:sz w:val="21"/>
                <w:szCs w:val="32"/>
              </w:rPr>
              <w:t>Clean games</w:t>
            </w:r>
          </w:p>
        </w:tc>
        <w:tc>
          <w:tcPr>
            <w:tcW w:w="3289" w:type="dxa"/>
            <w:vAlign w:val="center"/>
          </w:tcPr>
          <w:p w14:paraId="5BB87EA0"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19,113</w:t>
            </w:r>
          </w:p>
        </w:tc>
        <w:tc>
          <w:tcPr>
            <w:tcW w:w="3289" w:type="dxa"/>
            <w:vAlign w:val="center"/>
          </w:tcPr>
          <w:p w14:paraId="4FDEA6A0"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All retained games</w:t>
            </w:r>
          </w:p>
        </w:tc>
      </w:tr>
      <w:tr w:rsidR="00E258B0" w:rsidRPr="00FD01BC" w14:paraId="6FE60DDC"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620BB254" w14:textId="77777777" w:rsidR="00E258B0" w:rsidRPr="00FD01BC" w:rsidRDefault="00FD01BC">
            <w:pPr>
              <w:spacing w:after="0"/>
              <w:rPr>
                <w:rFonts w:hint="eastAsia"/>
                <w:sz w:val="22"/>
                <w:szCs w:val="32"/>
              </w:rPr>
            </w:pPr>
            <w:r w:rsidRPr="00FD01BC">
              <w:rPr>
                <w:sz w:val="21"/>
                <w:szCs w:val="32"/>
              </w:rPr>
              <w:t>Training</w:t>
            </w:r>
          </w:p>
        </w:tc>
        <w:tc>
          <w:tcPr>
            <w:tcW w:w="3289" w:type="dxa"/>
            <w:vAlign w:val="center"/>
          </w:tcPr>
          <w:p w14:paraId="75C527B0"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13,379 (70%)</w:t>
            </w:r>
          </w:p>
        </w:tc>
        <w:tc>
          <w:tcPr>
            <w:tcW w:w="3289" w:type="dxa"/>
            <w:vAlign w:val="center"/>
          </w:tcPr>
          <w:p w14:paraId="27908FB6"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Fit models</w:t>
            </w:r>
          </w:p>
        </w:tc>
      </w:tr>
      <w:tr w:rsidR="00E258B0" w:rsidRPr="00FD01BC" w14:paraId="77BDFA67"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67AE9B78" w14:textId="77777777" w:rsidR="00E258B0" w:rsidRPr="00FD01BC" w:rsidRDefault="00FD01BC">
            <w:pPr>
              <w:spacing w:after="0"/>
              <w:rPr>
                <w:rFonts w:hint="eastAsia"/>
                <w:sz w:val="22"/>
                <w:szCs w:val="32"/>
              </w:rPr>
            </w:pPr>
            <w:r w:rsidRPr="00FD01BC">
              <w:rPr>
                <w:sz w:val="21"/>
                <w:szCs w:val="32"/>
              </w:rPr>
              <w:t>Validation</w:t>
            </w:r>
          </w:p>
        </w:tc>
        <w:tc>
          <w:tcPr>
            <w:tcW w:w="3289" w:type="dxa"/>
            <w:vAlign w:val="center"/>
          </w:tcPr>
          <w:p w14:paraId="308F2FD3"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2,867 (15%)</w:t>
            </w:r>
          </w:p>
        </w:tc>
        <w:tc>
          <w:tcPr>
            <w:tcW w:w="3289" w:type="dxa"/>
            <w:vAlign w:val="center"/>
          </w:tcPr>
          <w:p w14:paraId="002A7458"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Select the pre-match candidate and inspect diagnostics</w:t>
            </w:r>
          </w:p>
        </w:tc>
      </w:tr>
      <w:tr w:rsidR="00E258B0" w:rsidRPr="00FD01BC" w14:paraId="623449B8"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4E3C4897" w14:textId="77777777" w:rsidR="00E258B0" w:rsidRPr="00FD01BC" w:rsidRDefault="00FD01BC">
            <w:pPr>
              <w:spacing w:after="0"/>
              <w:rPr>
                <w:rFonts w:hint="eastAsia"/>
                <w:sz w:val="22"/>
                <w:szCs w:val="32"/>
              </w:rPr>
            </w:pPr>
            <w:r w:rsidRPr="00FD01BC">
              <w:rPr>
                <w:sz w:val="21"/>
                <w:szCs w:val="32"/>
              </w:rPr>
              <w:t>Test</w:t>
            </w:r>
          </w:p>
        </w:tc>
        <w:tc>
          <w:tcPr>
            <w:tcW w:w="3289" w:type="dxa"/>
            <w:vAlign w:val="center"/>
          </w:tcPr>
          <w:p w14:paraId="79B9A4CA"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2,867 (15%)</w:t>
            </w:r>
          </w:p>
        </w:tc>
        <w:tc>
          <w:tcPr>
            <w:tcW w:w="3289" w:type="dxa"/>
            <w:vAlign w:val="center"/>
          </w:tcPr>
          <w:p w14:paraId="61F3D4B7"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Final estimates only</w:t>
            </w:r>
          </w:p>
        </w:tc>
      </w:tr>
      <w:tr w:rsidR="00E258B0" w:rsidRPr="00FD01BC" w14:paraId="45253EB1"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0AFCFE80" w14:textId="77777777" w:rsidR="00E258B0" w:rsidRPr="00FD01BC" w:rsidRDefault="00FD01BC">
            <w:pPr>
              <w:spacing w:after="0"/>
              <w:rPr>
                <w:rFonts w:hint="eastAsia"/>
                <w:sz w:val="22"/>
                <w:szCs w:val="32"/>
              </w:rPr>
            </w:pPr>
            <w:r w:rsidRPr="00FD01BC">
              <w:rPr>
                <w:sz w:val="21"/>
                <w:szCs w:val="32"/>
              </w:rPr>
              <w:t>SAN parse failures</w:t>
            </w:r>
          </w:p>
        </w:tc>
        <w:tc>
          <w:tcPr>
            <w:tcW w:w="3289" w:type="dxa"/>
            <w:vAlign w:val="center"/>
          </w:tcPr>
          <w:p w14:paraId="26BC2222"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w:t>
            </w:r>
          </w:p>
        </w:tc>
        <w:tc>
          <w:tcPr>
            <w:tcW w:w="3289" w:type="dxa"/>
            <w:vAlign w:val="center"/>
          </w:tcPr>
          <w:p w14:paraId="1A763D95"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Every retained game reconstructed</w:t>
            </w:r>
          </w:p>
        </w:tc>
      </w:tr>
    </w:tbl>
    <w:p w14:paraId="40E2E3AB" w14:textId="77777777" w:rsidR="00E258B0" w:rsidRPr="00FD01BC" w:rsidRDefault="00E258B0">
      <w:pPr>
        <w:spacing w:after="0"/>
        <w:rPr>
          <w:rFonts w:hint="eastAsia"/>
          <w:sz w:val="22"/>
          <w:szCs w:val="32"/>
        </w:rPr>
      </w:pPr>
    </w:p>
    <w:p w14:paraId="5B44E904" w14:textId="77777777" w:rsidR="00E258B0" w:rsidRPr="00FD01BC" w:rsidRDefault="00FD01BC">
      <w:pPr>
        <w:rPr>
          <w:rFonts w:hint="eastAsia"/>
          <w:sz w:val="22"/>
          <w:szCs w:val="32"/>
        </w:rPr>
      </w:pPr>
      <w:r w:rsidRPr="00FD01BC">
        <w:rPr>
          <w:sz w:val="22"/>
          <w:szCs w:val="32"/>
        </w:rPr>
        <w:t>The cleaned outcomes contain 8,680 Black wins, 888 draws, and 9,545 White wins. Draws are only 4.6%, so class-balanced, game-balanced sample weights are used and macro-F1 is necessary alongside accuracy. Each game contributes equal total weight regardless of its number of snapshots.</w:t>
      </w:r>
    </w:p>
    <w:p w14:paraId="7DAC2CBE" w14:textId="77777777" w:rsidR="00E258B0" w:rsidRPr="00FD01BC" w:rsidRDefault="00FD01BC">
      <w:pPr>
        <w:spacing w:after="40"/>
        <w:jc w:val="center"/>
        <w:rPr>
          <w:rFonts w:hint="eastAsia"/>
          <w:sz w:val="22"/>
          <w:szCs w:val="32"/>
        </w:rPr>
      </w:pPr>
      <w:r w:rsidRPr="00FD01BC">
        <w:rPr>
          <w:noProof/>
          <w:sz w:val="22"/>
          <w:szCs w:val="32"/>
        </w:rPr>
        <w:drawing>
          <wp:inline distT="0" distB="0" distL="0" distR="0" wp14:anchorId="198186B8" wp14:editId="191A1118">
            <wp:extent cx="5623560" cy="4002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_overview.png"/>
                    <pic:cNvPicPr/>
                  </pic:nvPicPr>
                  <pic:blipFill>
                    <a:blip r:embed="rId9"/>
                    <a:stretch>
                      <a:fillRect/>
                    </a:stretch>
                  </pic:blipFill>
                  <pic:spPr>
                    <a:xfrm>
                      <a:off x="0" y="0"/>
                      <a:ext cx="5623560" cy="4002843"/>
                    </a:xfrm>
                    <a:prstGeom prst="rect">
                      <a:avLst/>
                    </a:prstGeom>
                  </pic:spPr>
                </pic:pic>
              </a:graphicData>
            </a:graphic>
          </wp:inline>
        </w:drawing>
      </w:r>
    </w:p>
    <w:p w14:paraId="513D839C" w14:textId="77777777" w:rsidR="00E258B0" w:rsidRPr="00FD01BC" w:rsidRDefault="00FD01BC">
      <w:pPr>
        <w:pStyle w:val="af7"/>
        <w:jc w:val="center"/>
        <w:rPr>
          <w:rFonts w:hint="eastAsia"/>
          <w:sz w:val="21"/>
          <w:szCs w:val="22"/>
        </w:rPr>
      </w:pPr>
      <w:r w:rsidRPr="00FD01BC">
        <w:rPr>
          <w:sz w:val="21"/>
          <w:szCs w:val="22"/>
        </w:rPr>
        <w:t>Figure 1. Outcome distribution, ratings, rating-difference outcome share, and common time controls.</w:t>
      </w:r>
    </w:p>
    <w:p w14:paraId="3FEEEAFD" w14:textId="77777777" w:rsidR="00E258B0" w:rsidRPr="00FD01BC" w:rsidRDefault="00FD01BC">
      <w:pPr>
        <w:rPr>
          <w:rFonts w:hint="eastAsia"/>
          <w:sz w:val="22"/>
          <w:szCs w:val="32"/>
        </w:rPr>
      </w:pPr>
      <w:r w:rsidRPr="00FD01BC">
        <w:rPr>
          <w:sz w:val="22"/>
          <w:szCs w:val="32"/>
        </w:rPr>
        <w:t>Figure 1 shows that rating difference is informative but not decisive. White and Black rating distributions overlap strongly, which motivates updating the prediction from the observed board.</w:t>
      </w:r>
    </w:p>
    <w:p w14:paraId="4BB9B44A" w14:textId="77777777" w:rsidR="00E258B0" w:rsidRPr="00FD01BC" w:rsidRDefault="00FD01BC">
      <w:pPr>
        <w:rPr>
          <w:rFonts w:hint="eastAsia"/>
          <w:sz w:val="22"/>
          <w:szCs w:val="32"/>
        </w:rPr>
      </w:pPr>
      <w:r w:rsidRPr="00FD01BC">
        <w:rPr>
          <w:sz w:val="22"/>
          <w:szCs w:val="32"/>
        </w:rPr>
        <w:br w:type="page"/>
      </w:r>
    </w:p>
    <w:p w14:paraId="2E46668E" w14:textId="77777777" w:rsidR="00E258B0" w:rsidRPr="00FD01BC" w:rsidRDefault="00FD01BC">
      <w:pPr>
        <w:pStyle w:val="1"/>
        <w:rPr>
          <w:sz w:val="40"/>
          <w:szCs w:val="40"/>
        </w:rPr>
      </w:pPr>
      <w:r w:rsidRPr="00FD01BC">
        <w:rPr>
          <w:sz w:val="40"/>
          <w:szCs w:val="40"/>
        </w:rPr>
        <w:lastRenderedPageBreak/>
        <w:t>4. Feature Engineering</w:t>
      </w:r>
    </w:p>
    <w:p w14:paraId="5DD93019" w14:textId="77777777" w:rsidR="00E258B0" w:rsidRPr="00FD01BC" w:rsidRDefault="00FD01BC">
      <w:pPr>
        <w:pStyle w:val="21"/>
        <w:rPr>
          <w:sz w:val="32"/>
          <w:szCs w:val="36"/>
        </w:rPr>
      </w:pPr>
      <w:r w:rsidRPr="00FD01BC">
        <w:rPr>
          <w:sz w:val="32"/>
          <w:szCs w:val="36"/>
        </w:rPr>
        <w:t>4.1 Pre-match Features</w:t>
      </w:r>
    </w:p>
    <w:p w14:paraId="7017191A" w14:textId="77777777" w:rsidR="00E258B0" w:rsidRPr="00FD01BC" w:rsidRDefault="00FD01BC">
      <w:pPr>
        <w:rPr>
          <w:rFonts w:hint="eastAsia"/>
          <w:sz w:val="22"/>
          <w:szCs w:val="32"/>
        </w:rPr>
      </w:pPr>
      <w:r w:rsidRPr="00FD01BC">
        <w:rPr>
          <w:sz w:val="22"/>
          <w:szCs w:val="32"/>
        </w:rPr>
        <w:t>White and Black ratings, rated status, base minutes, and increment seconds are augmented with rating difference, mean, absolute gap, log base time, and an Elo-style White expectation. Difference represents directional advantage; mean captures the player pool; and gap represents mismatch. Player IDs are deliberately omitted to prevent memorisation.</w:t>
      </w:r>
    </w:p>
    <w:p w14:paraId="412AFB79" w14:textId="77777777" w:rsidR="00E258B0" w:rsidRPr="00FD01BC" w:rsidRDefault="00FD01BC">
      <w:pPr>
        <w:pStyle w:val="21"/>
        <w:rPr>
          <w:sz w:val="32"/>
          <w:szCs w:val="36"/>
        </w:rPr>
      </w:pPr>
      <w:r w:rsidRPr="00FD01BC">
        <w:rPr>
          <w:sz w:val="32"/>
          <w:szCs w:val="36"/>
        </w:rPr>
        <w:t>4.2 Stockfish Features</w:t>
      </w:r>
    </w:p>
    <w:p w14:paraId="28FE22B5" w14:textId="77777777" w:rsidR="00E258B0" w:rsidRPr="00FD01BC" w:rsidRDefault="00FD01BC">
      <w:pPr>
        <w:rPr>
          <w:rFonts w:hint="eastAsia"/>
          <w:sz w:val="22"/>
          <w:szCs w:val="32"/>
        </w:rPr>
      </w:pPr>
      <w:r w:rsidRPr="00FD01BC">
        <w:rPr>
          <w:sz w:val="22"/>
          <w:szCs w:val="32"/>
        </w:rPr>
        <w:t>Stockfish 19 analyses each snapshot with one thread and a fixed 1,000-node budget through python-chess [2,3]. All values are converted to White's perspective. Only four engine indicators are retained; search diagnostics and internal strategy terms are excluded.</w:t>
      </w:r>
    </w:p>
    <w:p w14:paraId="388633C0" w14:textId="77777777" w:rsidR="00E258B0" w:rsidRPr="00FD01BC" w:rsidRDefault="00FD01BC">
      <w:pPr>
        <w:pStyle w:val="af7"/>
        <w:jc w:val="center"/>
        <w:rPr>
          <w:rFonts w:hint="eastAsia"/>
          <w:sz w:val="21"/>
          <w:szCs w:val="22"/>
        </w:rPr>
      </w:pPr>
      <w:r w:rsidRPr="00FD01BC">
        <w:rPr>
          <w:sz w:val="21"/>
          <w:szCs w:val="22"/>
        </w:rPr>
        <w:t>Table 2. In-game features retained by design</w:t>
      </w:r>
    </w:p>
    <w:tbl>
      <w:tblPr>
        <w:tblStyle w:val="-1"/>
        <w:tblW w:w="0" w:type="auto"/>
        <w:tblLook w:val="04A0" w:firstRow="1" w:lastRow="0" w:firstColumn="1" w:lastColumn="0" w:noHBand="0" w:noVBand="1"/>
      </w:tblPr>
      <w:tblGrid>
        <w:gridCol w:w="3289"/>
        <w:gridCol w:w="3289"/>
        <w:gridCol w:w="3289"/>
      </w:tblGrid>
      <w:tr w:rsidR="00E258B0" w:rsidRPr="00FD01BC" w14:paraId="4F9B29F8" w14:textId="77777777" w:rsidTr="00E258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89" w:type="dxa"/>
            <w:shd w:val="clear" w:color="auto" w:fill="1F4E78"/>
          </w:tcPr>
          <w:p w14:paraId="0F7C16DB" w14:textId="77777777" w:rsidR="00E258B0" w:rsidRPr="00FD01BC" w:rsidRDefault="00FD01BC">
            <w:pPr>
              <w:rPr>
                <w:rFonts w:hint="eastAsia"/>
                <w:sz w:val="22"/>
                <w:szCs w:val="32"/>
              </w:rPr>
            </w:pPr>
            <w:r w:rsidRPr="00FD01BC">
              <w:rPr>
                <w:color w:val="FFFFFF"/>
                <w:sz w:val="21"/>
                <w:szCs w:val="32"/>
              </w:rPr>
              <w:t>Source</w:t>
            </w:r>
          </w:p>
        </w:tc>
        <w:tc>
          <w:tcPr>
            <w:tcW w:w="3289" w:type="dxa"/>
            <w:shd w:val="clear" w:color="auto" w:fill="1F4E78"/>
          </w:tcPr>
          <w:p w14:paraId="26859BB0"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Feature</w:t>
            </w:r>
          </w:p>
        </w:tc>
        <w:tc>
          <w:tcPr>
            <w:tcW w:w="3289" w:type="dxa"/>
            <w:shd w:val="clear" w:color="auto" w:fill="1F4E78"/>
          </w:tcPr>
          <w:p w14:paraId="6EB27764"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Interpretation / processing</w:t>
            </w:r>
          </w:p>
        </w:tc>
      </w:tr>
      <w:tr w:rsidR="00E258B0" w:rsidRPr="00FD01BC" w14:paraId="5D44B758"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0EA5E5A4" w14:textId="77777777" w:rsidR="00E258B0" w:rsidRPr="00FD01BC" w:rsidRDefault="00FD01BC">
            <w:pPr>
              <w:spacing w:after="0"/>
              <w:rPr>
                <w:rFonts w:hint="eastAsia"/>
                <w:sz w:val="22"/>
                <w:szCs w:val="32"/>
              </w:rPr>
            </w:pPr>
            <w:r w:rsidRPr="00FD01BC">
              <w:rPr>
                <w:sz w:val="21"/>
                <w:szCs w:val="32"/>
              </w:rPr>
              <w:t>Stockfish</w:t>
            </w:r>
          </w:p>
        </w:tc>
        <w:tc>
          <w:tcPr>
            <w:tcW w:w="3289" w:type="dxa"/>
            <w:vAlign w:val="center"/>
          </w:tcPr>
          <w:p w14:paraId="0D677031"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score_cp</w:t>
            </w:r>
          </w:p>
        </w:tc>
        <w:tc>
          <w:tcPr>
            <w:tcW w:w="3289" w:type="dxa"/>
            <w:vAlign w:val="center"/>
          </w:tcPr>
          <w:p w14:paraId="5447B05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Centipawn score; missing when a forced mate score is returned</w:t>
            </w:r>
          </w:p>
        </w:tc>
      </w:tr>
      <w:tr w:rsidR="00E258B0" w:rsidRPr="00FD01BC" w14:paraId="183C5166"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303A9E96" w14:textId="77777777" w:rsidR="00E258B0" w:rsidRPr="00FD01BC" w:rsidRDefault="00FD01BC">
            <w:pPr>
              <w:spacing w:after="0"/>
              <w:rPr>
                <w:rFonts w:hint="eastAsia"/>
                <w:sz w:val="22"/>
                <w:szCs w:val="32"/>
              </w:rPr>
            </w:pPr>
            <w:r w:rsidRPr="00FD01BC">
              <w:rPr>
                <w:sz w:val="21"/>
                <w:szCs w:val="32"/>
              </w:rPr>
              <w:t>Stockfish</w:t>
            </w:r>
          </w:p>
        </w:tc>
        <w:tc>
          <w:tcPr>
            <w:tcW w:w="3289" w:type="dxa"/>
            <w:vAlign w:val="center"/>
          </w:tcPr>
          <w:p w14:paraId="53E29E62"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score_mate</w:t>
            </w:r>
          </w:p>
        </w:tc>
        <w:tc>
          <w:tcPr>
            <w:tcW w:w="3289" w:type="dxa"/>
            <w:vAlign w:val="center"/>
          </w:tcPr>
          <w:p w14:paraId="37E2F0CA"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Signed distance to mate; missing for ordinary centipawn positions</w:t>
            </w:r>
          </w:p>
        </w:tc>
      </w:tr>
      <w:tr w:rsidR="00E258B0" w:rsidRPr="00FD01BC" w14:paraId="494950EF"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5D0B6BA1" w14:textId="77777777" w:rsidR="00E258B0" w:rsidRPr="00FD01BC" w:rsidRDefault="00FD01BC">
            <w:pPr>
              <w:spacing w:after="0"/>
              <w:rPr>
                <w:rFonts w:hint="eastAsia"/>
                <w:sz w:val="22"/>
                <w:szCs w:val="32"/>
              </w:rPr>
            </w:pPr>
            <w:r w:rsidRPr="00FD01BC">
              <w:rPr>
                <w:sz w:val="21"/>
                <w:szCs w:val="32"/>
              </w:rPr>
              <w:t>Stockfish</w:t>
            </w:r>
          </w:p>
        </w:tc>
        <w:tc>
          <w:tcPr>
            <w:tcW w:w="3289" w:type="dxa"/>
            <w:vAlign w:val="center"/>
          </w:tcPr>
          <w:p w14:paraId="1A2CD47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wdl_wins</w:t>
            </w:r>
          </w:p>
        </w:tc>
        <w:tc>
          <w:tcPr>
            <w:tcW w:w="3289" w:type="dxa"/>
            <w:vAlign w:val="center"/>
          </w:tcPr>
          <w:p w14:paraId="44DF6598"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White win count per 1,000 engine outcomes</w:t>
            </w:r>
          </w:p>
        </w:tc>
      </w:tr>
      <w:tr w:rsidR="00E258B0" w:rsidRPr="00FD01BC" w14:paraId="4327B769"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1CB2BD10" w14:textId="77777777" w:rsidR="00E258B0" w:rsidRPr="00FD01BC" w:rsidRDefault="00FD01BC">
            <w:pPr>
              <w:spacing w:after="0"/>
              <w:rPr>
                <w:rFonts w:hint="eastAsia"/>
                <w:sz w:val="22"/>
                <w:szCs w:val="32"/>
              </w:rPr>
            </w:pPr>
            <w:r w:rsidRPr="00FD01BC">
              <w:rPr>
                <w:sz w:val="21"/>
                <w:szCs w:val="32"/>
              </w:rPr>
              <w:t>Stockfish</w:t>
            </w:r>
          </w:p>
        </w:tc>
        <w:tc>
          <w:tcPr>
            <w:tcW w:w="3289" w:type="dxa"/>
            <w:vAlign w:val="center"/>
          </w:tcPr>
          <w:p w14:paraId="100BD94B"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wdl_draws</w:t>
            </w:r>
          </w:p>
        </w:tc>
        <w:tc>
          <w:tcPr>
            <w:tcW w:w="3289" w:type="dxa"/>
            <w:vAlign w:val="center"/>
          </w:tcPr>
          <w:p w14:paraId="319BDADA"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Draw count per 1,000 engine outcomes</w:t>
            </w:r>
          </w:p>
        </w:tc>
      </w:tr>
      <w:tr w:rsidR="00E258B0" w:rsidRPr="00FD01BC" w14:paraId="4D2990E4"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65B4054B" w14:textId="77777777" w:rsidR="00E258B0" w:rsidRPr="00FD01BC" w:rsidRDefault="00FD01BC">
            <w:pPr>
              <w:spacing w:after="0"/>
              <w:rPr>
                <w:rFonts w:hint="eastAsia"/>
                <w:sz w:val="22"/>
                <w:szCs w:val="32"/>
              </w:rPr>
            </w:pPr>
            <w:r w:rsidRPr="00FD01BC">
              <w:rPr>
                <w:sz w:val="21"/>
                <w:szCs w:val="32"/>
              </w:rPr>
              <w:t>Manual</w:t>
            </w:r>
          </w:p>
        </w:tc>
        <w:tc>
          <w:tcPr>
            <w:tcW w:w="3289" w:type="dxa"/>
            <w:vAlign w:val="center"/>
          </w:tcPr>
          <w:p w14:paraId="463BF965"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ply</w:t>
            </w:r>
          </w:p>
        </w:tc>
        <w:tc>
          <w:tcPr>
            <w:tcW w:w="3289" w:type="dxa"/>
            <w:vAlign w:val="center"/>
          </w:tcPr>
          <w:p w14:paraId="05DB67CB"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Number of half-moves observed</w:t>
            </w:r>
          </w:p>
        </w:tc>
      </w:tr>
      <w:tr w:rsidR="00E258B0" w:rsidRPr="00FD01BC" w14:paraId="5F65F612"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4EA852DE" w14:textId="77777777" w:rsidR="00E258B0" w:rsidRPr="00FD01BC" w:rsidRDefault="00FD01BC">
            <w:pPr>
              <w:spacing w:after="0"/>
              <w:rPr>
                <w:rFonts w:hint="eastAsia"/>
                <w:sz w:val="22"/>
                <w:szCs w:val="32"/>
              </w:rPr>
            </w:pPr>
            <w:r w:rsidRPr="00FD01BC">
              <w:rPr>
                <w:sz w:val="21"/>
                <w:szCs w:val="32"/>
              </w:rPr>
              <w:t>Manual</w:t>
            </w:r>
          </w:p>
        </w:tc>
        <w:tc>
          <w:tcPr>
            <w:tcW w:w="3289" w:type="dxa"/>
            <w:vAlign w:val="center"/>
          </w:tcPr>
          <w:p w14:paraId="2A7FF8E6"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material_total</w:t>
            </w:r>
          </w:p>
        </w:tc>
        <w:tc>
          <w:tcPr>
            <w:tcW w:w="3289" w:type="dxa"/>
            <w:vAlign w:val="center"/>
          </w:tcPr>
          <w:p w14:paraId="0A7C58C3"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Total non-king material using 1/3/3/5/9 piece values</w:t>
            </w:r>
          </w:p>
        </w:tc>
      </w:tr>
      <w:tr w:rsidR="00E258B0" w:rsidRPr="00FD01BC" w14:paraId="6EE7AE5A"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89" w:type="dxa"/>
            <w:vAlign w:val="center"/>
          </w:tcPr>
          <w:p w14:paraId="659E0A72" w14:textId="77777777" w:rsidR="00E258B0" w:rsidRPr="00FD01BC" w:rsidRDefault="00FD01BC">
            <w:pPr>
              <w:spacing w:after="0"/>
              <w:rPr>
                <w:rFonts w:hint="eastAsia"/>
                <w:sz w:val="22"/>
                <w:szCs w:val="32"/>
              </w:rPr>
            </w:pPr>
            <w:r w:rsidRPr="00FD01BC">
              <w:rPr>
                <w:sz w:val="21"/>
                <w:szCs w:val="32"/>
              </w:rPr>
              <w:t>Manual</w:t>
            </w:r>
          </w:p>
        </w:tc>
        <w:tc>
          <w:tcPr>
            <w:tcW w:w="3289" w:type="dxa"/>
            <w:vAlign w:val="center"/>
          </w:tcPr>
          <w:p w14:paraId="7B03A58E"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material_diff</w:t>
            </w:r>
          </w:p>
        </w:tc>
        <w:tc>
          <w:tcPr>
            <w:tcW w:w="3289" w:type="dxa"/>
            <w:vAlign w:val="center"/>
          </w:tcPr>
          <w:p w14:paraId="55F3393D"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White material minus Black material</w:t>
            </w:r>
          </w:p>
        </w:tc>
      </w:tr>
    </w:tbl>
    <w:p w14:paraId="4918A0B1" w14:textId="77777777" w:rsidR="00E258B0" w:rsidRPr="00FD01BC" w:rsidRDefault="00E258B0">
      <w:pPr>
        <w:spacing w:after="0"/>
        <w:rPr>
          <w:rFonts w:hint="eastAsia"/>
          <w:sz w:val="22"/>
          <w:szCs w:val="32"/>
        </w:rPr>
      </w:pPr>
    </w:p>
    <w:p w14:paraId="50D972A7" w14:textId="6503BB60" w:rsidR="00FD01BC" w:rsidRPr="00FD01BC" w:rsidRDefault="00FD01BC">
      <w:pPr>
        <w:rPr>
          <w:sz w:val="22"/>
          <w:szCs w:val="32"/>
        </w:rPr>
      </w:pPr>
      <w:r w:rsidRPr="00FD01BC">
        <w:rPr>
          <w:sz w:val="22"/>
          <w:szCs w:val="32"/>
        </w:rPr>
        <w:t>For terminal boards where Stockfish does not emit WDL, the rule-defined terminal outcome supplies the corresponding WDL counts. The engine cache contains 146,111 unique positions and is keyed by game, ply, FEN, engine hash, and node budget. Deduplication and atomic replacement make cache generation idempotent.</w:t>
      </w:r>
    </w:p>
    <w:p w14:paraId="548748E1" w14:textId="15C97375" w:rsidR="00E258B0" w:rsidRPr="00FD01BC" w:rsidRDefault="00FD01BC" w:rsidP="00FD01BC">
      <w:pPr>
        <w:spacing w:after="200" w:line="276" w:lineRule="auto"/>
        <w:rPr>
          <w:rFonts w:eastAsia="宋体" w:hint="eastAsia"/>
          <w:sz w:val="22"/>
          <w:szCs w:val="32"/>
          <w:lang w:eastAsia="zh-CN"/>
        </w:rPr>
      </w:pPr>
      <w:r w:rsidRPr="00FD01BC">
        <w:rPr>
          <w:sz w:val="22"/>
          <w:szCs w:val="32"/>
        </w:rPr>
        <w:br w:type="page"/>
      </w:r>
    </w:p>
    <w:p w14:paraId="41104E07" w14:textId="77777777" w:rsidR="00E258B0" w:rsidRPr="00FD01BC" w:rsidRDefault="00FD01BC">
      <w:pPr>
        <w:pStyle w:val="21"/>
        <w:rPr>
          <w:sz w:val="32"/>
          <w:szCs w:val="36"/>
        </w:rPr>
      </w:pPr>
      <w:r w:rsidRPr="00FD01BC">
        <w:rPr>
          <w:sz w:val="32"/>
          <w:szCs w:val="36"/>
        </w:rPr>
        <w:lastRenderedPageBreak/>
        <w:t>4.3 Leakage-safe Progress Representation</w:t>
      </w:r>
    </w:p>
    <w:p w14:paraId="298E48D2" w14:textId="77777777" w:rsidR="00E258B0" w:rsidRPr="00FD01BC" w:rsidRDefault="00FD01BC">
      <w:pPr>
        <w:rPr>
          <w:rFonts w:hint="eastAsia"/>
          <w:sz w:val="22"/>
          <w:szCs w:val="32"/>
        </w:rPr>
      </w:pPr>
      <w:r w:rsidRPr="00FD01BC">
        <w:rPr>
          <w:sz w:val="22"/>
          <w:szCs w:val="32"/>
        </w:rPr>
        <w:t>Percentage progress is convenient for comparing games of different lengths, but it cannot be an input: calculating it requires the final number of plies, which is unknown at the current position and would leak future information. The models therefore use only ply, the number of half-moves already observed. After a test game is complete, percentage is used solely to select positions for the 10%, 25%, 50%, 75%, and 100% reporting curve. The percentage value is never supplied to a predictor.</w:t>
      </w:r>
    </w:p>
    <w:p w14:paraId="528C77CE" w14:textId="77777777" w:rsidR="00E258B0" w:rsidRPr="00FD01BC" w:rsidRDefault="00FD01BC">
      <w:pPr>
        <w:pStyle w:val="21"/>
        <w:rPr>
          <w:sz w:val="32"/>
          <w:szCs w:val="36"/>
        </w:rPr>
      </w:pPr>
      <w:r w:rsidRPr="00FD01BC">
        <w:rPr>
          <w:sz w:val="32"/>
          <w:szCs w:val="36"/>
        </w:rPr>
        <w:t>4.4 Why These Features</w:t>
      </w:r>
    </w:p>
    <w:p w14:paraId="71DCF9AB" w14:textId="77777777" w:rsidR="00E258B0" w:rsidRPr="00FD01BC" w:rsidRDefault="00FD01BC">
      <w:pPr>
        <w:rPr>
          <w:rFonts w:hint="eastAsia"/>
          <w:sz w:val="22"/>
          <w:szCs w:val="32"/>
        </w:rPr>
      </w:pPr>
      <w:r w:rsidRPr="00FD01BC">
        <w:rPr>
          <w:sz w:val="22"/>
          <w:szCs w:val="32"/>
        </w:rPr>
        <w:t>The feature set is intentionally small. Stockfish supplies objective board strength, while ratings and time control describe human context. Ply and total material express game phase, and material difference provides an easily explained independent summary. This avoids a large collection of correlated engine internals and keeps feature importance interpretable.</w:t>
      </w:r>
    </w:p>
    <w:p w14:paraId="4562FB2C" w14:textId="77777777" w:rsidR="00E258B0" w:rsidRPr="00FD01BC" w:rsidRDefault="00FD01BC">
      <w:pPr>
        <w:spacing w:after="40"/>
        <w:jc w:val="center"/>
        <w:rPr>
          <w:rFonts w:hint="eastAsia"/>
          <w:sz w:val="22"/>
          <w:szCs w:val="32"/>
        </w:rPr>
      </w:pPr>
      <w:r w:rsidRPr="00FD01BC">
        <w:rPr>
          <w:noProof/>
          <w:sz w:val="22"/>
          <w:szCs w:val="32"/>
        </w:rPr>
        <w:drawing>
          <wp:inline distT="0" distB="0" distL="0" distR="0" wp14:anchorId="180E8DCD" wp14:editId="0162C147">
            <wp:extent cx="5074920" cy="3341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uman_context_feature_importance.png"/>
                    <pic:cNvPicPr/>
                  </pic:nvPicPr>
                  <pic:blipFill>
                    <a:blip r:embed="rId10"/>
                    <a:stretch>
                      <a:fillRect/>
                    </a:stretch>
                  </pic:blipFill>
                  <pic:spPr>
                    <a:xfrm>
                      <a:off x="0" y="0"/>
                      <a:ext cx="5074920" cy="3341276"/>
                    </a:xfrm>
                    <a:prstGeom prst="rect">
                      <a:avLst/>
                    </a:prstGeom>
                  </pic:spPr>
                </pic:pic>
              </a:graphicData>
            </a:graphic>
          </wp:inline>
        </w:drawing>
      </w:r>
    </w:p>
    <w:p w14:paraId="014AB01D" w14:textId="77777777" w:rsidR="00E258B0" w:rsidRPr="00FD01BC" w:rsidRDefault="00FD01BC">
      <w:pPr>
        <w:pStyle w:val="af7"/>
        <w:jc w:val="center"/>
        <w:rPr>
          <w:rFonts w:hint="eastAsia"/>
          <w:sz w:val="21"/>
          <w:szCs w:val="22"/>
        </w:rPr>
      </w:pPr>
      <w:r w:rsidRPr="00FD01BC">
        <w:rPr>
          <w:sz w:val="21"/>
          <w:szCs w:val="22"/>
        </w:rPr>
        <w:t>Figure 2. Permutation importance of the Human-context HGB (main).</w:t>
      </w:r>
    </w:p>
    <w:p w14:paraId="2952F5F2" w14:textId="77777777" w:rsidR="00E258B0" w:rsidRPr="00FD01BC" w:rsidRDefault="00FD01BC">
      <w:pPr>
        <w:rPr>
          <w:rFonts w:hint="eastAsia"/>
          <w:sz w:val="22"/>
          <w:szCs w:val="32"/>
        </w:rPr>
      </w:pPr>
      <w:r w:rsidRPr="00FD01BC">
        <w:rPr>
          <w:sz w:val="22"/>
          <w:szCs w:val="32"/>
        </w:rPr>
        <w:br w:type="page"/>
      </w:r>
    </w:p>
    <w:p w14:paraId="6EB1FB3C" w14:textId="77777777" w:rsidR="00E258B0" w:rsidRPr="00FD01BC" w:rsidRDefault="00FD01BC">
      <w:pPr>
        <w:pStyle w:val="1"/>
        <w:rPr>
          <w:sz w:val="40"/>
          <w:szCs w:val="40"/>
        </w:rPr>
      </w:pPr>
      <w:r w:rsidRPr="00FD01BC">
        <w:rPr>
          <w:sz w:val="40"/>
          <w:szCs w:val="40"/>
        </w:rPr>
        <w:lastRenderedPageBreak/>
        <w:t>5. Model Design</w:t>
      </w:r>
    </w:p>
    <w:p w14:paraId="3D002C96" w14:textId="77777777" w:rsidR="00E258B0" w:rsidRPr="00FD01BC" w:rsidRDefault="00FD01BC">
      <w:pPr>
        <w:pStyle w:val="21"/>
        <w:rPr>
          <w:sz w:val="32"/>
          <w:szCs w:val="36"/>
        </w:rPr>
      </w:pPr>
      <w:r w:rsidRPr="00FD01BC">
        <w:rPr>
          <w:sz w:val="32"/>
          <w:szCs w:val="36"/>
        </w:rPr>
        <w:t>5.1 Direct Stockfish WDL</w:t>
      </w:r>
    </w:p>
    <w:p w14:paraId="4ABB5B6C" w14:textId="77777777" w:rsidR="00E258B0" w:rsidRPr="00FD01BC" w:rsidRDefault="00FD01BC">
      <w:pPr>
        <w:rPr>
          <w:rFonts w:hint="eastAsia"/>
          <w:sz w:val="22"/>
          <w:szCs w:val="32"/>
        </w:rPr>
      </w:pPr>
      <w:r w:rsidRPr="00FD01BC">
        <w:rPr>
          <w:sz w:val="22"/>
          <w:szCs w:val="32"/>
        </w:rPr>
        <w:t>Stockfish returns White-win and draw counts per 1,000 outcomes; the implied Black-win count is 1,000 minus those two values. After normalisation, the largest probability is used directly. No game result is used to fit or calibrate this predictor. It therefore represents the pure strategy-engine view of the board.</w:t>
      </w:r>
    </w:p>
    <w:p w14:paraId="10AF0B6A" w14:textId="77777777" w:rsidR="00E258B0" w:rsidRPr="00FD01BC" w:rsidRDefault="00FD01BC">
      <w:pPr>
        <w:pStyle w:val="21"/>
        <w:rPr>
          <w:sz w:val="32"/>
          <w:szCs w:val="36"/>
        </w:rPr>
      </w:pPr>
      <w:r w:rsidRPr="00FD01BC">
        <w:rPr>
          <w:sz w:val="32"/>
          <w:szCs w:val="36"/>
        </w:rPr>
        <w:t>5.2 Controlled Learned Models</w:t>
      </w:r>
    </w:p>
    <w:p w14:paraId="2655986F" w14:textId="77777777" w:rsidR="00E258B0" w:rsidRPr="00FD01BC" w:rsidRDefault="00FD01BC">
      <w:pPr>
        <w:rPr>
          <w:rFonts w:hint="eastAsia"/>
          <w:sz w:val="22"/>
          <w:szCs w:val="32"/>
        </w:rPr>
      </w:pPr>
      <w:r w:rsidRPr="00FD01BC">
        <w:rPr>
          <w:sz w:val="22"/>
          <w:szCs w:val="32"/>
        </w:rPr>
        <w:t>Histogram gradient boosting learns nonlinear thresholds and interactions, accepts missing cp/mate values, and trains efficiently on 108,534 snapshots [4]. The position-only HGB uses the seven in-game features in Table 2. The final in-game model is also an HGB classifier, named Human-context HGB (main); it adds only the ten pre-match features. Both use learning rate 0.08, up to 240 iterations, 31 leaves, L2 regularisation, class- and game-balanced weights, and early stopping. HGB was selected because it hand</w:t>
      </w:r>
      <w:r w:rsidRPr="00FD01BC">
        <w:rPr>
          <w:sz w:val="22"/>
          <w:szCs w:val="32"/>
        </w:rPr>
        <w:t>les nonlinear feature interactions, missing cp/mate values, and the tabular dataset efficiently. Holding the algorithm and position representation fixed isolates the contribution of context.</w:t>
      </w:r>
    </w:p>
    <w:p w14:paraId="3CC59345" w14:textId="77777777" w:rsidR="00E258B0" w:rsidRPr="00FD01BC" w:rsidRDefault="00FD01BC">
      <w:pPr>
        <w:rPr>
          <w:rFonts w:hint="eastAsia"/>
          <w:sz w:val="22"/>
          <w:szCs w:val="32"/>
        </w:rPr>
      </w:pPr>
      <w:r w:rsidRPr="00FD01BC">
        <w:rPr>
          <w:sz w:val="22"/>
          <w:szCs w:val="32"/>
        </w:rPr>
        <w:t>A separate Pre-match HGB supplies only the 0% estimate before any move exists. It is not the final in-game model and is never used after a board position becomes available.</w:t>
      </w:r>
    </w:p>
    <w:p w14:paraId="02AF99B5" w14:textId="77777777" w:rsidR="00E258B0" w:rsidRPr="00FD01BC" w:rsidRDefault="00FD01BC">
      <w:pPr>
        <w:pStyle w:val="21"/>
        <w:rPr>
          <w:sz w:val="32"/>
          <w:szCs w:val="36"/>
        </w:rPr>
      </w:pPr>
      <w:r w:rsidRPr="00FD01BC">
        <w:rPr>
          <w:sz w:val="32"/>
          <w:szCs w:val="36"/>
        </w:rPr>
        <w:t>5.3 Experimental Control</w:t>
      </w:r>
    </w:p>
    <w:p w14:paraId="25A86DDA" w14:textId="77777777" w:rsidR="00E258B0" w:rsidRPr="00FD01BC" w:rsidRDefault="00FD01BC">
      <w:pPr>
        <w:rPr>
          <w:rFonts w:hint="eastAsia"/>
          <w:sz w:val="22"/>
          <w:szCs w:val="32"/>
        </w:rPr>
      </w:pPr>
      <w:r w:rsidRPr="00FD01BC">
        <w:rPr>
          <w:sz w:val="22"/>
          <w:szCs w:val="32"/>
        </w:rPr>
        <w:t>One ply is one half-move by either player. Each eligible training and validation game contributes a position after ply 4 and then plies 8, 16, 24, ..., 160; for example, ply 24 is the position after 12 full moves. Games shorter than a checkpoint simply contribute no snapshot there. Absolute ply sampling limits computation and, unlike percentage, does not require final game length.</w:t>
      </w:r>
    </w:p>
    <w:p w14:paraId="498B0768" w14:textId="77777777" w:rsidR="00E258B0" w:rsidRPr="00FD01BC" w:rsidRDefault="00FD01BC">
      <w:pPr>
        <w:rPr>
          <w:rFonts w:hint="eastAsia"/>
          <w:sz w:val="22"/>
          <w:szCs w:val="32"/>
        </w:rPr>
      </w:pPr>
      <w:r w:rsidRPr="00FD01BC">
        <w:rPr>
          <w:sz w:val="22"/>
          <w:szCs w:val="32"/>
        </w:rPr>
        <w:t>The primary in-game comparison pools every available test snapshot selected at 10%, 25%, 50%, 75%, and 100%. Each snapshot is one observation, so the reported accuracy, macro-F1, and log loss measure overall performance across these positions. They are neither a single checkpoint nor an unweighted mean of five checkpoint scores. Checkpoint-specific metrics are reported separately. Validation uses the different fixed-ply pool and is not compared numerically with test results.</w:t>
      </w:r>
    </w:p>
    <w:p w14:paraId="75A80EFF" w14:textId="77777777" w:rsidR="00E258B0" w:rsidRPr="00FD01BC" w:rsidRDefault="00FD01BC">
      <w:pPr>
        <w:spacing w:after="40"/>
        <w:jc w:val="center"/>
        <w:rPr>
          <w:rFonts w:hint="eastAsia"/>
          <w:sz w:val="22"/>
          <w:szCs w:val="32"/>
        </w:rPr>
      </w:pPr>
      <w:r w:rsidRPr="00FD01BC">
        <w:rPr>
          <w:noProof/>
          <w:sz w:val="22"/>
          <w:szCs w:val="32"/>
        </w:rPr>
        <w:drawing>
          <wp:inline distT="0" distB="0" distL="0" distR="0" wp14:anchorId="449D5F10" wp14:editId="6454D156">
            <wp:extent cx="5623560" cy="2756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trolled_model_comparison.png"/>
                    <pic:cNvPicPr/>
                  </pic:nvPicPr>
                  <pic:blipFill>
                    <a:blip r:embed="rId11"/>
                    <a:stretch>
                      <a:fillRect/>
                    </a:stretch>
                  </pic:blipFill>
                  <pic:spPr>
                    <a:xfrm>
                      <a:off x="0" y="0"/>
                      <a:ext cx="5623560" cy="2756684"/>
                    </a:xfrm>
                    <a:prstGeom prst="rect">
                      <a:avLst/>
                    </a:prstGeom>
                  </pic:spPr>
                </pic:pic>
              </a:graphicData>
            </a:graphic>
          </wp:inline>
        </w:drawing>
      </w:r>
    </w:p>
    <w:p w14:paraId="4B545442" w14:textId="77777777" w:rsidR="00E258B0" w:rsidRPr="00FD01BC" w:rsidRDefault="00FD01BC">
      <w:pPr>
        <w:pStyle w:val="af7"/>
        <w:jc w:val="center"/>
        <w:rPr>
          <w:rFonts w:hint="eastAsia"/>
          <w:sz w:val="21"/>
          <w:szCs w:val="22"/>
        </w:rPr>
      </w:pPr>
      <w:r w:rsidRPr="00FD01BC">
        <w:rPr>
          <w:sz w:val="21"/>
          <w:szCs w:val="22"/>
        </w:rPr>
        <w:t>Figure 3. Validation and test comparison of the three prespecified predictors.</w:t>
      </w:r>
    </w:p>
    <w:p w14:paraId="7D31391F" w14:textId="77777777" w:rsidR="00E258B0" w:rsidRPr="00FD01BC" w:rsidRDefault="00FD01BC">
      <w:pPr>
        <w:rPr>
          <w:rFonts w:hint="eastAsia"/>
          <w:sz w:val="22"/>
          <w:szCs w:val="32"/>
        </w:rPr>
      </w:pPr>
      <w:r w:rsidRPr="00FD01BC">
        <w:rPr>
          <w:sz w:val="22"/>
          <w:szCs w:val="32"/>
        </w:rPr>
        <w:br w:type="page"/>
      </w:r>
    </w:p>
    <w:p w14:paraId="64694F99" w14:textId="77777777" w:rsidR="00E258B0" w:rsidRPr="00FD01BC" w:rsidRDefault="00FD01BC">
      <w:pPr>
        <w:pStyle w:val="1"/>
        <w:rPr>
          <w:sz w:val="40"/>
          <w:szCs w:val="40"/>
        </w:rPr>
      </w:pPr>
      <w:r w:rsidRPr="00FD01BC">
        <w:rPr>
          <w:sz w:val="40"/>
          <w:szCs w:val="40"/>
        </w:rPr>
        <w:lastRenderedPageBreak/>
        <w:t>6. Results</w:t>
      </w:r>
    </w:p>
    <w:p w14:paraId="371F8BCE" w14:textId="77777777" w:rsidR="00E258B0" w:rsidRPr="00FD01BC" w:rsidRDefault="00FD01BC">
      <w:pPr>
        <w:pStyle w:val="21"/>
        <w:rPr>
          <w:sz w:val="32"/>
          <w:szCs w:val="36"/>
        </w:rPr>
      </w:pPr>
      <w:r w:rsidRPr="00FD01BC">
        <w:rPr>
          <w:sz w:val="32"/>
          <w:szCs w:val="36"/>
        </w:rPr>
        <w:t>6.1 Pre-match Baseline</w:t>
      </w:r>
    </w:p>
    <w:p w14:paraId="504334E7" w14:textId="77777777" w:rsidR="00E258B0" w:rsidRPr="00FD01BC" w:rsidRDefault="00FD01BC">
      <w:pPr>
        <w:pStyle w:val="af7"/>
        <w:jc w:val="center"/>
        <w:rPr>
          <w:rFonts w:hint="eastAsia"/>
          <w:sz w:val="21"/>
          <w:szCs w:val="22"/>
        </w:rPr>
      </w:pPr>
      <w:r w:rsidRPr="00FD01BC">
        <w:rPr>
          <w:sz w:val="21"/>
          <w:szCs w:val="22"/>
        </w:rPr>
        <w:t>Table 3a. Validation-only selection of the 0% pre-match model</w:t>
      </w:r>
    </w:p>
    <w:tbl>
      <w:tblPr>
        <w:tblStyle w:val="-1"/>
        <w:tblW w:w="0" w:type="auto"/>
        <w:tblLook w:val="04A0" w:firstRow="1" w:lastRow="0" w:firstColumn="1" w:lastColumn="0" w:noHBand="0" w:noVBand="1"/>
      </w:tblPr>
      <w:tblGrid>
        <w:gridCol w:w="2466"/>
        <w:gridCol w:w="2466"/>
        <w:gridCol w:w="2466"/>
        <w:gridCol w:w="2466"/>
      </w:tblGrid>
      <w:tr w:rsidR="00E258B0" w:rsidRPr="00FD01BC" w14:paraId="564AC092" w14:textId="77777777" w:rsidTr="00E258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66" w:type="dxa"/>
            <w:shd w:val="clear" w:color="auto" w:fill="1F4E78"/>
          </w:tcPr>
          <w:p w14:paraId="3D515E4E" w14:textId="77777777" w:rsidR="00E258B0" w:rsidRPr="00FD01BC" w:rsidRDefault="00FD01BC">
            <w:pPr>
              <w:rPr>
                <w:rFonts w:hint="eastAsia"/>
                <w:sz w:val="22"/>
                <w:szCs w:val="32"/>
              </w:rPr>
            </w:pPr>
            <w:r w:rsidRPr="00FD01BC">
              <w:rPr>
                <w:color w:val="FFFFFF"/>
                <w:sz w:val="21"/>
                <w:szCs w:val="32"/>
              </w:rPr>
              <w:t>Validation candidate</w:t>
            </w:r>
          </w:p>
        </w:tc>
        <w:tc>
          <w:tcPr>
            <w:tcW w:w="2466" w:type="dxa"/>
            <w:shd w:val="clear" w:color="auto" w:fill="1F4E78"/>
          </w:tcPr>
          <w:p w14:paraId="759BAEC0"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Accuracy</w:t>
            </w:r>
          </w:p>
        </w:tc>
        <w:tc>
          <w:tcPr>
            <w:tcW w:w="2466" w:type="dxa"/>
            <w:shd w:val="clear" w:color="auto" w:fill="1F4E78"/>
          </w:tcPr>
          <w:p w14:paraId="708BE279"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Macro-F1</w:t>
            </w:r>
          </w:p>
        </w:tc>
        <w:tc>
          <w:tcPr>
            <w:tcW w:w="2466" w:type="dxa"/>
            <w:shd w:val="clear" w:color="auto" w:fill="1F4E78"/>
          </w:tcPr>
          <w:p w14:paraId="417C3D5C"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Log loss</w:t>
            </w:r>
          </w:p>
        </w:tc>
      </w:tr>
      <w:tr w:rsidR="00E258B0" w:rsidRPr="00FD01BC" w14:paraId="68D57DB3"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0CCA8C31" w14:textId="77777777" w:rsidR="00E258B0" w:rsidRPr="00FD01BC" w:rsidRDefault="00FD01BC">
            <w:pPr>
              <w:spacing w:after="0"/>
              <w:rPr>
                <w:rFonts w:hint="eastAsia"/>
                <w:sz w:val="22"/>
                <w:szCs w:val="32"/>
              </w:rPr>
            </w:pPr>
            <w:r w:rsidRPr="00FD01BC">
              <w:rPr>
                <w:sz w:val="21"/>
                <w:szCs w:val="32"/>
              </w:rPr>
              <w:t>Majority dummy</w:t>
            </w:r>
          </w:p>
        </w:tc>
        <w:tc>
          <w:tcPr>
            <w:tcW w:w="2466" w:type="dxa"/>
            <w:vAlign w:val="center"/>
          </w:tcPr>
          <w:p w14:paraId="5170DD89"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0.499</w:t>
            </w:r>
          </w:p>
        </w:tc>
        <w:tc>
          <w:tcPr>
            <w:tcW w:w="2466" w:type="dxa"/>
            <w:vAlign w:val="center"/>
          </w:tcPr>
          <w:p w14:paraId="71EFB14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0.222</w:t>
            </w:r>
          </w:p>
        </w:tc>
        <w:tc>
          <w:tcPr>
            <w:tcW w:w="2466" w:type="dxa"/>
            <w:vAlign w:val="center"/>
          </w:tcPr>
          <w:p w14:paraId="1370C8D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0.848</w:t>
            </w:r>
          </w:p>
        </w:tc>
      </w:tr>
      <w:tr w:rsidR="00E258B0" w:rsidRPr="00FD01BC" w14:paraId="5318B144"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61443290" w14:textId="77777777" w:rsidR="00E258B0" w:rsidRPr="00FD01BC" w:rsidRDefault="00FD01BC">
            <w:pPr>
              <w:spacing w:after="0"/>
              <w:rPr>
                <w:rFonts w:hint="eastAsia"/>
                <w:sz w:val="22"/>
                <w:szCs w:val="32"/>
              </w:rPr>
            </w:pPr>
            <w:r w:rsidRPr="00FD01BC">
              <w:rPr>
                <w:sz w:val="21"/>
                <w:szCs w:val="32"/>
              </w:rPr>
              <w:t>Balanced logistic regression</w:t>
            </w:r>
          </w:p>
        </w:tc>
        <w:tc>
          <w:tcPr>
            <w:tcW w:w="2466" w:type="dxa"/>
            <w:vAlign w:val="center"/>
          </w:tcPr>
          <w:p w14:paraId="1054A5CB"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0.473</w:t>
            </w:r>
          </w:p>
        </w:tc>
        <w:tc>
          <w:tcPr>
            <w:tcW w:w="2466" w:type="dxa"/>
            <w:vAlign w:val="center"/>
          </w:tcPr>
          <w:p w14:paraId="1A690A4E"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0.393</w:t>
            </w:r>
          </w:p>
        </w:tc>
        <w:tc>
          <w:tcPr>
            <w:tcW w:w="2466" w:type="dxa"/>
            <w:vAlign w:val="center"/>
          </w:tcPr>
          <w:p w14:paraId="4ABD1698"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1.025</w:t>
            </w:r>
          </w:p>
        </w:tc>
      </w:tr>
      <w:tr w:rsidR="00E258B0" w:rsidRPr="00FD01BC" w14:paraId="0439BC29"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755554B1" w14:textId="77777777" w:rsidR="00E258B0" w:rsidRPr="00FD01BC" w:rsidRDefault="00FD01BC">
            <w:pPr>
              <w:spacing w:after="0"/>
              <w:rPr>
                <w:rFonts w:hint="eastAsia"/>
                <w:sz w:val="22"/>
                <w:szCs w:val="32"/>
              </w:rPr>
            </w:pPr>
            <w:r w:rsidRPr="00FD01BC">
              <w:rPr>
                <w:sz w:val="21"/>
                <w:szCs w:val="32"/>
              </w:rPr>
              <w:t>Pre-match HGB</w:t>
            </w:r>
          </w:p>
        </w:tc>
        <w:tc>
          <w:tcPr>
            <w:tcW w:w="2466" w:type="dxa"/>
            <w:vAlign w:val="center"/>
          </w:tcPr>
          <w:p w14:paraId="659F0615"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0.497</w:t>
            </w:r>
          </w:p>
        </w:tc>
        <w:tc>
          <w:tcPr>
            <w:tcW w:w="2466" w:type="dxa"/>
            <w:vAlign w:val="center"/>
          </w:tcPr>
          <w:p w14:paraId="20B9302B"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0.400</w:t>
            </w:r>
          </w:p>
        </w:tc>
        <w:tc>
          <w:tcPr>
            <w:tcW w:w="2466" w:type="dxa"/>
            <w:vAlign w:val="center"/>
          </w:tcPr>
          <w:p w14:paraId="7B79A19B"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0.987</w:t>
            </w:r>
          </w:p>
        </w:tc>
      </w:tr>
    </w:tbl>
    <w:p w14:paraId="35F42652" w14:textId="77777777" w:rsidR="00E258B0" w:rsidRPr="00FD01BC" w:rsidRDefault="00E258B0">
      <w:pPr>
        <w:spacing w:after="0"/>
        <w:rPr>
          <w:rFonts w:hint="eastAsia"/>
          <w:sz w:val="22"/>
          <w:szCs w:val="32"/>
        </w:rPr>
      </w:pPr>
    </w:p>
    <w:p w14:paraId="726EDED1" w14:textId="77777777" w:rsidR="00E258B0" w:rsidRPr="00FD01BC" w:rsidRDefault="00FD01BC">
      <w:pPr>
        <w:rPr>
          <w:rFonts w:hint="eastAsia"/>
          <w:sz w:val="22"/>
          <w:szCs w:val="32"/>
        </w:rPr>
      </w:pPr>
      <w:r w:rsidRPr="00FD01BC">
        <w:rPr>
          <w:sz w:val="22"/>
          <w:szCs w:val="32"/>
        </w:rPr>
        <w:t>The dummy's accuracy reflects class imbalance, while its low macro-F1 reveals poor class coverage. Pre-match HGB is selected using validation macro-F1. Only after this choice is fixed is it evaluated on the held-out test games.</w:t>
      </w:r>
    </w:p>
    <w:p w14:paraId="2266FFA0" w14:textId="77777777" w:rsidR="00E258B0" w:rsidRPr="00FD01BC" w:rsidRDefault="00FD01BC">
      <w:pPr>
        <w:pStyle w:val="af7"/>
        <w:jc w:val="center"/>
        <w:rPr>
          <w:rFonts w:hint="eastAsia"/>
          <w:sz w:val="21"/>
          <w:szCs w:val="22"/>
        </w:rPr>
      </w:pPr>
      <w:r w:rsidRPr="00FD01BC">
        <w:rPr>
          <w:sz w:val="21"/>
          <w:szCs w:val="22"/>
        </w:rPr>
        <w:t>Table 3b. Held-out estimate for the selected 0% model only</w:t>
      </w:r>
    </w:p>
    <w:tbl>
      <w:tblPr>
        <w:tblStyle w:val="-1"/>
        <w:tblW w:w="0" w:type="auto"/>
        <w:tblLook w:val="04A0" w:firstRow="1" w:lastRow="0" w:firstColumn="1" w:lastColumn="0" w:noHBand="0" w:noVBand="1"/>
      </w:tblPr>
      <w:tblGrid>
        <w:gridCol w:w="2466"/>
        <w:gridCol w:w="2466"/>
        <w:gridCol w:w="2466"/>
        <w:gridCol w:w="2466"/>
      </w:tblGrid>
      <w:tr w:rsidR="00E258B0" w:rsidRPr="00FD01BC" w14:paraId="2AE8E192" w14:textId="77777777" w:rsidTr="00E258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66" w:type="dxa"/>
            <w:shd w:val="clear" w:color="auto" w:fill="1F4E78"/>
          </w:tcPr>
          <w:p w14:paraId="64694ECD" w14:textId="77777777" w:rsidR="00E258B0" w:rsidRPr="00FD01BC" w:rsidRDefault="00FD01BC">
            <w:pPr>
              <w:rPr>
                <w:rFonts w:hint="eastAsia"/>
                <w:sz w:val="22"/>
                <w:szCs w:val="32"/>
              </w:rPr>
            </w:pPr>
            <w:r w:rsidRPr="00FD01BC">
              <w:rPr>
                <w:color w:val="FFFFFF"/>
                <w:sz w:val="21"/>
                <w:szCs w:val="32"/>
              </w:rPr>
              <w:t>Test model</w:t>
            </w:r>
          </w:p>
        </w:tc>
        <w:tc>
          <w:tcPr>
            <w:tcW w:w="2466" w:type="dxa"/>
            <w:shd w:val="clear" w:color="auto" w:fill="1F4E78"/>
          </w:tcPr>
          <w:p w14:paraId="3700F8B9"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Accuracy</w:t>
            </w:r>
          </w:p>
        </w:tc>
        <w:tc>
          <w:tcPr>
            <w:tcW w:w="2466" w:type="dxa"/>
            <w:shd w:val="clear" w:color="auto" w:fill="1F4E78"/>
          </w:tcPr>
          <w:p w14:paraId="3B529A6A"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Macro-F1</w:t>
            </w:r>
          </w:p>
        </w:tc>
        <w:tc>
          <w:tcPr>
            <w:tcW w:w="2466" w:type="dxa"/>
            <w:shd w:val="clear" w:color="auto" w:fill="1F4E78"/>
          </w:tcPr>
          <w:p w14:paraId="6AFA99BD"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Log loss</w:t>
            </w:r>
          </w:p>
        </w:tc>
      </w:tr>
      <w:tr w:rsidR="00E258B0" w:rsidRPr="00FD01BC" w14:paraId="1B89CBD5"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432265E5" w14:textId="77777777" w:rsidR="00E258B0" w:rsidRPr="00FD01BC" w:rsidRDefault="00FD01BC">
            <w:pPr>
              <w:spacing w:after="0"/>
              <w:rPr>
                <w:rFonts w:hint="eastAsia"/>
                <w:sz w:val="22"/>
                <w:szCs w:val="32"/>
              </w:rPr>
            </w:pPr>
            <w:r w:rsidRPr="00FD01BC">
              <w:rPr>
                <w:sz w:val="21"/>
                <w:szCs w:val="32"/>
              </w:rPr>
              <w:t>Pre-match HGB</w:t>
            </w:r>
          </w:p>
        </w:tc>
        <w:tc>
          <w:tcPr>
            <w:tcW w:w="2466" w:type="dxa"/>
            <w:vAlign w:val="center"/>
          </w:tcPr>
          <w:p w14:paraId="19ABE373"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0.523</w:t>
            </w:r>
          </w:p>
        </w:tc>
        <w:tc>
          <w:tcPr>
            <w:tcW w:w="2466" w:type="dxa"/>
            <w:vAlign w:val="center"/>
          </w:tcPr>
          <w:p w14:paraId="724183C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0.427</w:t>
            </w:r>
          </w:p>
        </w:tc>
        <w:tc>
          <w:tcPr>
            <w:tcW w:w="2466" w:type="dxa"/>
            <w:vAlign w:val="center"/>
          </w:tcPr>
          <w:p w14:paraId="56692A54"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0.980</w:t>
            </w:r>
          </w:p>
        </w:tc>
      </w:tr>
    </w:tbl>
    <w:p w14:paraId="105D72C3" w14:textId="77777777" w:rsidR="00E258B0" w:rsidRPr="00FD01BC" w:rsidRDefault="00E258B0">
      <w:pPr>
        <w:spacing w:after="0"/>
        <w:rPr>
          <w:rFonts w:hint="eastAsia"/>
          <w:sz w:val="22"/>
          <w:szCs w:val="32"/>
        </w:rPr>
      </w:pPr>
    </w:p>
    <w:p w14:paraId="6C086825" w14:textId="77777777" w:rsidR="00E258B0" w:rsidRPr="00FD01BC" w:rsidRDefault="00FD01BC">
      <w:pPr>
        <w:pStyle w:val="21"/>
        <w:rPr>
          <w:sz w:val="32"/>
          <w:szCs w:val="36"/>
        </w:rPr>
      </w:pPr>
      <w:r w:rsidRPr="00FD01BC">
        <w:rPr>
          <w:sz w:val="32"/>
          <w:szCs w:val="36"/>
        </w:rPr>
        <w:t>6.2 Controlled In-game Comparison</w:t>
      </w:r>
    </w:p>
    <w:p w14:paraId="19905452" w14:textId="77777777" w:rsidR="00E258B0" w:rsidRPr="00FD01BC" w:rsidRDefault="00FD01BC">
      <w:pPr>
        <w:pStyle w:val="af7"/>
        <w:jc w:val="center"/>
        <w:rPr>
          <w:rFonts w:hint="eastAsia"/>
          <w:sz w:val="21"/>
          <w:szCs w:val="22"/>
        </w:rPr>
      </w:pPr>
      <w:r w:rsidRPr="00FD01BC">
        <w:rPr>
          <w:sz w:val="21"/>
          <w:szCs w:val="22"/>
        </w:rPr>
        <w:t>Table 4. Primary held-out comparison pooled over five test checkpoints</w:t>
      </w:r>
    </w:p>
    <w:tbl>
      <w:tblPr>
        <w:tblStyle w:val="-1"/>
        <w:tblW w:w="0" w:type="auto"/>
        <w:tblLook w:val="04A0" w:firstRow="1" w:lastRow="0" w:firstColumn="1" w:lastColumn="0" w:noHBand="0" w:noVBand="1"/>
      </w:tblPr>
      <w:tblGrid>
        <w:gridCol w:w="2466"/>
        <w:gridCol w:w="2466"/>
        <w:gridCol w:w="2466"/>
        <w:gridCol w:w="2466"/>
      </w:tblGrid>
      <w:tr w:rsidR="00E258B0" w:rsidRPr="00FD01BC" w14:paraId="5027CAC9" w14:textId="77777777" w:rsidTr="00E258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66" w:type="dxa"/>
            <w:shd w:val="clear" w:color="auto" w:fill="1F4E78"/>
          </w:tcPr>
          <w:p w14:paraId="50FF9173" w14:textId="77777777" w:rsidR="00E258B0" w:rsidRPr="00FD01BC" w:rsidRDefault="00FD01BC">
            <w:pPr>
              <w:rPr>
                <w:rFonts w:hint="eastAsia"/>
                <w:sz w:val="22"/>
                <w:szCs w:val="32"/>
              </w:rPr>
            </w:pPr>
            <w:r w:rsidRPr="00FD01BC">
              <w:rPr>
                <w:color w:val="FFFFFF"/>
                <w:sz w:val="21"/>
                <w:szCs w:val="32"/>
              </w:rPr>
              <w:t>Test predictor</w:t>
            </w:r>
          </w:p>
        </w:tc>
        <w:tc>
          <w:tcPr>
            <w:tcW w:w="2466" w:type="dxa"/>
            <w:shd w:val="clear" w:color="auto" w:fill="1F4E78"/>
          </w:tcPr>
          <w:p w14:paraId="777BC370"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Accuracy</w:t>
            </w:r>
          </w:p>
        </w:tc>
        <w:tc>
          <w:tcPr>
            <w:tcW w:w="2466" w:type="dxa"/>
            <w:shd w:val="clear" w:color="auto" w:fill="1F4E78"/>
          </w:tcPr>
          <w:p w14:paraId="620597A5"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Macro-F1</w:t>
            </w:r>
          </w:p>
        </w:tc>
        <w:tc>
          <w:tcPr>
            <w:tcW w:w="2466" w:type="dxa"/>
            <w:shd w:val="clear" w:color="auto" w:fill="1F4E78"/>
          </w:tcPr>
          <w:p w14:paraId="0B978DCE"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Log loss</w:t>
            </w:r>
          </w:p>
        </w:tc>
      </w:tr>
      <w:tr w:rsidR="00E258B0" w:rsidRPr="00FD01BC" w14:paraId="511619B9"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219B6EA4" w14:textId="77777777" w:rsidR="00E258B0" w:rsidRPr="00FD01BC" w:rsidRDefault="00FD01BC">
            <w:pPr>
              <w:spacing w:after="0"/>
              <w:rPr>
                <w:rFonts w:hint="eastAsia"/>
                <w:sz w:val="22"/>
                <w:szCs w:val="32"/>
              </w:rPr>
            </w:pPr>
            <w:r w:rsidRPr="00FD01BC">
              <w:rPr>
                <w:sz w:val="21"/>
                <w:szCs w:val="32"/>
              </w:rPr>
              <w:t>Direct Stockfish WDL</w:t>
            </w:r>
          </w:p>
        </w:tc>
        <w:tc>
          <w:tcPr>
            <w:tcW w:w="2466" w:type="dxa"/>
            <w:vAlign w:val="center"/>
          </w:tcPr>
          <w:p w14:paraId="62F05973"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0.476</w:t>
            </w:r>
          </w:p>
        </w:tc>
        <w:tc>
          <w:tcPr>
            <w:tcW w:w="2466" w:type="dxa"/>
            <w:vAlign w:val="center"/>
          </w:tcPr>
          <w:p w14:paraId="39A482BE"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0.434</w:t>
            </w:r>
          </w:p>
        </w:tc>
        <w:tc>
          <w:tcPr>
            <w:tcW w:w="2466" w:type="dxa"/>
            <w:vAlign w:val="center"/>
          </w:tcPr>
          <w:p w14:paraId="7738976D"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5.751</w:t>
            </w:r>
          </w:p>
        </w:tc>
      </w:tr>
      <w:tr w:rsidR="00E258B0" w:rsidRPr="00FD01BC" w14:paraId="5EAC06F9"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57E5A20D" w14:textId="77777777" w:rsidR="00E258B0" w:rsidRPr="00FD01BC" w:rsidRDefault="00FD01BC">
            <w:pPr>
              <w:spacing w:after="0"/>
              <w:rPr>
                <w:rFonts w:hint="eastAsia"/>
                <w:sz w:val="22"/>
                <w:szCs w:val="32"/>
              </w:rPr>
            </w:pPr>
            <w:r w:rsidRPr="00FD01BC">
              <w:rPr>
                <w:sz w:val="21"/>
                <w:szCs w:val="32"/>
              </w:rPr>
              <w:t>Position-only HGB</w:t>
            </w:r>
          </w:p>
        </w:tc>
        <w:tc>
          <w:tcPr>
            <w:tcW w:w="2466" w:type="dxa"/>
            <w:vAlign w:val="center"/>
          </w:tcPr>
          <w:p w14:paraId="1F86B061"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0.634</w:t>
            </w:r>
          </w:p>
        </w:tc>
        <w:tc>
          <w:tcPr>
            <w:tcW w:w="2466" w:type="dxa"/>
            <w:vAlign w:val="center"/>
          </w:tcPr>
          <w:p w14:paraId="0D29430C"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0.520</w:t>
            </w:r>
          </w:p>
        </w:tc>
        <w:tc>
          <w:tcPr>
            <w:tcW w:w="2466" w:type="dxa"/>
            <w:vAlign w:val="center"/>
          </w:tcPr>
          <w:p w14:paraId="02FDD39E"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0.853</w:t>
            </w:r>
          </w:p>
        </w:tc>
      </w:tr>
      <w:tr w:rsidR="00E258B0" w:rsidRPr="00FD01BC" w14:paraId="2260CAE7"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08946F9B" w14:textId="77777777" w:rsidR="00E258B0" w:rsidRPr="00FD01BC" w:rsidRDefault="00FD01BC">
            <w:pPr>
              <w:spacing w:after="0"/>
              <w:rPr>
                <w:rFonts w:hint="eastAsia"/>
                <w:sz w:val="22"/>
                <w:szCs w:val="32"/>
              </w:rPr>
            </w:pPr>
            <w:r w:rsidRPr="00FD01BC">
              <w:rPr>
                <w:sz w:val="21"/>
                <w:szCs w:val="32"/>
              </w:rPr>
              <w:t>Human-context HGB (main)</w:t>
            </w:r>
          </w:p>
        </w:tc>
        <w:tc>
          <w:tcPr>
            <w:tcW w:w="2466" w:type="dxa"/>
            <w:vAlign w:val="center"/>
          </w:tcPr>
          <w:p w14:paraId="418A3C10"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0.687</w:t>
            </w:r>
          </w:p>
        </w:tc>
        <w:tc>
          <w:tcPr>
            <w:tcW w:w="2466" w:type="dxa"/>
            <w:vAlign w:val="center"/>
          </w:tcPr>
          <w:p w14:paraId="6F2F18D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0.545</w:t>
            </w:r>
          </w:p>
        </w:tc>
        <w:tc>
          <w:tcPr>
            <w:tcW w:w="2466" w:type="dxa"/>
            <w:vAlign w:val="center"/>
          </w:tcPr>
          <w:p w14:paraId="7CD8C093"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0.714</w:t>
            </w:r>
          </w:p>
        </w:tc>
      </w:tr>
    </w:tbl>
    <w:p w14:paraId="7654D15D" w14:textId="77777777" w:rsidR="00E258B0" w:rsidRPr="00FD01BC" w:rsidRDefault="00E258B0">
      <w:pPr>
        <w:spacing w:after="0"/>
        <w:rPr>
          <w:rFonts w:hint="eastAsia"/>
          <w:sz w:val="22"/>
          <w:szCs w:val="32"/>
        </w:rPr>
      </w:pPr>
    </w:p>
    <w:p w14:paraId="2EF0C7A2" w14:textId="77777777" w:rsidR="00E258B0" w:rsidRPr="00FD01BC" w:rsidRDefault="00FD01BC">
      <w:pPr>
        <w:rPr>
          <w:rFonts w:hint="eastAsia"/>
          <w:sz w:val="22"/>
          <w:szCs w:val="32"/>
        </w:rPr>
      </w:pPr>
      <w:r w:rsidRPr="00FD01BC">
        <w:rPr>
          <w:sz w:val="22"/>
          <w:szCs w:val="32"/>
        </w:rPr>
        <w:t>Learning the mapping from position evidence to human results substantially outperforms direct engine WDL. More importantly, adding human context to the otherwise identical HGB raises test accuracy by 5.4 percentage points, macro-F1 by 2.5 points, and reduces log loss by 0.139. Figure 2 shows that WDL wins and cp remain dominant, while rating difference is also among the leading features. Objective position strength and player context therefore contribute complementary information.</w:t>
      </w:r>
    </w:p>
    <w:p w14:paraId="66276C96" w14:textId="77777777" w:rsidR="00E258B0" w:rsidRPr="00FD01BC" w:rsidRDefault="00FD01BC">
      <w:pPr>
        <w:spacing w:after="40"/>
        <w:jc w:val="center"/>
        <w:rPr>
          <w:rFonts w:hint="eastAsia"/>
          <w:sz w:val="22"/>
          <w:szCs w:val="32"/>
        </w:rPr>
      </w:pPr>
      <w:r w:rsidRPr="00FD01BC">
        <w:rPr>
          <w:noProof/>
          <w:sz w:val="22"/>
          <w:szCs w:val="32"/>
        </w:rPr>
        <w:drawing>
          <wp:inline distT="0" distB="0" distL="0" distR="0" wp14:anchorId="24EFC475" wp14:editId="1D508BC8">
            <wp:extent cx="5623560" cy="2069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match_importance_confusion.png"/>
                    <pic:cNvPicPr/>
                  </pic:nvPicPr>
                  <pic:blipFill>
                    <a:blip r:embed="rId12"/>
                    <a:stretch>
                      <a:fillRect/>
                    </a:stretch>
                  </pic:blipFill>
                  <pic:spPr>
                    <a:xfrm>
                      <a:off x="0" y="0"/>
                      <a:ext cx="5623560" cy="2069584"/>
                    </a:xfrm>
                    <a:prstGeom prst="rect">
                      <a:avLst/>
                    </a:prstGeom>
                  </pic:spPr>
                </pic:pic>
              </a:graphicData>
            </a:graphic>
          </wp:inline>
        </w:drawing>
      </w:r>
    </w:p>
    <w:p w14:paraId="117DB56D" w14:textId="77777777" w:rsidR="00E258B0" w:rsidRPr="00FD01BC" w:rsidRDefault="00FD01BC">
      <w:pPr>
        <w:pStyle w:val="af7"/>
        <w:jc w:val="center"/>
        <w:rPr>
          <w:rFonts w:hint="eastAsia"/>
          <w:sz w:val="21"/>
          <w:szCs w:val="22"/>
        </w:rPr>
      </w:pPr>
      <w:r w:rsidRPr="00FD01BC">
        <w:rPr>
          <w:sz w:val="21"/>
          <w:szCs w:val="22"/>
        </w:rPr>
        <w:t>Figure 4. Pre-match HGB permutation importance and held-out test confusion matrix.</w:t>
      </w:r>
    </w:p>
    <w:p w14:paraId="1EA5BE89" w14:textId="77777777" w:rsidR="00E258B0" w:rsidRPr="00FD01BC" w:rsidRDefault="00FD01BC">
      <w:pPr>
        <w:rPr>
          <w:rFonts w:hint="eastAsia"/>
          <w:sz w:val="22"/>
          <w:szCs w:val="32"/>
        </w:rPr>
      </w:pPr>
      <w:r w:rsidRPr="00FD01BC">
        <w:rPr>
          <w:sz w:val="22"/>
          <w:szCs w:val="32"/>
        </w:rPr>
        <w:br w:type="page"/>
      </w:r>
    </w:p>
    <w:p w14:paraId="578B607D" w14:textId="77777777" w:rsidR="00E258B0" w:rsidRPr="00FD01BC" w:rsidRDefault="00FD01BC">
      <w:pPr>
        <w:pStyle w:val="1"/>
        <w:rPr>
          <w:sz w:val="40"/>
          <w:szCs w:val="40"/>
        </w:rPr>
      </w:pPr>
      <w:r w:rsidRPr="00FD01BC">
        <w:rPr>
          <w:sz w:val="40"/>
          <w:szCs w:val="40"/>
        </w:rPr>
        <w:lastRenderedPageBreak/>
        <w:t>6.3 Progressive Test Performance</w:t>
      </w:r>
    </w:p>
    <w:p w14:paraId="190189A2" w14:textId="77777777" w:rsidR="00E258B0" w:rsidRPr="00FD01BC" w:rsidRDefault="00FD01BC">
      <w:pPr>
        <w:pStyle w:val="af7"/>
        <w:jc w:val="center"/>
        <w:rPr>
          <w:rFonts w:hint="eastAsia"/>
          <w:sz w:val="21"/>
          <w:szCs w:val="22"/>
        </w:rPr>
      </w:pPr>
      <w:r w:rsidRPr="00FD01BC">
        <w:rPr>
          <w:sz w:val="21"/>
          <w:szCs w:val="22"/>
        </w:rPr>
        <w:t>Table 5. Main-model performance over game progress</w:t>
      </w:r>
    </w:p>
    <w:tbl>
      <w:tblPr>
        <w:tblStyle w:val="-1"/>
        <w:tblW w:w="0" w:type="auto"/>
        <w:tblLook w:val="04A0" w:firstRow="1" w:lastRow="0" w:firstColumn="1" w:lastColumn="0" w:noHBand="0" w:noVBand="1"/>
      </w:tblPr>
      <w:tblGrid>
        <w:gridCol w:w="2466"/>
        <w:gridCol w:w="2466"/>
        <w:gridCol w:w="2466"/>
        <w:gridCol w:w="2466"/>
      </w:tblGrid>
      <w:tr w:rsidR="00E258B0" w:rsidRPr="00FD01BC" w14:paraId="6240E191" w14:textId="77777777" w:rsidTr="00E258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66" w:type="dxa"/>
            <w:shd w:val="clear" w:color="auto" w:fill="1F4E78"/>
          </w:tcPr>
          <w:p w14:paraId="6B09C6BE" w14:textId="77777777" w:rsidR="00E258B0" w:rsidRPr="00FD01BC" w:rsidRDefault="00FD01BC">
            <w:pPr>
              <w:rPr>
                <w:rFonts w:hint="eastAsia"/>
                <w:sz w:val="22"/>
                <w:szCs w:val="32"/>
              </w:rPr>
            </w:pPr>
            <w:r w:rsidRPr="00FD01BC">
              <w:rPr>
                <w:color w:val="FFFFFF"/>
                <w:sz w:val="21"/>
                <w:szCs w:val="32"/>
              </w:rPr>
              <w:t>Progress</w:t>
            </w:r>
          </w:p>
        </w:tc>
        <w:tc>
          <w:tcPr>
            <w:tcW w:w="2466" w:type="dxa"/>
            <w:shd w:val="clear" w:color="auto" w:fill="1F4E78"/>
          </w:tcPr>
          <w:p w14:paraId="711A5E62"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Accuracy</w:t>
            </w:r>
          </w:p>
        </w:tc>
        <w:tc>
          <w:tcPr>
            <w:tcW w:w="2466" w:type="dxa"/>
            <w:shd w:val="clear" w:color="auto" w:fill="1F4E78"/>
          </w:tcPr>
          <w:p w14:paraId="1BA3BD15"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Macro-F1</w:t>
            </w:r>
          </w:p>
        </w:tc>
        <w:tc>
          <w:tcPr>
            <w:tcW w:w="2466" w:type="dxa"/>
            <w:shd w:val="clear" w:color="auto" w:fill="1F4E78"/>
          </w:tcPr>
          <w:p w14:paraId="73997C42" w14:textId="77777777" w:rsidR="00E258B0" w:rsidRPr="00FD01BC" w:rsidRDefault="00FD01BC">
            <w:pPr>
              <w:cnfStyle w:val="100000000000" w:firstRow="1" w:lastRow="0" w:firstColumn="0" w:lastColumn="0" w:oddVBand="0" w:evenVBand="0" w:oddHBand="0" w:evenHBand="0" w:firstRowFirstColumn="0" w:firstRowLastColumn="0" w:lastRowFirstColumn="0" w:lastRowLastColumn="0"/>
              <w:rPr>
                <w:rFonts w:hint="eastAsia"/>
                <w:sz w:val="22"/>
                <w:szCs w:val="32"/>
              </w:rPr>
            </w:pPr>
            <w:r w:rsidRPr="00FD01BC">
              <w:rPr>
                <w:color w:val="FFFFFF"/>
                <w:sz w:val="21"/>
                <w:szCs w:val="32"/>
              </w:rPr>
              <w:t>Evaluated games</w:t>
            </w:r>
          </w:p>
        </w:tc>
      </w:tr>
      <w:tr w:rsidR="00E258B0" w:rsidRPr="00FD01BC" w14:paraId="27C7F49E"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6E1A5F99" w14:textId="77777777" w:rsidR="00E258B0" w:rsidRPr="00FD01BC" w:rsidRDefault="00FD01BC">
            <w:pPr>
              <w:spacing w:after="0"/>
              <w:rPr>
                <w:rFonts w:hint="eastAsia"/>
                <w:sz w:val="22"/>
                <w:szCs w:val="32"/>
              </w:rPr>
            </w:pPr>
            <w:r w:rsidRPr="00FD01BC">
              <w:rPr>
                <w:sz w:val="21"/>
                <w:szCs w:val="32"/>
              </w:rPr>
              <w:t>0% (pre-match)</w:t>
            </w:r>
          </w:p>
        </w:tc>
        <w:tc>
          <w:tcPr>
            <w:tcW w:w="2466" w:type="dxa"/>
            <w:vAlign w:val="center"/>
          </w:tcPr>
          <w:p w14:paraId="04D26E51"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0.523</w:t>
            </w:r>
          </w:p>
        </w:tc>
        <w:tc>
          <w:tcPr>
            <w:tcW w:w="2466" w:type="dxa"/>
            <w:vAlign w:val="center"/>
          </w:tcPr>
          <w:p w14:paraId="17DEC51D"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0.427</w:t>
            </w:r>
          </w:p>
        </w:tc>
        <w:tc>
          <w:tcPr>
            <w:tcW w:w="2466" w:type="dxa"/>
            <w:vAlign w:val="center"/>
          </w:tcPr>
          <w:p w14:paraId="583C990A"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2,867</w:t>
            </w:r>
          </w:p>
        </w:tc>
      </w:tr>
      <w:tr w:rsidR="00E258B0" w:rsidRPr="00FD01BC" w14:paraId="0494055B"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3D001F06" w14:textId="77777777" w:rsidR="00E258B0" w:rsidRPr="00FD01BC" w:rsidRDefault="00FD01BC">
            <w:pPr>
              <w:spacing w:after="0"/>
              <w:rPr>
                <w:rFonts w:hint="eastAsia"/>
                <w:sz w:val="22"/>
                <w:szCs w:val="32"/>
              </w:rPr>
            </w:pPr>
            <w:r w:rsidRPr="00FD01BC">
              <w:rPr>
                <w:sz w:val="21"/>
                <w:szCs w:val="32"/>
              </w:rPr>
              <w:t>10%</w:t>
            </w:r>
          </w:p>
        </w:tc>
        <w:tc>
          <w:tcPr>
            <w:tcW w:w="2466" w:type="dxa"/>
            <w:vAlign w:val="center"/>
          </w:tcPr>
          <w:p w14:paraId="48B309E9"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0.584</w:t>
            </w:r>
          </w:p>
        </w:tc>
        <w:tc>
          <w:tcPr>
            <w:tcW w:w="2466" w:type="dxa"/>
            <w:vAlign w:val="center"/>
          </w:tcPr>
          <w:p w14:paraId="17901C98"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0.435</w:t>
            </w:r>
          </w:p>
        </w:tc>
        <w:tc>
          <w:tcPr>
            <w:tcW w:w="2466" w:type="dxa"/>
            <w:vAlign w:val="center"/>
          </w:tcPr>
          <w:p w14:paraId="0EA5AABE"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2,803</w:t>
            </w:r>
          </w:p>
        </w:tc>
      </w:tr>
      <w:tr w:rsidR="00E258B0" w:rsidRPr="00FD01BC" w14:paraId="1A4E57D8"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3D9E2EBA" w14:textId="77777777" w:rsidR="00E258B0" w:rsidRPr="00FD01BC" w:rsidRDefault="00FD01BC">
            <w:pPr>
              <w:spacing w:after="0"/>
              <w:rPr>
                <w:rFonts w:hint="eastAsia"/>
                <w:sz w:val="22"/>
                <w:szCs w:val="32"/>
              </w:rPr>
            </w:pPr>
            <w:r w:rsidRPr="00FD01BC">
              <w:rPr>
                <w:sz w:val="21"/>
                <w:szCs w:val="32"/>
              </w:rPr>
              <w:t>25%</w:t>
            </w:r>
          </w:p>
        </w:tc>
        <w:tc>
          <w:tcPr>
            <w:tcW w:w="2466" w:type="dxa"/>
            <w:vAlign w:val="center"/>
          </w:tcPr>
          <w:p w14:paraId="78737806"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0.588</w:t>
            </w:r>
          </w:p>
        </w:tc>
        <w:tc>
          <w:tcPr>
            <w:tcW w:w="2466" w:type="dxa"/>
            <w:vAlign w:val="center"/>
          </w:tcPr>
          <w:p w14:paraId="00D071F3"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0.450</w:t>
            </w:r>
          </w:p>
        </w:tc>
        <w:tc>
          <w:tcPr>
            <w:tcW w:w="2466" w:type="dxa"/>
            <w:vAlign w:val="center"/>
          </w:tcPr>
          <w:p w14:paraId="57B01CD1"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2,830</w:t>
            </w:r>
          </w:p>
        </w:tc>
      </w:tr>
      <w:tr w:rsidR="00E258B0" w:rsidRPr="00FD01BC" w14:paraId="6A161FD2"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4A8CB736" w14:textId="77777777" w:rsidR="00E258B0" w:rsidRPr="00FD01BC" w:rsidRDefault="00FD01BC">
            <w:pPr>
              <w:spacing w:after="0"/>
              <w:rPr>
                <w:rFonts w:hint="eastAsia"/>
                <w:sz w:val="22"/>
                <w:szCs w:val="32"/>
              </w:rPr>
            </w:pPr>
            <w:r w:rsidRPr="00FD01BC">
              <w:rPr>
                <w:sz w:val="21"/>
                <w:szCs w:val="32"/>
              </w:rPr>
              <w:t>50%</w:t>
            </w:r>
          </w:p>
        </w:tc>
        <w:tc>
          <w:tcPr>
            <w:tcW w:w="2466" w:type="dxa"/>
            <w:vAlign w:val="center"/>
          </w:tcPr>
          <w:p w14:paraId="135D5FDF"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0.649</w:t>
            </w:r>
          </w:p>
        </w:tc>
        <w:tc>
          <w:tcPr>
            <w:tcW w:w="2466" w:type="dxa"/>
            <w:vAlign w:val="center"/>
          </w:tcPr>
          <w:p w14:paraId="0033ABE8"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0.498</w:t>
            </w:r>
          </w:p>
        </w:tc>
        <w:tc>
          <w:tcPr>
            <w:tcW w:w="2466" w:type="dxa"/>
            <w:vAlign w:val="center"/>
          </w:tcPr>
          <w:p w14:paraId="5956981B"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2,849</w:t>
            </w:r>
          </w:p>
        </w:tc>
      </w:tr>
      <w:tr w:rsidR="00E258B0" w:rsidRPr="00FD01BC" w14:paraId="27333EC0" w14:textId="77777777" w:rsidTr="00E258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6DCFA59C" w14:textId="77777777" w:rsidR="00E258B0" w:rsidRPr="00FD01BC" w:rsidRDefault="00FD01BC">
            <w:pPr>
              <w:spacing w:after="0"/>
              <w:rPr>
                <w:rFonts w:hint="eastAsia"/>
                <w:sz w:val="22"/>
                <w:szCs w:val="32"/>
              </w:rPr>
            </w:pPr>
            <w:r w:rsidRPr="00FD01BC">
              <w:rPr>
                <w:sz w:val="21"/>
                <w:szCs w:val="32"/>
              </w:rPr>
              <w:t>75%</w:t>
            </w:r>
          </w:p>
        </w:tc>
        <w:tc>
          <w:tcPr>
            <w:tcW w:w="2466" w:type="dxa"/>
            <w:vAlign w:val="center"/>
          </w:tcPr>
          <w:p w14:paraId="52114835"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0.714</w:t>
            </w:r>
          </w:p>
        </w:tc>
        <w:tc>
          <w:tcPr>
            <w:tcW w:w="2466" w:type="dxa"/>
            <w:vAlign w:val="center"/>
          </w:tcPr>
          <w:p w14:paraId="7C0C00E0"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0.570</w:t>
            </w:r>
          </w:p>
        </w:tc>
        <w:tc>
          <w:tcPr>
            <w:tcW w:w="2466" w:type="dxa"/>
            <w:vAlign w:val="center"/>
          </w:tcPr>
          <w:p w14:paraId="738A9998" w14:textId="77777777" w:rsidR="00E258B0" w:rsidRPr="00FD01BC" w:rsidRDefault="00FD01BC">
            <w:pPr>
              <w:spacing w:after="0"/>
              <w:cnfStyle w:val="000000100000" w:firstRow="0" w:lastRow="0" w:firstColumn="0" w:lastColumn="0" w:oddVBand="0" w:evenVBand="0" w:oddHBand="1" w:evenHBand="0" w:firstRowFirstColumn="0" w:firstRowLastColumn="0" w:lastRowFirstColumn="0" w:lastRowLastColumn="0"/>
              <w:rPr>
                <w:rFonts w:hint="eastAsia"/>
                <w:sz w:val="22"/>
                <w:szCs w:val="32"/>
              </w:rPr>
            </w:pPr>
            <w:r w:rsidRPr="00FD01BC">
              <w:rPr>
                <w:sz w:val="21"/>
                <w:szCs w:val="32"/>
              </w:rPr>
              <w:t>2,830</w:t>
            </w:r>
          </w:p>
        </w:tc>
      </w:tr>
      <w:tr w:rsidR="00E258B0" w:rsidRPr="00FD01BC" w14:paraId="022E0131" w14:textId="77777777" w:rsidTr="00E258B0">
        <w:trPr>
          <w:cantSplit/>
        </w:trPr>
        <w:tc>
          <w:tcPr>
            <w:cnfStyle w:val="001000000000" w:firstRow="0" w:lastRow="0" w:firstColumn="1" w:lastColumn="0" w:oddVBand="0" w:evenVBand="0" w:oddHBand="0" w:evenHBand="0" w:firstRowFirstColumn="0" w:firstRowLastColumn="0" w:lastRowFirstColumn="0" w:lastRowLastColumn="0"/>
            <w:tcW w:w="2466" w:type="dxa"/>
            <w:vAlign w:val="center"/>
          </w:tcPr>
          <w:p w14:paraId="73FB2031" w14:textId="77777777" w:rsidR="00E258B0" w:rsidRPr="00FD01BC" w:rsidRDefault="00FD01BC">
            <w:pPr>
              <w:spacing w:after="0"/>
              <w:rPr>
                <w:rFonts w:hint="eastAsia"/>
                <w:sz w:val="22"/>
                <w:szCs w:val="32"/>
              </w:rPr>
            </w:pPr>
            <w:r w:rsidRPr="00FD01BC">
              <w:rPr>
                <w:sz w:val="21"/>
                <w:szCs w:val="32"/>
              </w:rPr>
              <w:t>100%</w:t>
            </w:r>
          </w:p>
        </w:tc>
        <w:tc>
          <w:tcPr>
            <w:tcW w:w="2466" w:type="dxa"/>
            <w:vAlign w:val="center"/>
          </w:tcPr>
          <w:p w14:paraId="040EECD8"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0.899</w:t>
            </w:r>
          </w:p>
        </w:tc>
        <w:tc>
          <w:tcPr>
            <w:tcW w:w="2466" w:type="dxa"/>
            <w:vAlign w:val="center"/>
          </w:tcPr>
          <w:p w14:paraId="4BA0C374"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0.779</w:t>
            </w:r>
          </w:p>
        </w:tc>
        <w:tc>
          <w:tcPr>
            <w:tcW w:w="2466" w:type="dxa"/>
            <w:vAlign w:val="center"/>
          </w:tcPr>
          <w:p w14:paraId="717720B0" w14:textId="77777777" w:rsidR="00E258B0" w:rsidRPr="00FD01BC" w:rsidRDefault="00FD01BC">
            <w:pPr>
              <w:spacing w:after="0"/>
              <w:cnfStyle w:val="000000000000" w:firstRow="0" w:lastRow="0" w:firstColumn="0" w:lastColumn="0" w:oddVBand="0" w:evenVBand="0" w:oddHBand="0" w:evenHBand="0" w:firstRowFirstColumn="0" w:firstRowLastColumn="0" w:lastRowFirstColumn="0" w:lastRowLastColumn="0"/>
              <w:rPr>
                <w:rFonts w:hint="eastAsia"/>
                <w:sz w:val="22"/>
                <w:szCs w:val="32"/>
              </w:rPr>
            </w:pPr>
            <w:r w:rsidRPr="00FD01BC">
              <w:rPr>
                <w:sz w:val="21"/>
                <w:szCs w:val="32"/>
              </w:rPr>
              <w:t>2,867</w:t>
            </w:r>
          </w:p>
        </w:tc>
      </w:tr>
    </w:tbl>
    <w:p w14:paraId="39F07504" w14:textId="77777777" w:rsidR="00E258B0" w:rsidRPr="00FD01BC" w:rsidRDefault="00E258B0">
      <w:pPr>
        <w:spacing w:after="0"/>
        <w:rPr>
          <w:rFonts w:hint="eastAsia"/>
          <w:sz w:val="22"/>
          <w:szCs w:val="32"/>
        </w:rPr>
      </w:pPr>
    </w:p>
    <w:p w14:paraId="58C5E77B" w14:textId="77777777" w:rsidR="00E258B0" w:rsidRPr="00FD01BC" w:rsidRDefault="00FD01BC">
      <w:pPr>
        <w:spacing w:after="40"/>
        <w:jc w:val="center"/>
        <w:rPr>
          <w:rFonts w:hint="eastAsia"/>
          <w:sz w:val="22"/>
          <w:szCs w:val="32"/>
        </w:rPr>
      </w:pPr>
      <w:r w:rsidRPr="00FD01BC">
        <w:rPr>
          <w:noProof/>
          <w:sz w:val="22"/>
          <w:szCs w:val="32"/>
        </w:rPr>
        <w:drawing>
          <wp:inline distT="0" distB="0" distL="0" distR="0" wp14:anchorId="360F31E0" wp14:editId="7FF93D61">
            <wp:extent cx="5852160" cy="2044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gressive_model_comparison.png"/>
                    <pic:cNvPicPr/>
                  </pic:nvPicPr>
                  <pic:blipFill>
                    <a:blip r:embed="rId13"/>
                    <a:stretch>
                      <a:fillRect/>
                    </a:stretch>
                  </pic:blipFill>
                  <pic:spPr>
                    <a:xfrm>
                      <a:off x="0" y="0"/>
                      <a:ext cx="5852160" cy="2044731"/>
                    </a:xfrm>
                    <a:prstGeom prst="rect">
                      <a:avLst/>
                    </a:prstGeom>
                  </pic:spPr>
                </pic:pic>
              </a:graphicData>
            </a:graphic>
          </wp:inline>
        </w:drawing>
      </w:r>
    </w:p>
    <w:p w14:paraId="3B4E4009" w14:textId="77777777" w:rsidR="00E258B0" w:rsidRPr="00FD01BC" w:rsidRDefault="00FD01BC">
      <w:pPr>
        <w:pStyle w:val="af7"/>
        <w:jc w:val="center"/>
        <w:rPr>
          <w:rFonts w:hint="eastAsia"/>
          <w:sz w:val="21"/>
          <w:szCs w:val="22"/>
        </w:rPr>
      </w:pPr>
      <w:r w:rsidRPr="00FD01BC">
        <w:rPr>
          <w:sz w:val="21"/>
          <w:szCs w:val="22"/>
        </w:rPr>
        <w:t>Figure 5. Held-out performance of all three predictors as moves become available.</w:t>
      </w:r>
    </w:p>
    <w:p w14:paraId="43FB77C1" w14:textId="77777777" w:rsidR="00E258B0" w:rsidRPr="00FD01BC" w:rsidRDefault="00FD01BC">
      <w:pPr>
        <w:rPr>
          <w:rFonts w:hint="eastAsia"/>
          <w:sz w:val="22"/>
          <w:szCs w:val="32"/>
        </w:rPr>
      </w:pPr>
      <w:r w:rsidRPr="00FD01BC">
        <w:rPr>
          <w:sz w:val="22"/>
          <w:szCs w:val="32"/>
        </w:rPr>
        <w:t>The human-context model has the best normalised area under the 10–100% progress curve: 0.683 for accuracy and 0.541 for macro-F1, compared with 0.630/0.521 for the position-only HGB and 0.500/0.437 for direct WDL. Direct WDL performs particularly poorly early because balanced positions receive high engine draw probability, while only 4.6% of these human games are draws. At the final position it reaches 90.1% accuracy, showing that objective evidence eventually becomes decisive.</w:t>
      </w:r>
    </w:p>
    <w:p w14:paraId="212E02D4" w14:textId="77777777" w:rsidR="00E258B0" w:rsidRPr="00FD01BC" w:rsidRDefault="00FD01BC">
      <w:pPr>
        <w:spacing w:after="40"/>
        <w:jc w:val="center"/>
        <w:rPr>
          <w:rFonts w:hint="eastAsia"/>
          <w:sz w:val="22"/>
          <w:szCs w:val="32"/>
        </w:rPr>
      </w:pPr>
      <w:r w:rsidRPr="00FD01BC">
        <w:rPr>
          <w:noProof/>
          <w:sz w:val="22"/>
          <w:szCs w:val="32"/>
        </w:rPr>
        <w:drawing>
          <wp:inline distT="0" distB="0" distL="0" distR="0" wp14:anchorId="17B4BEBB" wp14:editId="0C05D597">
            <wp:extent cx="5486400" cy="2025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in_model_confusion_confidence.png"/>
                    <pic:cNvPicPr/>
                  </pic:nvPicPr>
                  <pic:blipFill>
                    <a:blip r:embed="rId14"/>
                    <a:stretch>
                      <a:fillRect/>
                    </a:stretch>
                  </pic:blipFill>
                  <pic:spPr>
                    <a:xfrm>
                      <a:off x="0" y="0"/>
                      <a:ext cx="5486400" cy="2025791"/>
                    </a:xfrm>
                    <a:prstGeom prst="rect">
                      <a:avLst/>
                    </a:prstGeom>
                  </pic:spPr>
                </pic:pic>
              </a:graphicData>
            </a:graphic>
          </wp:inline>
        </w:drawing>
      </w:r>
    </w:p>
    <w:p w14:paraId="7D2F3F13" w14:textId="77777777" w:rsidR="00E258B0" w:rsidRPr="00FD01BC" w:rsidRDefault="00FD01BC">
      <w:pPr>
        <w:pStyle w:val="af7"/>
        <w:jc w:val="center"/>
        <w:rPr>
          <w:rFonts w:hint="eastAsia"/>
          <w:sz w:val="21"/>
          <w:szCs w:val="22"/>
        </w:rPr>
      </w:pPr>
      <w:r w:rsidRPr="00FD01BC">
        <w:rPr>
          <w:sz w:val="21"/>
          <w:szCs w:val="22"/>
        </w:rPr>
        <w:t>Figure 6. Human-context HGB confusion matrix and confidence across pooled test snapshots.</w:t>
      </w:r>
    </w:p>
    <w:p w14:paraId="1893C7B9" w14:textId="77777777" w:rsidR="00E258B0" w:rsidRPr="00FD01BC" w:rsidRDefault="00FD01BC">
      <w:pPr>
        <w:rPr>
          <w:rFonts w:hint="eastAsia"/>
          <w:sz w:val="22"/>
          <w:szCs w:val="32"/>
        </w:rPr>
      </w:pPr>
      <w:r w:rsidRPr="00FD01BC">
        <w:rPr>
          <w:sz w:val="22"/>
          <w:szCs w:val="32"/>
        </w:rPr>
        <w:t>Across all in-game test snapshots, Black and White F1 scores are 0.708 and 0.722. Draw F1 remains lower at 0.206 because draws are rare and objective equality does not guarantee that human players will draw.</w:t>
      </w:r>
    </w:p>
    <w:p w14:paraId="7861B595" w14:textId="77777777" w:rsidR="00E258B0" w:rsidRPr="00FD01BC" w:rsidRDefault="00FD01BC">
      <w:pPr>
        <w:rPr>
          <w:rFonts w:hint="eastAsia"/>
          <w:sz w:val="22"/>
          <w:szCs w:val="32"/>
        </w:rPr>
      </w:pPr>
      <w:r w:rsidRPr="00FD01BC">
        <w:rPr>
          <w:sz w:val="22"/>
          <w:szCs w:val="32"/>
        </w:rPr>
        <w:br w:type="page"/>
      </w:r>
    </w:p>
    <w:p w14:paraId="578009DE" w14:textId="77777777" w:rsidR="00E258B0" w:rsidRPr="00FD01BC" w:rsidRDefault="00FD01BC">
      <w:pPr>
        <w:pStyle w:val="1"/>
        <w:rPr>
          <w:sz w:val="40"/>
          <w:szCs w:val="40"/>
        </w:rPr>
      </w:pPr>
      <w:r w:rsidRPr="00FD01BC">
        <w:rPr>
          <w:sz w:val="40"/>
          <w:szCs w:val="40"/>
        </w:rPr>
        <w:lastRenderedPageBreak/>
        <w:t>7. Discussion and Limitations</w:t>
      </w:r>
    </w:p>
    <w:p w14:paraId="6607637C" w14:textId="77777777" w:rsidR="00E258B0" w:rsidRPr="00FD01BC" w:rsidRDefault="00FD01BC">
      <w:pPr>
        <w:rPr>
          <w:rFonts w:hint="eastAsia"/>
          <w:sz w:val="22"/>
          <w:szCs w:val="32"/>
        </w:rPr>
      </w:pPr>
      <w:r w:rsidRPr="00FD01BC">
        <w:rPr>
          <w:sz w:val="22"/>
          <w:szCs w:val="32"/>
        </w:rPr>
        <w:t>Direct WDL is not a weak chess evaluation: it answers a different question. It estimates outcomes under engine-calibrated play, where early balanced positions are often draws. The dataset instead contains short online human games with few draws. The learned position model adapts engine evidence to this outcome distribution, and the controlled context addition then captures which player is more likely to convert or resist the evaluated position.</w:t>
      </w:r>
    </w:p>
    <w:p w14:paraId="44808415" w14:textId="77777777" w:rsidR="00E258B0" w:rsidRPr="00FD01BC" w:rsidRDefault="00FD01BC">
      <w:pPr>
        <w:rPr>
          <w:rFonts w:hint="eastAsia"/>
          <w:sz w:val="22"/>
          <w:szCs w:val="32"/>
        </w:rPr>
      </w:pPr>
      <w:r w:rsidRPr="00FD01BC">
        <w:rPr>
          <w:sz w:val="22"/>
          <w:szCs w:val="32"/>
        </w:rPr>
        <w:t>The comparison is deliberately small: it avoids adding a second learned-model family whose performance would confound representation, optimisation, and context. The resulting ablation answers the research question directly and keeps every feature explainable.</w:t>
      </w:r>
    </w:p>
    <w:p w14:paraId="1157F306" w14:textId="77777777" w:rsidR="00E258B0" w:rsidRPr="00FD01BC" w:rsidRDefault="00FD01BC">
      <w:pPr>
        <w:pStyle w:val="a0"/>
        <w:rPr>
          <w:rFonts w:hint="eastAsia"/>
          <w:sz w:val="22"/>
          <w:szCs w:val="32"/>
        </w:rPr>
      </w:pPr>
      <w:r w:rsidRPr="00FD01BC">
        <w:rPr>
          <w:sz w:val="22"/>
          <w:szCs w:val="32"/>
        </w:rPr>
        <w:t>The 1,000-node Stockfish budget favours reproducibility and speed over maximum analysis strength.</w:t>
      </w:r>
    </w:p>
    <w:p w14:paraId="7612D50A" w14:textId="77777777" w:rsidR="00E258B0" w:rsidRPr="00FD01BC" w:rsidRDefault="00FD01BC">
      <w:pPr>
        <w:pStyle w:val="a0"/>
        <w:rPr>
          <w:rFonts w:hint="eastAsia"/>
          <w:sz w:val="22"/>
          <w:szCs w:val="32"/>
        </w:rPr>
      </w:pPr>
      <w:r w:rsidRPr="00FD01BC">
        <w:rPr>
          <w:sz w:val="22"/>
          <w:szCs w:val="32"/>
        </w:rPr>
        <w:t>Stockfish WDL is based on engine play, not rating- and time-specific human behaviour.</w:t>
      </w:r>
    </w:p>
    <w:p w14:paraId="4B83D2C0" w14:textId="77777777" w:rsidR="00E258B0" w:rsidRPr="00FD01BC" w:rsidRDefault="00FD01BC">
      <w:pPr>
        <w:pStyle w:val="a0"/>
        <w:rPr>
          <w:rFonts w:hint="eastAsia"/>
          <w:sz w:val="22"/>
          <w:szCs w:val="32"/>
        </w:rPr>
      </w:pPr>
      <w:r w:rsidRPr="00FD01BC">
        <w:rPr>
          <w:sz w:val="22"/>
          <w:szCs w:val="32"/>
        </w:rPr>
        <w:t>Per-move clocks are unavailable, which limits timeout prediction.</w:t>
      </w:r>
    </w:p>
    <w:p w14:paraId="1B38DBCE" w14:textId="77777777" w:rsidR="00E258B0" w:rsidRPr="00FD01BC" w:rsidRDefault="00FD01BC">
      <w:pPr>
        <w:pStyle w:val="a0"/>
        <w:rPr>
          <w:rFonts w:hint="eastAsia"/>
          <w:sz w:val="22"/>
          <w:szCs w:val="32"/>
        </w:rPr>
      </w:pPr>
      <w:r w:rsidRPr="00FD01BC">
        <w:rPr>
          <w:sz w:val="22"/>
          <w:szCs w:val="32"/>
        </w:rPr>
        <w:t>Random game-level splitting does not measure temporal drift or fully unseen-player performance.</w:t>
      </w:r>
    </w:p>
    <w:p w14:paraId="6F552F52" w14:textId="77777777" w:rsidR="00E258B0" w:rsidRPr="00FD01BC" w:rsidRDefault="00FD01BC">
      <w:pPr>
        <w:pStyle w:val="a0"/>
        <w:rPr>
          <w:rFonts w:hint="eastAsia"/>
          <w:sz w:val="22"/>
          <w:szCs w:val="32"/>
        </w:rPr>
      </w:pPr>
      <w:r w:rsidRPr="00FD01BC">
        <w:rPr>
          <w:sz w:val="22"/>
          <w:szCs w:val="32"/>
        </w:rPr>
        <w:t>Percentage checkpoints are retrospective reporting positions; deployed inference uses current ply.</w:t>
      </w:r>
    </w:p>
    <w:p w14:paraId="3205538D" w14:textId="77777777" w:rsidR="00E258B0" w:rsidRPr="00FD01BC" w:rsidRDefault="00FD01BC">
      <w:pPr>
        <w:pStyle w:val="1"/>
        <w:rPr>
          <w:sz w:val="40"/>
          <w:szCs w:val="40"/>
        </w:rPr>
      </w:pPr>
      <w:r w:rsidRPr="00FD01BC">
        <w:rPr>
          <w:sz w:val="40"/>
          <w:szCs w:val="40"/>
        </w:rPr>
        <w:t>8. Conclusion</w:t>
      </w:r>
    </w:p>
    <w:p w14:paraId="11631E52" w14:textId="77777777" w:rsidR="00E258B0" w:rsidRPr="00FD01BC" w:rsidRDefault="00FD01BC">
      <w:pPr>
        <w:rPr>
          <w:rFonts w:hint="eastAsia"/>
          <w:sz w:val="22"/>
          <w:szCs w:val="32"/>
        </w:rPr>
      </w:pPr>
      <w:r w:rsidRPr="00FD01BC">
        <w:rPr>
          <w:sz w:val="22"/>
          <w:szCs w:val="32"/>
        </w:rPr>
        <w:t>The experiment shows that a strong strategy engine and a human-outcome predictor are not interchangeable. Direct Stockfish WDL is informative but mismatched to this human population, especially early in a game. Learning from the same position evidence improves the mapping, and adding pre-match context produces a further controlled gain of 5.4 accuracy points and 2.5 macro-F1 points. The main model rises from 52.3% accuracy before play to 89.9% at the final recorded position. A compact combination of objecti</w:t>
      </w:r>
      <w:r w:rsidRPr="00FD01BC">
        <w:rPr>
          <w:sz w:val="22"/>
          <w:szCs w:val="32"/>
        </w:rPr>
        <w:t>ve board strength and human context is therefore the clearest and best-performing solution for this dataset.</w:t>
      </w:r>
    </w:p>
    <w:p w14:paraId="228ED7F4" w14:textId="77777777" w:rsidR="00E258B0" w:rsidRPr="00FD01BC" w:rsidRDefault="00FD01BC">
      <w:pPr>
        <w:pStyle w:val="1"/>
        <w:rPr>
          <w:sz w:val="40"/>
          <w:szCs w:val="40"/>
        </w:rPr>
      </w:pPr>
      <w:r w:rsidRPr="00FD01BC">
        <w:rPr>
          <w:sz w:val="40"/>
          <w:szCs w:val="40"/>
        </w:rPr>
        <w:t>9. Generative AI Use Declaration</w:t>
      </w:r>
    </w:p>
    <w:p w14:paraId="5CFF6CE7" w14:textId="77777777" w:rsidR="00E258B0" w:rsidRPr="00FD01BC" w:rsidRDefault="00FD01BC">
      <w:pPr>
        <w:rPr>
          <w:rFonts w:hint="eastAsia"/>
          <w:sz w:val="22"/>
          <w:szCs w:val="32"/>
        </w:rPr>
      </w:pPr>
      <w:r w:rsidRPr="00FD01BC">
        <w:rPr>
          <w:sz w:val="22"/>
          <w:szCs w:val="32"/>
        </w:rPr>
        <w:t>OpenAI Codex was used to assist with structuring the analysis, drafting Python code, debugging, and language editing for the notebook, report, and README. The project authors reviewed and validated all generated content, methodological decisions, code execution, numerical results, references, and interpretations, and retain full responsibility for the submitted work. No generative-AI-produced observations, outcomes, or labels were added to the dataset.</w:t>
      </w:r>
    </w:p>
    <w:p w14:paraId="4E01BBC6" w14:textId="77777777" w:rsidR="00E258B0" w:rsidRPr="00FD01BC" w:rsidRDefault="00FD01BC">
      <w:pPr>
        <w:rPr>
          <w:rFonts w:hint="eastAsia"/>
          <w:sz w:val="22"/>
          <w:szCs w:val="32"/>
        </w:rPr>
      </w:pPr>
      <w:r w:rsidRPr="00FD01BC">
        <w:rPr>
          <w:sz w:val="22"/>
          <w:szCs w:val="32"/>
        </w:rPr>
        <w:br w:type="page"/>
      </w:r>
    </w:p>
    <w:p w14:paraId="338D7D50" w14:textId="77777777" w:rsidR="00E258B0" w:rsidRPr="00FD01BC" w:rsidRDefault="00FD01BC">
      <w:pPr>
        <w:pStyle w:val="1"/>
        <w:rPr>
          <w:sz w:val="40"/>
          <w:szCs w:val="40"/>
        </w:rPr>
      </w:pPr>
      <w:r w:rsidRPr="00FD01BC">
        <w:rPr>
          <w:sz w:val="40"/>
          <w:szCs w:val="40"/>
        </w:rPr>
        <w:lastRenderedPageBreak/>
        <w:t>References</w:t>
      </w:r>
    </w:p>
    <w:p w14:paraId="560D2C7E" w14:textId="77777777" w:rsidR="00E258B0" w:rsidRPr="00FD01BC" w:rsidRDefault="00FD01BC">
      <w:pPr>
        <w:spacing w:after="120"/>
        <w:ind w:left="312" w:hanging="312"/>
        <w:rPr>
          <w:rFonts w:hint="eastAsia"/>
          <w:sz w:val="22"/>
          <w:szCs w:val="32"/>
        </w:rPr>
      </w:pPr>
      <w:r w:rsidRPr="00FD01BC">
        <w:rPr>
          <w:sz w:val="22"/>
          <w:szCs w:val="32"/>
        </w:rPr>
        <w:t>[1] datasnaek. Chess Game Dataset (Lichess). Kaggle. https://www.kaggle.com/datasets/datasnaek/chess (accessed 26 October 2026).</w:t>
      </w:r>
    </w:p>
    <w:p w14:paraId="5270D416" w14:textId="77777777" w:rsidR="00E258B0" w:rsidRPr="00FD01BC" w:rsidRDefault="00FD01BC">
      <w:pPr>
        <w:spacing w:after="120"/>
        <w:ind w:left="312" w:hanging="312"/>
        <w:rPr>
          <w:rFonts w:hint="eastAsia"/>
          <w:sz w:val="22"/>
          <w:szCs w:val="32"/>
        </w:rPr>
      </w:pPr>
      <w:r w:rsidRPr="00FD01BC">
        <w:rPr>
          <w:sz w:val="22"/>
          <w:szCs w:val="32"/>
        </w:rPr>
        <w:t>[2] Niklas Fiekas. python-chess engine documentation. https://python-chess.readthedocs.io/en/latest/engine.html (accessed 26 October 2026).</w:t>
      </w:r>
    </w:p>
    <w:p w14:paraId="4D852290" w14:textId="77777777" w:rsidR="00E258B0" w:rsidRPr="00FD01BC" w:rsidRDefault="00FD01BC">
      <w:pPr>
        <w:spacing w:after="120"/>
        <w:ind w:left="312" w:hanging="312"/>
        <w:rPr>
          <w:rFonts w:hint="eastAsia"/>
          <w:sz w:val="22"/>
          <w:szCs w:val="32"/>
        </w:rPr>
      </w:pPr>
      <w:r w:rsidRPr="00FD01BC">
        <w:rPr>
          <w:sz w:val="22"/>
          <w:szCs w:val="32"/>
        </w:rPr>
        <w:t>[3] Stockfish developers. Stockfish 19 and Stockfish documentation. https://stockfishchess.org/download/ and https://official-stockfish.github.io/docs/ (accessed 26 October 2026).</w:t>
      </w:r>
    </w:p>
    <w:p w14:paraId="078BCE99" w14:textId="77777777" w:rsidR="00E258B0" w:rsidRPr="00FD01BC" w:rsidRDefault="00FD01BC">
      <w:pPr>
        <w:spacing w:after="120"/>
        <w:ind w:left="312" w:hanging="312"/>
        <w:rPr>
          <w:rFonts w:hint="eastAsia"/>
          <w:sz w:val="22"/>
          <w:szCs w:val="32"/>
        </w:rPr>
      </w:pPr>
      <w:r w:rsidRPr="00FD01BC">
        <w:rPr>
          <w:sz w:val="22"/>
          <w:szCs w:val="32"/>
        </w:rPr>
        <w:t>[4] scikit-learn developers. HistGradientBoostingClassifier documentation. https://scikit-learn.org/stable/modules/generated/sklearn.ensemble.HistGradientBoostingClassifier.html (accessed 26 October 2026).</w:t>
      </w:r>
    </w:p>
    <w:sectPr w:rsidR="00E258B0" w:rsidRPr="00FD01BC" w:rsidSect="00034616">
      <w:headerReference w:type="default" r:id="rId15"/>
      <w:footerReference w:type="default" r:id="rId16"/>
      <w:pgSz w:w="11906" w:h="16838"/>
      <w:pgMar w:top="964" w:right="1020" w:bottom="90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33737" w14:textId="77777777" w:rsidR="00FD01BC" w:rsidRDefault="00FD01BC">
      <w:pPr>
        <w:spacing w:after="0" w:line="240" w:lineRule="auto"/>
        <w:rPr>
          <w:rFonts w:hint="eastAsia"/>
        </w:rPr>
      </w:pPr>
      <w:r>
        <w:separator/>
      </w:r>
    </w:p>
  </w:endnote>
  <w:endnote w:type="continuationSeparator" w:id="0">
    <w:p w14:paraId="4513719E" w14:textId="77777777" w:rsidR="00FD01BC" w:rsidRDefault="00FD01B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FCA0" w14:textId="77777777" w:rsidR="00E258B0" w:rsidRDefault="00FD01BC">
    <w:pPr>
      <w:pStyle w:val="a7"/>
      <w:jc w:val="center"/>
      <w:rPr>
        <w:rFonts w:hint="eastAsia"/>
      </w:rP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9CAF3" w14:textId="77777777" w:rsidR="00FD01BC" w:rsidRDefault="00FD01BC">
      <w:pPr>
        <w:spacing w:after="0" w:line="240" w:lineRule="auto"/>
        <w:rPr>
          <w:rFonts w:hint="eastAsia"/>
        </w:rPr>
      </w:pPr>
      <w:r>
        <w:separator/>
      </w:r>
    </w:p>
  </w:footnote>
  <w:footnote w:type="continuationSeparator" w:id="0">
    <w:p w14:paraId="64A1D7A4" w14:textId="77777777" w:rsidR="00FD01BC" w:rsidRDefault="00FD01B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4197" w14:textId="77777777" w:rsidR="00E258B0" w:rsidRDefault="00FD01BC">
    <w:pPr>
      <w:pStyle w:val="a5"/>
      <w:jc w:val="right"/>
      <w:rPr>
        <w:rFonts w:hint="eastAsia"/>
      </w:rPr>
    </w:pPr>
    <w:r>
      <w:rPr>
        <w:color w:val="5F5F5F"/>
        <w:sz w:val="16"/>
      </w:rPr>
      <w:t>CA</w:t>
    </w:r>
    <w:proofErr w:type="gramStart"/>
    <w:r>
      <w:rPr>
        <w:color w:val="5F5F5F"/>
        <w:sz w:val="16"/>
      </w:rPr>
      <w:t>6001  |</w:t>
    </w:r>
    <w:proofErr w:type="gramEnd"/>
    <w:r>
      <w:rPr>
        <w:color w:val="5F5F5F"/>
        <w:sz w:val="16"/>
      </w:rPr>
      <w:t xml:space="preserve">  Human-Context Chess Outcome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4714627">
    <w:abstractNumId w:val="8"/>
  </w:num>
  <w:num w:numId="2" w16cid:durableId="944965591">
    <w:abstractNumId w:val="6"/>
  </w:num>
  <w:num w:numId="3" w16cid:durableId="271792398">
    <w:abstractNumId w:val="5"/>
  </w:num>
  <w:num w:numId="4" w16cid:durableId="570626173">
    <w:abstractNumId w:val="4"/>
  </w:num>
  <w:num w:numId="5" w16cid:durableId="819468945">
    <w:abstractNumId w:val="7"/>
  </w:num>
  <w:num w:numId="6" w16cid:durableId="654845117">
    <w:abstractNumId w:val="3"/>
  </w:num>
  <w:num w:numId="7" w16cid:durableId="58751895">
    <w:abstractNumId w:val="2"/>
  </w:num>
  <w:num w:numId="8" w16cid:durableId="1387948684">
    <w:abstractNumId w:val="1"/>
  </w:num>
  <w:num w:numId="9" w16cid:durableId="186693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3742"/>
    <w:rsid w:val="00B47730"/>
    <w:rsid w:val="00CB0664"/>
    <w:rsid w:val="00E258B0"/>
    <w:rsid w:val="00FC693F"/>
    <w:rsid w:val="00FD01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0A207"/>
  <w14:defaultImageDpi w14:val="300"/>
  <w15:docId w15:val="{07B77E0C-32C4-4DC8-9D17-03DA91EA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63A5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6D7A"/>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i/>
      <w:color w:val="4F81BD" w:themeColor="accent1"/>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2097</Words>
  <Characters>11955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Human-Context Chess Outcome Prediction</dc:title>
  <dc:subject>CA6001 Final Report</dc:subject>
  <dc:creator>CA6001 Project Team</dc:creator>
  <cp:keywords/>
  <dc:description>generated by python-docx</dc:description>
  <cp:lastModifiedBy>Gu shucheng</cp:lastModifiedBy>
  <cp:revision>2</cp:revision>
  <dcterms:created xsi:type="dcterms:W3CDTF">2013-12-23T23:15:00Z</dcterms:created>
  <dcterms:modified xsi:type="dcterms:W3CDTF">2026-10-26T13:35:00Z</dcterms:modified>
  <cp:category/>
</cp:coreProperties>
</file>