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 Black" w:cs="Arial Black" w:eastAsia="Arial Black" w:hAnsi="Arial Black"/>
          <w:color w:val="E3DAC9"/>
          <w:sz w:val="96"/>
          <w:szCs w:val="96"/>
        </w:rPr>
        <w:t xml:space="preserve">PROCESS</w:t>
      </w:r>
    </w:p>
    <w:p>
      <w:pPr>
        <w:jc w:val="center"/>
      </w:pPr>
      <w:r>
        <w:rPr>
          <w:rFonts w:ascii="Arial Black" w:cs="Arial Black" w:eastAsia="Arial Black" w:hAnsi="Arial Black"/>
          <w:color w:val="722F37"/>
          <w:sz w:val="96"/>
          <w:szCs w:val="96"/>
        </w:rPr>
        <w:t xml:space="preserve">SUPREME</w:t>
      </w:r>
    </w:p>
    <w:p>
      <w:pPr>
        <w:spacing w:before="100"/>
        <w:jc w:val="center"/>
      </w:pPr>
      <w:r>
        <w:rPr>
          <w:color w:val="722F37"/>
          <w:sz w:val="24"/>
          <w:szCs w:val="24"/>
        </w:rPr>
        <w:t xml:space="preserve">_______________________________________________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4A4A4A"/>
          <w:sz w:val="36"/>
          <w:szCs w:val="36"/>
        </w:rPr>
        <w:t xml:space="preserve">BRAND GUIDELINES</w:t>
      </w:r>
    </w:p>
    <w:p>
      <w:pPr>
        <w:spacing w:before="200"/>
        <w:jc w:val="center"/>
      </w:pPr>
      <w:r>
        <w:rPr>
          <w:rFonts w:ascii="Courier New" w:cs="Courier New" w:eastAsia="Courier New" w:hAnsi="Courier New"/>
          <w:color w:val="4A4A4A"/>
          <w:sz w:val="20"/>
          <w:szCs w:val="20"/>
        </w:rPr>
        <w:t xml:space="preserve">Version 1.0.0</w:t>
      </w:r>
    </w:p>
    <w:p>
      <w:pPr>
        <w:spacing w:before="2000"/>
      </w:pPr>
    </w:p>
    <w:p>
      <w:pPr>
        <w:jc w:val="center"/>
      </w:pPr>
      <w:r>
        <w:rPr>
          <w:rFonts w:ascii="Courier New" w:cs="Courier New" w:eastAsia="Courier New" w:hAnsi="Courier New"/>
          <w:color w:val="4A4A4A"/>
          <w:sz w:val="24"/>
          <w:szCs w:val="24"/>
        </w:rPr>
        <w:t xml:space="preserve">run</w:t>
      </w:r>
      <w:r>
        <w:rPr>
          <w:rFonts w:ascii="Courier New" w:cs="Courier New" w:eastAsia="Courier New" w:hAnsi="Courier New"/>
          <w:color w:val="722F37"/>
          <w:sz w:val="24"/>
          <w:szCs w:val="24"/>
        </w:rPr>
        <w:t xml:space="preserve">_process</w:t>
      </w:r>
      <w:r>
        <w:rPr>
          <w:rFonts w:ascii="Courier New" w:cs="Courier New" w:eastAsia="Courier New" w:hAnsi="Courier New"/>
          <w:color w:val="E3DAC9"/>
          <w:sz w:val="24"/>
          <w:szCs w:val="24"/>
        </w:rPr>
        <w:t xml:space="preserve">_supreme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color w:val="722F37"/>
        </w:rPr>
        <w:t xml:space="preserve">Contents</w:t>
      </w:r>
    </w:p>
    <w:p>
      <w:pPr>
        <w:spacing w:before="400"/>
      </w:pPr>
    </w:p>
    <w:p>
      <w:r>
        <w:rPr>
          <w:sz w:val="24"/>
          <w:szCs w:val="24"/>
        </w:rPr>
        <w:t xml:space="preserve">01  Brand Story</w:t>
      </w:r>
    </w:p>
    <w:p>
      <w:r>
        <w:rPr>
          <w:sz w:val="24"/>
          <w:szCs w:val="24"/>
        </w:rPr>
        <w:t xml:space="preserve">02  Logo System</w:t>
      </w:r>
    </w:p>
    <w:p>
      <w:r>
        <w:rPr>
          <w:sz w:val="24"/>
          <w:szCs w:val="24"/>
        </w:rPr>
        <w:t xml:space="preserve">03  Color Palette</w:t>
      </w:r>
    </w:p>
    <w:p>
      <w:r>
        <w:rPr>
          <w:sz w:val="24"/>
          <w:szCs w:val="24"/>
        </w:rPr>
        <w:t xml:space="preserve">04  Typography</w:t>
      </w:r>
    </w:p>
    <w:p>
      <w:r>
        <w:rPr>
          <w:sz w:val="24"/>
          <w:szCs w:val="24"/>
        </w:rPr>
        <w:t xml:space="preserve">05  Logo Usage</w:t>
      </w:r>
    </w:p>
    <w:p>
      <w:r>
        <w:rPr>
          <w:sz w:val="24"/>
          <w:szCs w:val="24"/>
        </w:rPr>
        <w:t xml:space="preserve">06  Clear Space &amp; Minimum Size</w:t>
      </w:r>
    </w:p>
    <w:p>
      <w:r>
        <w:rPr>
          <w:sz w:val="24"/>
          <w:szCs w:val="24"/>
        </w:rPr>
        <w:t xml:space="preserve">07  Incorrect Usage</w:t>
      </w:r>
    </w:p>
    <w:p>
      <w:r>
        <w:rPr>
          <w:sz w:val="24"/>
          <w:szCs w:val="24"/>
        </w:rPr>
        <w:t xml:space="preserve">08  File Formats &amp; Assets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Courier New" w:cs="Courier New" w:eastAsia="Courier New" w:hAnsi="Courier New"/>
          <w:color w:val="4A4A4A"/>
          <w:sz w:val="20"/>
          <w:szCs w:val="20"/>
        </w:rPr>
        <w:t xml:space="preserve">01</w:t>
      </w:r>
    </w:p>
    <w:p>
      <w:pPr>
        <w:pStyle w:val="Heading1"/>
      </w:pPr>
      <w:r>
        <w:rPr>
          <w:color w:val="722F37"/>
        </w:rPr>
        <w:t xml:space="preserve">Brand Story</w:t>
      </w:r>
    </w:p>
    <w:p>
      <w:pPr>
        <w:spacing w:before="400"/>
      </w:pPr>
    </w:p>
    <w:p>
      <w:pPr>
        <w:spacing w:after="200"/>
      </w:pPr>
      <w:r>
        <w:rPr>
          <w:b/>
          <w:bCs/>
        </w:rPr>
        <w:t xml:space="preserve">Process Supreme</w:t>
      </w:r>
      <w:r>
        <w:t xml:space="preserve"> is an automation company built by operators, for operators. We believe in the quiet confidence of systems that just work—the obsessive attention to detail that transforms chaos into clarity.</w:t>
      </w:r>
    </w:p>
    <w:p>
      <w:pPr>
        <w:spacing w:after="200"/>
      </w:pPr>
      <w:r>
        <w:t xml:space="preserve">Our name carries dual meaning: </w:t>
      </w:r>
      <w:r>
        <w:rPr>
          <w:b/>
          <w:bCs/>
          <w:color w:val="722F37"/>
        </w:rPr>
        <w:t xml:space="preserve">Process</w:t>
      </w:r>
      <w:r>
        <w:t xml:space="preserve"> represents the systems and workflows we build, while </w:t>
      </w:r>
      <w:r>
        <w:rPr>
          <w:b/>
          <w:bCs/>
          <w:color w:val="722F37"/>
        </w:rPr>
        <w:t xml:space="preserve">Supreme</w:t>
      </w:r>
      <w:r>
        <w:t xml:space="preserve"> reflects our standard of excellence. Together, they speak to mastery through methodology.</w:t>
      </w:r>
    </w:p>
    <w:p>
      <w:pPr>
        <w:spacing w:after="200"/>
      </w:pPr>
      <w:r>
        <w:t xml:space="preserve">The </w:t>
      </w:r>
      <w:r>
        <w:rPr>
          <w:b/>
          <w:bCs/>
          <w:color w:val="722F37"/>
        </w:rPr>
        <w:t xml:space="preserve">PS,</w:t>
      </w:r>
      <w:r>
        <w:t xml:space="preserve"> mark functions as a signature—a postscript that says "we were here." It's the mark of approval, the sign-off on work well done. </w:t>
      </w:r>
      <w:r>
        <w:rPr>
          <w:i/>
          <w:iCs/>
        </w:rPr>
        <w:t xml:space="preserve">PS, We Love You.</w:t>
      </w:r>
    </w:p>
    <w:p>
      <w:pPr>
        <w:spacing w:before="400"/>
      </w:pPr>
    </w:p>
    <w:p>
      <w:pPr>
        <w:pStyle w:val="Heading3"/>
      </w:pPr>
      <w:r>
        <w:t xml:space="preserve">Brand Attributes</w:t>
      </w:r>
    </w:p>
    <w:p>
      <w:pPr>
        <w:spacing w:after="100"/>
      </w:pPr>
      <w:r>
        <w:t xml:space="preserve">• Sophisticated yet approachable</w:t>
      </w:r>
    </w:p>
    <w:p>
      <w:pPr>
        <w:spacing w:after="100"/>
      </w:pPr>
      <w:r>
        <w:t xml:space="preserve">• Technical precision with human warmth</w:t>
      </w:r>
    </w:p>
    <w:p>
      <w:pPr>
        <w:spacing w:after="100"/>
      </w:pPr>
      <w:r>
        <w:t xml:space="preserve">• Quiet confidence, not loud bravado</w:t>
      </w:r>
    </w:p>
    <w:p>
      <w:pPr>
        <w:spacing w:after="100"/>
      </w:pPr>
      <w:r>
        <w:t xml:space="preserve">• Modern systems thinking with timeless design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Courier New" w:cs="Courier New" w:eastAsia="Courier New" w:hAnsi="Courier New"/>
          <w:color w:val="4A4A4A"/>
          <w:sz w:val="20"/>
          <w:szCs w:val="20"/>
        </w:rPr>
        <w:t xml:space="preserve">02</w:t>
      </w:r>
    </w:p>
    <w:p>
      <w:pPr>
        <w:pStyle w:val="Heading1"/>
      </w:pPr>
      <w:r>
        <w:rPr>
          <w:color w:val="722F37"/>
        </w:rPr>
        <w:t xml:space="preserve">Logo System</w:t>
      </w:r>
    </w:p>
    <w:p>
      <w:pPr>
        <w:spacing w:before="300"/>
      </w:pPr>
    </w:p>
    <w:p>
      <w:pPr>
        <w:spacing w:after="200"/>
      </w:pPr>
      <w:r>
        <w:t xml:space="preserve">The Process Supreme identity consists of four primary logo formats, each serving different applications and contexts.</w:t>
      </w:r>
    </w:p>
    <w:p>
      <w:pPr>
        <w:spacing w:before="300"/>
      </w:pPr>
    </w:p>
    <w:p>
      <w:pPr>
        <w:pStyle w:val="Heading2"/>
      </w:pPr>
      <w:r>
        <w:t xml:space="preserve">Primary Logos</w:t>
      </w:r>
    </w:p>
    <w:p>
      <w:pPr>
        <w:spacing w:before="200"/>
      </w:pPr>
    </w:p>
    <w:p>
      <w:pPr>
        <w:pStyle w:val="Heading3"/>
      </w:pPr>
      <w:r>
        <w:t xml:space="preserve">1. Stacked Wordmark with Terminal</w:t>
      </w:r>
    </w:p>
    <w:p>
      <w:pPr>
        <w:spacing w:after="200"/>
      </w:pPr>
      <w:r>
        <w:t xml:space="preserve">The flagship logo. Features the stacked PROCESS SUPREME wordmark with underline and terminal command beneath. Use for primary brand applications, website headers, and formal communications.</w:t>
      </w:r>
    </w:p>
    <w:p>
      <w:pPr>
        <w:spacing w:after="200"/>
      </w:pPr>
      <w:r>
        <w:rPr>
          <w:b/>
          <w:bCs/>
        </w:rPr>
        <w:t xml:space="preserve">Components: </w:t>
      </w:r>
      <w:r>
        <w:t xml:space="preserve">PROCESS (Bone) / SUPREME (Wine) / Underline (Wine) / run_process_supreme (Grey/Wine/Bone)</w:t>
      </w:r>
    </w:p>
    <w:p>
      <w:pPr>
        <w:spacing w:before="200"/>
      </w:pPr>
    </w:p>
    <w:p>
      <w:pPr>
        <w:pStyle w:val="Heading3"/>
      </w:pPr>
      <w:r>
        <w:t xml:space="preserve">2. Terminal Wordmark</w:t>
      </w:r>
    </w:p>
    <w:p>
      <w:pPr>
        <w:spacing w:after="200"/>
      </w:pPr>
      <w:r>
        <w:t xml:space="preserve">A horizontal, code-inspired lockup: </w:t>
      </w:r>
      <w:r>
        <w:rPr>
          <w:rFonts w:ascii="Courier New" w:cs="Courier New" w:eastAsia="Courier New" w:hAnsi="Courier New"/>
          <w:color w:val="4A4A4A"/>
        </w:rPr>
        <w:t xml:space="preserve">run process_supreme</w:t>
      </w:r>
      <w:r>
        <w:t xml:space="preserve">. Ideal for technical contexts, developer-facing materials, and horizontal space constraints.</w:t>
      </w:r>
    </w:p>
    <w:p>
      <w:pPr>
        <w:spacing w:before="200"/>
      </w:pPr>
    </w:p>
    <w:p>
      <w:pPr>
        <w:pStyle w:val="Heading3"/>
      </w:pPr>
      <w:r>
        <w:t xml:space="preserve">3. Circle Mark — Wine Fill</w:t>
      </w:r>
    </w:p>
    <w:p>
      <w:pPr>
        <w:spacing w:after="200"/>
      </w:pPr>
      <w:r>
        <w:t xml:space="preserve">Solid wine circle containing PROCESS SUPREME stacked in bone. Primary icon for social media profiles, favicons, and compact applications on dark backgrounds.</w:t>
      </w:r>
    </w:p>
    <w:p>
      <w:pPr>
        <w:spacing w:before="200"/>
      </w:pPr>
    </w:p>
    <w:p>
      <w:pPr>
        <w:pStyle w:val="Heading3"/>
      </w:pPr>
      <w:r>
        <w:t xml:space="preserve">4. Circle Mark — Bone Fill (Inverted)</w:t>
      </w:r>
    </w:p>
    <w:p>
      <w:pPr>
        <w:spacing w:after="200"/>
      </w:pPr>
      <w:r>
        <w:t xml:space="preserve">Solid bone circle containing PROCESS SUPREME stacked in wine. Use on light backgrounds or when wine fill lacks sufficient contrast.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Courier New" w:cs="Courier New" w:eastAsia="Courier New" w:hAnsi="Courier New"/>
          <w:color w:val="4A4A4A"/>
          <w:sz w:val="20"/>
          <w:szCs w:val="20"/>
        </w:rPr>
        <w:t xml:space="preserve">03</w:t>
      </w:r>
    </w:p>
    <w:p>
      <w:pPr>
        <w:pStyle w:val="Heading1"/>
      </w:pPr>
      <w:r>
        <w:rPr>
          <w:color w:val="722F37"/>
        </w:rPr>
        <w:t xml:space="preserve">Color Palette</w:t>
      </w:r>
    </w:p>
    <w:p>
      <w:pPr>
        <w:spacing w:before="400"/>
      </w:pPr>
    </w:p>
    <w:p>
      <w:pPr>
        <w:pStyle w:val="Heading2"/>
      </w:pPr>
      <w:r>
        <w:t xml:space="preserve">Primary Palette: Wine + Bone</w:t>
      </w:r>
    </w:p>
    <w:p>
      <w:pPr>
        <w:spacing w:before="200" w:after="200"/>
      </w:pPr>
      <w:r>
        <w:t xml:space="preserve">The primary palette pairs sophisticated wine red with warm bone, creating a refined contrast that feels both modern and timeless.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22F37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#722F37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RGB: 114, 47, 55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DAC9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0A0A"/>
                <w:sz w:val="20"/>
                <w:szCs w:val="20"/>
              </w:rPr>
              <w:t xml:space="preserve">BONE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#E3DAC9</w:t>
            </w:r>
          </w:p>
          <w:p>
            <w:pPr>
              <w:jc w:val="center"/>
            </w:pPr>
            <w:r>
              <w:rPr>
                <w:color w:val="0A0A0A"/>
                <w:sz w:val="16"/>
                <w:szCs w:val="16"/>
              </w:rPr>
              <w:t xml:space="preserve">RGB: 227, 218, 201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BLACK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#0A0A0A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RGB: 10, 10, 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GREY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#4A4A4A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RGB: 74, 74, 74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Secondary Palette: Wine + Warm Grey</w:t>
      </w:r>
    </w:p>
    <w:p>
      <w:pPr>
        <w:spacing w:before="200" w:after="200"/>
      </w:pPr>
      <w:r>
        <w:t xml:space="preserve">An alternative palette for more muted applications. Warm grey provides subtler contrast while maintaining brand recognition.</w:t>
      </w: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22F37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#722F37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89F91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0A0A"/>
                <w:sz w:val="20"/>
                <w:szCs w:val="20"/>
              </w:rPr>
              <w:t xml:space="preserve">WARM GREY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#A89F91</w:t>
            </w:r>
          </w:p>
        </w:tc>
      </w:tr>
    </w:tbl>
    <w:p>
      <w:pPr>
        <w:spacing w:before="400"/>
      </w:pPr>
    </w:p>
    <w:p>
      <w:pPr>
        <w:pStyle w:val="Heading3"/>
      </w:pPr>
      <w:r>
        <w:t xml:space="preserve">Color Usage Guidelines</w:t>
      </w:r>
    </w:p>
    <w:p>
      <w:pPr>
        <w:spacing w:after="100"/>
      </w:pPr>
      <w:r>
        <w:t xml:space="preserve">• Wine is the primary brand accent—use for emphasis, CTAs, and key elements</w:t>
      </w:r>
    </w:p>
    <w:p>
      <w:pPr>
        <w:spacing w:after="100"/>
      </w:pPr>
      <w:r>
        <w:t xml:space="preserve">• Bone/Warm Grey for primary text on dark backgrounds</w:t>
      </w:r>
    </w:p>
    <w:p>
      <w:pPr>
        <w:spacing w:after="100"/>
      </w:pPr>
      <w:r>
        <w:t xml:space="preserve">• Black (#0A0A0A) as the primary background color</w:t>
      </w:r>
    </w:p>
    <w:p>
      <w:pPr>
        <w:spacing w:after="100"/>
      </w:pPr>
      <w:r>
        <w:t xml:space="preserve">• Grey (#4A4A4A) for secondary/supporting text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Courier New" w:cs="Courier New" w:eastAsia="Courier New" w:hAnsi="Courier New"/>
          <w:color w:val="4A4A4A"/>
          <w:sz w:val="20"/>
          <w:szCs w:val="20"/>
        </w:rPr>
        <w:t xml:space="preserve">04</w:t>
      </w:r>
    </w:p>
    <w:p>
      <w:pPr>
        <w:pStyle w:val="Heading1"/>
      </w:pPr>
      <w:r>
        <w:rPr>
          <w:color w:val="722F37"/>
        </w:rPr>
        <w:t xml:space="preserve">Typography</w:t>
      </w:r>
    </w:p>
    <w:p>
      <w:pPr>
        <w:spacing w:before="400"/>
      </w:pPr>
    </w:p>
    <w:p>
      <w:pPr>
        <w:pStyle w:val="Heading2"/>
      </w:pPr>
      <w:r>
        <w:t xml:space="preserve">Primary Typeface</w:t>
      </w:r>
    </w:p>
    <w:p>
      <w:pPr>
        <w:spacing w:before="200"/>
      </w:pPr>
    </w:p>
    <w:p>
      <w:r>
        <w:rPr>
          <w:rFonts w:ascii="Arial Black" w:cs="Arial Black" w:eastAsia="Arial Black" w:hAnsi="Arial Black"/>
          <w:sz w:val="48"/>
          <w:szCs w:val="48"/>
        </w:rPr>
        <w:t xml:space="preserve">Arial Black</w:t>
      </w:r>
    </w:p>
    <w:p>
      <w:pPr>
        <w:spacing w:before="100" w:after="200"/>
      </w:pPr>
      <w:r>
        <w:rPr>
          <w:color w:val="4A4A4A"/>
        </w:rPr>
        <w:t xml:space="preserve">Used for: Logo wordmarks, headlines, display text</w:t>
      </w:r>
    </w:p>
    <w:p>
      <w:r>
        <w:rPr>
          <w:rFonts w:ascii="Arial Black" w:cs="Arial Black" w:eastAsia="Arial Black" w:hAnsi="Arial Black"/>
          <w:sz w:val="28"/>
          <w:szCs w:val="28"/>
        </w:rPr>
        <w:t xml:space="preserve">ABCDEFGHIJKLMNOPQRSTUVWXYZ</w:t>
      </w:r>
    </w:p>
    <w:p>
      <w:r>
        <w:rPr>
          <w:rFonts w:ascii="Arial Black" w:cs="Arial Black" w:eastAsia="Arial Black" w:hAnsi="Arial Black"/>
          <w:sz w:val="28"/>
          <w:szCs w:val="28"/>
        </w:rPr>
        <w:t xml:space="preserve">abcdefghijklmnopqrstuvwxyz</w:t>
      </w:r>
    </w:p>
    <w:p>
      <w:r>
        <w:rPr>
          <w:rFonts w:ascii="Arial Black" w:cs="Arial Black" w:eastAsia="Arial Black" w:hAnsi="Arial Black"/>
          <w:sz w:val="28"/>
          <w:szCs w:val="28"/>
        </w:rPr>
        <w:t xml:space="preserve">0123456789</w:t>
      </w:r>
    </w:p>
    <w:p>
      <w:pPr>
        <w:spacing w:before="400"/>
      </w:pPr>
    </w:p>
    <w:p>
      <w:pPr>
        <w:pStyle w:val="Heading2"/>
      </w:pPr>
      <w:r>
        <w:t xml:space="preserve">Monospace Typeface</w:t>
      </w:r>
    </w:p>
    <w:p>
      <w:pPr>
        <w:spacing w:before="200"/>
      </w:pPr>
    </w:p>
    <w:p>
      <w:r>
        <w:rPr>
          <w:rFonts w:ascii="Courier New" w:cs="Courier New" w:eastAsia="Courier New" w:hAnsi="Courier New"/>
          <w:sz w:val="36"/>
          <w:szCs w:val="36"/>
        </w:rPr>
        <w:t xml:space="preserve">SF Mono / Courier New</w:t>
      </w:r>
    </w:p>
    <w:p>
      <w:pPr>
        <w:spacing w:before="100" w:after="200"/>
      </w:pPr>
      <w:r>
        <w:rPr>
          <w:color w:val="4A4A4A"/>
        </w:rPr>
        <w:t xml:space="preserve">Used for: Terminal wordmark, code references, version numbers, technical contexts</w:t>
      </w:r>
    </w:p>
    <w:p>
      <w:r>
        <w:rPr>
          <w:rFonts w:ascii="Courier New" w:cs="Courier New" w:eastAsia="Courier New" w:hAnsi="Courier New"/>
          <w:sz w:val="28"/>
          <w:szCs w:val="28"/>
        </w:rPr>
        <w:t xml:space="preserve">run_process_supreme</w:t>
      </w:r>
    </w:p>
    <w:p>
      <w:r>
        <w:rPr>
          <w:rFonts w:ascii="Courier New" w:cs="Courier New" w:eastAsia="Courier New" w:hAnsi="Courier New"/>
          <w:sz w:val="28"/>
          <w:szCs w:val="28"/>
        </w:rPr>
        <w:t xml:space="preserve">v1.0.0</w:t>
      </w:r>
    </w:p>
    <w:p>
      <w:pPr>
        <w:spacing w:before="400"/>
      </w:pPr>
    </w:p>
    <w:p>
      <w:pPr>
        <w:pStyle w:val="Heading2"/>
      </w:pPr>
      <w:r>
        <w:t xml:space="preserve">Body Typeface</w:t>
      </w:r>
    </w:p>
    <w:p>
      <w:pPr>
        <w:spacing w:before="200"/>
      </w:pPr>
    </w:p>
    <w:p>
      <w:r>
        <w:rPr>
          <w:rFonts w:ascii="Arial" w:cs="Arial" w:eastAsia="Arial" w:hAnsi="Arial"/>
          <w:sz w:val="36"/>
          <w:szCs w:val="36"/>
        </w:rPr>
        <w:t xml:space="preserve">Arial / Helvetica Neue</w:t>
      </w:r>
    </w:p>
    <w:p>
      <w:pPr>
        <w:spacing w:before="100" w:after="200"/>
      </w:pPr>
      <w:r>
        <w:rPr>
          <w:color w:val="4A4A4A"/>
        </w:rPr>
        <w:t xml:space="preserve">Used for: Body copy, UI elements, general communications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Courier New" w:cs="Courier New" w:eastAsia="Courier New" w:hAnsi="Courier New"/>
          <w:color w:val="4A4A4A"/>
          <w:sz w:val="20"/>
          <w:szCs w:val="20"/>
        </w:rPr>
        <w:t xml:space="preserve">05</w:t>
      </w:r>
    </w:p>
    <w:p>
      <w:pPr>
        <w:pStyle w:val="Heading1"/>
      </w:pPr>
      <w:r>
        <w:rPr>
          <w:color w:val="722F37"/>
        </w:rPr>
        <w:t xml:space="preserve">Logo Usage</w:t>
      </w:r>
    </w:p>
    <w:p>
      <w:pPr>
        <w:spacing w:before="400"/>
      </w:pPr>
    </w:p>
    <w:p>
      <w:pPr>
        <w:pStyle w:val="Heading2"/>
      </w:pPr>
      <w:r>
        <w:t xml:space="preserve">Background Applications</w:t>
      </w:r>
    </w:p>
    <w:p>
      <w:pPr>
        <w:spacing w:before="200"/>
      </w:pPr>
    </w:p>
    <w:p>
      <w:pPr>
        <w:pStyle w:val="Heading3"/>
      </w:pPr>
      <w:r>
        <w:t xml:space="preserve">On Dark Backgrounds (Primary)</w:t>
      </w:r>
    </w:p>
    <w:p>
      <w:pPr>
        <w:spacing w:after="100"/>
      </w:pPr>
      <w:r>
        <w:t xml:space="preserve">• Stacked Wordmark: PROCESS (Bone) + SUPREME (Wine)</w:t>
      </w:r>
    </w:p>
    <w:p>
      <w:pPr>
        <w:spacing w:after="100"/>
      </w:pPr>
      <w:r>
        <w:t xml:space="preserve">• Terminal Wordmark: run (Grey) + process (Wine) + _supreme (Bone)</w:t>
      </w:r>
    </w:p>
    <w:p>
      <w:pPr>
        <w:spacing w:after="100"/>
      </w:pPr>
      <w:r>
        <w:t xml:space="preserve">• Circle Mark: Wine fill with Bone text</w:t>
      </w:r>
    </w:p>
    <w:p>
      <w:pPr>
        <w:spacing w:before="300"/>
      </w:pPr>
    </w:p>
    <w:p>
      <w:pPr>
        <w:pStyle w:val="Heading3"/>
      </w:pPr>
      <w:r>
        <w:t xml:space="preserve">On Light Backgrounds</w:t>
      </w:r>
    </w:p>
    <w:p>
      <w:pPr>
        <w:spacing w:after="100"/>
      </w:pPr>
      <w:r>
        <w:t xml:space="preserve">• Circle Mark: Bone fill with Wine text (inverted)</w:t>
      </w:r>
    </w:p>
    <w:p>
      <w:pPr>
        <w:spacing w:after="100"/>
      </w:pPr>
      <w:r>
        <w:t xml:space="preserve">• Stacked Wordmark: All Wine text</w:t>
      </w:r>
    </w:p>
    <w:p>
      <w:pPr>
        <w:spacing w:before="400"/>
      </w:pPr>
    </w:p>
    <w:p>
      <w:pPr>
        <w:pStyle w:val="Heading2"/>
      </w:pPr>
      <w:r>
        <w:t xml:space="preserve">Application Guide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Recommended Logo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Website Header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Stacked Wordmark with Terminal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Social Media Profile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Circle Mark (Wine Fill)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Favicon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Circle Mark (Wine Fill)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Email Signature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Terminal Wordmark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Business Card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Stacked Wordmark or Circle Mark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Merchandise / Apparel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Circle Mark or Stacked Wordmark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Courier New" w:cs="Courier New" w:eastAsia="Courier New" w:hAnsi="Courier New"/>
          <w:color w:val="4A4A4A"/>
          <w:sz w:val="20"/>
          <w:szCs w:val="20"/>
        </w:rPr>
        <w:t xml:space="preserve">06</w:t>
      </w:r>
    </w:p>
    <w:p>
      <w:pPr>
        <w:pStyle w:val="Heading1"/>
      </w:pPr>
      <w:r>
        <w:rPr>
          <w:color w:val="722F37"/>
        </w:rPr>
        <w:t xml:space="preserve">Clear Space &amp; Minimum Size</w:t>
      </w:r>
    </w:p>
    <w:p>
      <w:pPr>
        <w:spacing w:before="400"/>
      </w:pPr>
    </w:p>
    <w:p>
      <w:pPr>
        <w:pStyle w:val="Heading2"/>
      </w:pPr>
      <w:r>
        <w:t xml:space="preserve">Clear Space</w:t>
      </w:r>
    </w:p>
    <w:p>
      <w:pPr>
        <w:spacing w:before="200" w:after="200"/>
      </w:pPr>
      <w:r>
        <w:t xml:space="preserve">Maintain a minimum clear space around all logos equal to the height of the "P" in PROCESS. This ensures the logo has visual breathing room and maintains impact.</w:t>
      </w:r>
    </w:p>
    <w:p>
      <w:pPr>
        <w:spacing w:after="100"/>
      </w:pPr>
      <w:r>
        <w:t xml:space="preserve">• Stacked Wordmark: Clear space = height of "P"</w:t>
      </w:r>
    </w:p>
    <w:p>
      <w:pPr>
        <w:spacing w:after="100"/>
      </w:pPr>
      <w:r>
        <w:t xml:space="preserve">• Circle Mark: Clear space = 25% of circle diameter</w:t>
      </w:r>
    </w:p>
    <w:p>
      <w:pPr>
        <w:spacing w:after="100"/>
      </w:pPr>
      <w:r>
        <w:t xml:space="preserve">• Terminal Wordmark: Clear space = x-height of text</w:t>
      </w:r>
    </w:p>
    <w:p>
      <w:pPr>
        <w:spacing w:before="400"/>
      </w:pPr>
    </w:p>
    <w:p>
      <w:pPr>
        <w:pStyle w:val="Heading2"/>
      </w:pPr>
      <w:r>
        <w:t xml:space="preserve">Minimum Sizes</w:t>
      </w:r>
    </w:p>
    <w:p>
      <w:pPr>
        <w:spacing w:before="200" w:after="200"/>
      </w:pPr>
      <w:r>
        <w:t xml:space="preserve">To ensure legibility and visual integrity, do not reproduce logos smaller than these minimum sizes: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Logo Format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Print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Digital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Stacked Wordmark with Terminal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1.5" wide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200px wide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Terminal Wordmark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1" wide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150px wide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Circle Mark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0.5" diameter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32px diameter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Courier New" w:cs="Courier New" w:eastAsia="Courier New" w:hAnsi="Courier New"/>
          <w:color w:val="4A4A4A"/>
          <w:sz w:val="20"/>
          <w:szCs w:val="20"/>
        </w:rPr>
        <w:t xml:space="preserve">07</w:t>
      </w:r>
    </w:p>
    <w:p>
      <w:pPr>
        <w:pStyle w:val="Heading1"/>
      </w:pPr>
      <w:r>
        <w:rPr>
          <w:color w:val="722F37"/>
        </w:rPr>
        <w:t xml:space="preserve">Incorrect Usage</w:t>
      </w:r>
    </w:p>
    <w:p>
      <w:pPr>
        <w:spacing w:before="300" w:after="200"/>
      </w:pPr>
      <w:r>
        <w:t xml:space="preserve">To maintain brand integrity, avoid the following:</w:t>
      </w:r>
    </w:p>
    <w:p>
      <w:pPr>
        <w:spacing w:after="150"/>
      </w:pPr>
      <w:r>
        <w:rPr>
          <w:color w:val="CC0000"/>
        </w:rPr>
        <w:t xml:space="preserve">✗  Do not stretch or distort the logo proportions</w:t>
      </w:r>
    </w:p>
    <w:p>
      <w:pPr>
        <w:spacing w:after="150"/>
      </w:pPr>
      <w:r>
        <w:rPr>
          <w:color w:val="CC0000"/>
        </w:rPr>
        <w:t xml:space="preserve">✗  Do not rotate the logo</w:t>
      </w:r>
    </w:p>
    <w:p>
      <w:pPr>
        <w:spacing w:after="150"/>
      </w:pPr>
      <w:r>
        <w:rPr>
          <w:color w:val="CC0000"/>
        </w:rPr>
        <w:t xml:space="preserve">✗  Do not change the logo colors outside approved palettes</w:t>
      </w:r>
    </w:p>
    <w:p>
      <w:pPr>
        <w:spacing w:after="150"/>
      </w:pPr>
      <w:r>
        <w:rPr>
          <w:color w:val="CC0000"/>
        </w:rPr>
        <w:t xml:space="preserve">✗  Do not add drop shadows, glows, or other effects</w:t>
      </w:r>
    </w:p>
    <w:p>
      <w:pPr>
        <w:spacing w:after="150"/>
      </w:pPr>
      <w:r>
        <w:rPr>
          <w:color w:val="CC0000"/>
        </w:rPr>
        <w:t xml:space="preserve">✗  Do not place the logo on busy or low-contrast backgrounds</w:t>
      </w:r>
    </w:p>
    <w:p>
      <w:pPr>
        <w:spacing w:after="150"/>
      </w:pPr>
      <w:r>
        <w:rPr>
          <w:color w:val="CC0000"/>
        </w:rPr>
        <w:t xml:space="preserve">✗  Do not alter the typeface or letter spacing</w:t>
      </w:r>
    </w:p>
    <w:p>
      <w:pPr>
        <w:spacing w:after="150"/>
      </w:pPr>
      <w:r>
        <w:rPr>
          <w:color w:val="CC0000"/>
        </w:rPr>
        <w:t xml:space="preserve">✗  Do not rearrange logo elements</w:t>
      </w:r>
    </w:p>
    <w:p>
      <w:pPr>
        <w:spacing w:after="150"/>
      </w:pPr>
      <w:r>
        <w:rPr>
          <w:color w:val="CC0000"/>
        </w:rPr>
        <w:t xml:space="preserve">✗  Do not add outlines or strokes to the logo</w:t>
      </w:r>
    </w:p>
    <w:p>
      <w:pPr>
        <w:spacing w:after="150"/>
      </w:pPr>
      <w:r>
        <w:rPr>
          <w:color w:val="CC0000"/>
        </w:rPr>
        <w:t xml:space="preserve">✗  Do not use the logo smaller than minimum sizes</w:t>
      </w:r>
    </w:p>
    <w:p>
      <w:pPr>
        <w:spacing w:after="150"/>
      </w:pPr>
      <w:r>
        <w:rPr>
          <w:color w:val="CC0000"/>
        </w:rPr>
        <w:t xml:space="preserve">✗  Do not crowd the logo—maintain clear space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Courier New" w:cs="Courier New" w:eastAsia="Courier New" w:hAnsi="Courier New"/>
          <w:color w:val="4A4A4A"/>
          <w:sz w:val="20"/>
          <w:szCs w:val="20"/>
        </w:rPr>
        <w:t xml:space="preserve">08</w:t>
      </w:r>
    </w:p>
    <w:p>
      <w:pPr>
        <w:pStyle w:val="Heading1"/>
      </w:pPr>
      <w:r>
        <w:rPr>
          <w:color w:val="722F37"/>
        </w:rPr>
        <w:t xml:space="preserve">File Formats &amp; Assets</w:t>
      </w:r>
    </w:p>
    <w:p>
      <w:pPr>
        <w:spacing w:before="400"/>
      </w:pPr>
    </w:p>
    <w:p>
      <w:pPr>
        <w:pStyle w:val="Heading2"/>
      </w:pPr>
      <w:r>
        <w:t xml:space="preserve">Logo Package Contents</w:t>
      </w:r>
    </w:p>
    <w:p>
      <w:pPr>
        <w:spacing w:before="200"/>
      </w:pPr>
    </w:p>
    <w:p>
      <w:pPr>
        <w:pStyle w:val="Heading3"/>
      </w:pPr>
      <w:r>
        <w:t xml:space="preserve">Vector Formats (Scalable)</w:t>
      </w:r>
    </w:p>
    <w:p>
      <w:pPr>
        <w:spacing w:after="100"/>
      </w:pPr>
      <w:r>
        <w:t xml:space="preserve">• SVG — Web, digital applications</w:t>
      </w:r>
    </w:p>
    <w:p>
      <w:pPr>
        <w:spacing w:after="100"/>
      </w:pPr>
      <w:r>
        <w:t xml:space="preserve">• PDF — Print, professional applications</w:t>
      </w:r>
    </w:p>
    <w:p>
      <w:pPr>
        <w:spacing w:after="100"/>
      </w:pPr>
      <w:r>
        <w:t xml:space="preserve">• EPS — Legacy print workflows</w:t>
      </w:r>
    </w:p>
    <w:p>
      <w:pPr>
        <w:spacing w:before="300"/>
      </w:pPr>
    </w:p>
    <w:p>
      <w:pPr>
        <w:pStyle w:val="Heading3"/>
      </w:pPr>
      <w:r>
        <w:t xml:space="preserve">Raster Formats (Fixed Size)</w:t>
      </w:r>
    </w:p>
    <w:p>
      <w:pPr>
        <w:spacing w:after="100"/>
      </w:pPr>
      <w:r>
        <w:t xml:space="preserve">• PNG — Transparent background, web use</w:t>
      </w:r>
    </w:p>
    <w:p>
      <w:pPr>
        <w:spacing w:after="100"/>
      </w:pPr>
      <w:r>
        <w:t xml:space="preserve">• JPG — Solid background, general use</w:t>
      </w:r>
    </w:p>
    <w:p>
      <w:pPr>
        <w:spacing w:before="400"/>
      </w:pPr>
    </w:p>
    <w:p>
      <w:pPr>
        <w:pStyle w:val="Heading2"/>
      </w:pPr>
      <w:r>
        <w:t xml:space="preserve">Social Media Sizes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Profile Picture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Cover/Banner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X (Twitter)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400×400px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1500×500px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LinkedIn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400×400px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1128×191px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Instagram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320×320px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Facebook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180×180px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820×312px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YouTube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800×800px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>2560×1440px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Favicon Sizes</w:t>
      </w:r>
    </w:p>
    <w:p>
      <w:pPr>
        <w:spacing w:before="200" w:after="100"/>
      </w:pPr>
      <w:r>
        <w:t xml:space="preserve">• 16×16px — Browser tab</w:t>
      </w:r>
    </w:p>
    <w:p>
      <w:pPr>
        <w:spacing w:after="100"/>
      </w:pPr>
      <w:r>
        <w:t xml:space="preserve">• 32×32px — Browser tab (retina)</w:t>
      </w:r>
    </w:p>
    <w:p>
      <w:pPr>
        <w:spacing w:after="100"/>
      </w:pPr>
      <w:r>
        <w:t xml:space="preserve">• 180×180px — Apple touch icon</w:t>
      </w:r>
    </w:p>
    <w:p>
      <w:pPr>
        <w:spacing w:after="100"/>
      </w:pPr>
      <w:r>
        <w:t xml:space="preserve">• 192×192px — Android</w:t>
      </w:r>
    </w:p>
    <w:p>
      <w:pPr>
        <w:spacing w:after="100"/>
      </w:pPr>
      <w:r>
        <w:t xml:space="preserve">• 512×512px — PWA</w:t>
      </w:r>
    </w:p>
    <w:p>
      <w:pPr>
        <w:spacing w:before="400"/>
      </w:pPr>
    </w:p>
    <w:p>
      <w:pPr>
        <w:spacing w:before="200"/>
        <w:jc w:val="center"/>
      </w:pPr>
      <w:r>
        <w:rPr>
          <w:color w:val="722F37"/>
          <w:sz w:val="28"/>
          <w:szCs w:val="28"/>
        </w:rPr>
        <w:t xml:space="preserve">—</w:t>
      </w:r>
    </w:p>
    <w:p>
      <w:pPr>
        <w:spacing w:before="200"/>
        <w:jc w:val="center"/>
      </w:pPr>
      <w:r>
        <w:rPr>
          <w:color w:val="4A4A4A"/>
          <w:sz w:val="18"/>
          <w:szCs w:val="18"/>
        </w:rPr>
        <w:t xml:space="preserve">Process Supreme Brand Guidelines v1.0.0</w:t>
      </w:r>
    </w:p>
    <w:p>
      <w:pPr>
        <w:spacing w:before="100"/>
        <w:jc w:val="center"/>
      </w:pPr>
      <w:r>
        <w:rPr>
          <w:color w:val="4A4A4A"/>
          <w:sz w:val="18"/>
          <w:szCs w:val="18"/>
        </w:rPr>
        <w:t xml:space="preserve">© 2026 Process Supreme LLC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722F37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0A0A0A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2026-01-28T20:04:59.599Z</dcterms:created>
  <dcterms:modified xsi:type="dcterms:W3CDTF">2026-01-28T20:04:59.601Z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