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960120" cy="960120"/>
                    </a:xfrm>
                    <a:prstGeom prst="rect"/>
                  </pic:spPr>
                </pic:pic>
              </a:graphicData>
            </a:graphic>
          </wp:inline>
        </w:drawing>
      </w:r>
    </w:p>
    <w:p>
      <w:pPr>
        <w:jc w:val="center"/>
      </w:pPr>
      <w:r>
        <w:rPr>
          <w:rFonts w:ascii="Arial" w:hAnsi="Arial"/>
          <w:b/>
          <w:color w:val="0D6F3A"/>
          <w:sz w:val="20"/>
        </w:rPr>
        <w:t>JPV BOOTCAMP</w:t>
      </w:r>
    </w:p>
    <w:p>
      <w:pPr>
        <w:jc w:val="center"/>
      </w:pPr>
      <w:r>
        <w:rPr>
          <w:rFonts w:ascii="Arial" w:hAnsi="Arial"/>
          <w:b/>
          <w:color w:val="0B5D6E"/>
          <w:sz w:val="42"/>
        </w:rPr>
        <w:t>JPV Bootcamp Platform Expansion &amp; Go-Live Plan</w:t>
      </w:r>
    </w:p>
    <w:p>
      <w:pPr>
        <w:jc w:val="center"/>
      </w:pPr>
      <w:r>
        <w:rPr>
          <w:rFonts w:ascii="Arial" w:hAnsi="Arial"/>
          <w:color w:val="555555"/>
          <w:sz w:val="21"/>
        </w:rPr>
        <w:t>Client implementation plan, progress comparison, delivery timeline, decisions and launch expectations</w:t>
      </w:r>
    </w:p>
    <w:p>
      <w:pPr>
        <w:jc w:val="center"/>
      </w:pPr>
      <w:r>
        <w:rPr>
          <w:rFonts w:ascii="Arial" w:hAnsi="Arial"/>
          <w:b/>
          <w:color w:val="222222"/>
          <w:sz w:val="21"/>
        </w:rPr>
        <w:t>Version 3.4 • Updated implementation progress and front-end delivery timeline • 8 July 2026</w:t>
      </w:r>
    </w:p>
    <w:tbl>
      <w:tblPr>
        <w:tblW w:type="auto" w:w="0"/>
        <w:jc w:val="center"/>
        <w:tblLook w:firstColumn="1" w:firstRow="1" w:lastColumn="0" w:lastRow="0" w:noHBand="0" w:noVBand="1" w:val="04A0"/>
      </w:tblPr>
      <w:tblGrid>
        <w:gridCol w:w="10656"/>
      </w:tblGrid>
      <w:tr>
        <w:tc>
          <w:tcPr>
            <w:tcW w:type="dxa" w:w="10656"/>
            <w:shd w:fill="EAF4F8"/>
            <w:tcBorders>
              <w:top w:val="single" w:sz="8" w:space="0" w:color="89BFD3"/>
              <w:left w:val="single" w:sz="8" w:space="0" w:color="89BFD3"/>
              <w:bottom w:val="single" w:sz="8" w:space="0" w:color="89BFD3"/>
              <w:right w:val="single" w:sz="8" w:space="0" w:color="89BFD3"/>
              <w:insideH w:val="single" w:sz="8" w:space="0" w:color="89BFD3"/>
              <w:insideV w:val="single" w:sz="8" w:space="0" w:color="89BFD3"/>
            </w:tcBorders>
          </w:tcPr>
          <w:p>
            <w:pPr>
              <w:spacing w:after="60"/>
            </w:pPr>
            <w:r>
              <w:rPr>
                <w:rFonts w:ascii="Arial" w:hAnsi="Arial"/>
                <w:b/>
                <w:color w:val="123E5C"/>
                <w:sz w:val="20"/>
              </w:rPr>
              <w:t>What changed since Version 3.3</w:t>
            </w:r>
          </w:p>
          <w:p>
            <w:pPr>
              <w:spacing w:after="0"/>
            </w:pPr>
            <w:r>
              <w:rPr>
                <w:rFonts w:ascii="Arial" w:hAnsi="Arial"/>
                <w:color w:val="222222"/>
                <w:sz w:val="18"/>
              </w:rPr>
              <w:t>Version 3.3 was the client-facing plan prepared on 7 July 2026. Version 3.4 keeps the same phased launch approach but records the work now completed on the staging branch: Payload-only Free/Pro refit, checkout hardening, support/pay-it-forward Free access semantics, static migration-readiness checks, evidence templates, operator handoff, pinned toolchain preflight and one-command static preflight.</w:t>
            </w:r>
          </w:p>
        </w:tc>
      </w:tr>
    </w:tbl>
    <w:p>
      <w:pPr>
        <w:spacing w:after="20"/>
      </w:pPr>
    </w:p>
    <w:tbl>
      <w:tblPr>
        <w:tblW w:type="auto" w:w="0"/>
        <w:jc w:val="center"/>
        <w:tblLook w:firstColumn="1" w:firstRow="1" w:lastColumn="0" w:lastRow="0" w:noHBand="0" w:noVBand="1" w:val="04A0"/>
      </w:tblPr>
      <w:tblGrid>
        <w:gridCol w:w="10656"/>
      </w:tblGrid>
      <w:tr>
        <w:tc>
          <w:tcPr>
            <w:tcW w:type="dxa" w:w="10656"/>
            <w:shd w:fill="FFF2CC"/>
            <w:tcBorders>
              <w:top w:val="single" w:sz="8" w:space="0" w:color="D6A300"/>
              <w:left w:val="single" w:sz="8" w:space="0" w:color="D6A300"/>
              <w:bottom w:val="single" w:sz="8" w:space="0" w:color="D6A300"/>
              <w:right w:val="single" w:sz="8" w:space="0" w:color="D6A300"/>
              <w:insideH w:val="single" w:sz="8" w:space="0" w:color="D6A300"/>
              <w:insideV w:val="single" w:sz="8" w:space="0" w:color="D6A300"/>
            </w:tcBorders>
          </w:tcPr>
          <w:p>
            <w:pPr>
              <w:spacing w:after="60"/>
            </w:pPr>
            <w:r>
              <w:rPr>
                <w:rFonts w:ascii="Arial" w:hAnsi="Arial"/>
                <w:b/>
                <w:color w:val="B71C1C"/>
                <w:sz w:val="20"/>
              </w:rPr>
              <w:t>Highlighted front-end launch milestone</w:t>
            </w:r>
          </w:p>
          <w:p>
            <w:pPr>
              <w:spacing w:after="0"/>
            </w:pPr>
            <w:r>
              <w:rPr>
                <w:rFonts w:ascii="Arial" w:hAnsi="Arial"/>
                <w:color w:val="222222"/>
                <w:sz w:val="18"/>
              </w:rPr>
              <w:t>CLIENT-FACING WEBSITE FRONT END: target go-live milestone is 22 July 2026, with internal delivery/handover buffer by 23 July and the client-requested finished-by date of 24 July. Client content/input required next Wednesday, 15 July 2026, remains a dependency for final public wording and polish.</w:t>
            </w:r>
          </w:p>
        </w:tc>
      </w:tr>
    </w:tbl>
    <w:p>
      <w:pPr>
        <w:spacing w:after="20"/>
      </w:pPr>
    </w:p>
    <w:tbl>
      <w:tblPr>
        <w:tblW w:type="auto" w:w="0"/>
        <w:jc w:val="center"/>
        <w:tblLook w:firstColumn="1" w:firstRow="1" w:lastColumn="0" w:lastRow="0" w:noHBand="0" w:noVBand="1" w:val="04A0"/>
      </w:tblPr>
      <w:tblGrid>
        <w:gridCol w:w="10656"/>
      </w:tblGrid>
      <w:tr>
        <w:tc>
          <w:tcPr>
            <w:tcW w:type="dxa" w:w="10656"/>
            <w:shd w:fill="EAF6EE"/>
            <w:tcBorders>
              <w:top w:val="single" w:sz="8" w:space="0" w:color="8CBF9B"/>
              <w:left w:val="single" w:sz="8" w:space="0" w:color="8CBF9B"/>
              <w:bottom w:val="single" w:sz="8" w:space="0" w:color="8CBF9B"/>
              <w:right w:val="single" w:sz="8" w:space="0" w:color="8CBF9B"/>
              <w:insideH w:val="single" w:sz="8" w:space="0" w:color="8CBF9B"/>
              <w:insideV w:val="single" w:sz="8" w:space="0" w:color="8CBF9B"/>
            </w:tcBorders>
          </w:tcPr>
          <w:p>
            <w:pPr>
              <w:spacing w:after="60"/>
            </w:pPr>
            <w:r>
              <w:rPr>
                <w:rFonts w:ascii="Arial" w:hAnsi="Arial"/>
                <w:b/>
                <w:color w:val="123E5C"/>
                <w:sz w:val="20"/>
              </w:rPr>
              <w:t>Main action</w:t>
            </w:r>
          </w:p>
          <w:p>
            <w:pPr>
              <w:spacing w:after="0"/>
            </w:pPr>
            <w:r>
              <w:rPr>
                <w:rFonts w:ascii="Arial" w:hAnsi="Arial"/>
                <w:color w:val="222222"/>
                <w:sz w:val="18"/>
              </w:rPr>
              <w:t>Review the Version 3.4 status, confirm the migration approval items, provide the 15 July front-end/content inputs, and keep the 22 July front-end launch milestone visible. Do not apply migrations until target-environment approval is complete.</w:t>
            </w:r>
          </w:p>
        </w:tc>
      </w:tr>
    </w:tbl>
    <w:p>
      <w:pPr>
        <w:spacing w:after="20"/>
      </w:pPr>
    </w:p>
    <w:tbl>
      <w:tblPr>
        <w:tblStyle w:val="TableGrid"/>
        <w:tblW w:type="auto" w:w="0"/>
        <w:jc w:val="center"/>
        <w:tblLook w:firstColumn="1" w:firstRow="1" w:lastColumn="0" w:lastRow="0" w:noHBand="0" w:noVBand="1" w:val="04A0"/>
      </w:tblPr>
      <w:tblGrid>
        <w:gridCol w:w="5328"/>
        <w:gridCol w:w="5328"/>
      </w:tblGrid>
      <w:tr>
        <w:tc>
          <w:tcPr>
            <w:tcW w:type="dxa" w:w="2160"/>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Item</w:t>
            </w:r>
          </w:p>
        </w:tc>
        <w:tc>
          <w:tcPr>
            <w:tcW w:type="dxa" w:w="8352"/>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Version 3.4 summary</w:t>
            </w:r>
          </w:p>
        </w:tc>
      </w:tr>
      <w:tr>
        <w:tc>
          <w:tcPr>
            <w:tcW w:type="dxa" w:w="216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7"/>
              </w:rPr>
              <w:t>Document purpose</w:t>
            </w:r>
          </w:p>
        </w:tc>
        <w:tc>
          <w:tcPr>
            <w:tcW w:type="dxa" w:w="835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7"/>
              </w:rPr>
              <w:t>Client-facing update that separates the Version 3.3 baseline from the current Version 3.4 staging-branch progress, including updated progress, timeline and launch dependencies.</w:t>
            </w:r>
          </w:p>
        </w:tc>
      </w:tr>
      <w:tr>
        <w:tc>
          <w:tcPr>
            <w:tcW w:type="dxa" w:w="216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7"/>
              </w:rPr>
              <w:t>Progress headline</w:t>
            </w:r>
          </w:p>
        </w:tc>
        <w:tc>
          <w:tcPr>
            <w:tcW w:type="dxa" w:w="835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7"/>
              </w:rPr>
              <w:t>Expanded platform readiness is now approximately 73% overall. Core staging readiness is approximately 97%, with remaining blockers concentrated in approvals, migration rehearsal, provider/email verification, staging smoke and content.</w:t>
            </w:r>
          </w:p>
        </w:tc>
      </w:tr>
      <w:tr>
        <w:tc>
          <w:tcPr>
            <w:tcW w:type="dxa" w:w="216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7"/>
              </w:rPr>
              <w:t>Go-live approach</w:t>
            </w:r>
          </w:p>
        </w:tc>
        <w:tc>
          <w:tcPr>
            <w:tcW w:type="dxa" w:w="835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7"/>
              </w:rPr>
              <w:t>Frontend/public website milestone stays targeted for 22 July. Core platform go-live remains a 22–24 July window if approval, content, smoke, provider/email and migration prerequisites pass.</w:t>
            </w:r>
          </w:p>
        </w:tc>
      </w:tr>
    </w:tbl>
    <w:p>
      <w:pPr>
        <w:spacing w:after="40"/>
      </w:pPr>
    </w:p>
    <w:p>
      <w:r>
        <w:br w:type="page"/>
      </w:r>
    </w:p>
    <w:p>
      <w:pPr>
        <w:pStyle w:val="Heading1"/>
        <w:spacing w:before="160" w:after="60"/>
      </w:pPr>
      <w:r>
        <w:rPr>
          <w:rFonts w:ascii="Arial" w:hAnsi="Arial"/>
          <w:b/>
          <w:color w:val="0B5D6E"/>
          <w:sz w:val="36"/>
        </w:rPr>
        <w:t>1. Executive summary</w:t>
      </w:r>
    </w:p>
    <w:p>
      <w:pPr>
        <w:spacing w:after="80" w:before="0"/>
      </w:pPr>
      <w:r>
        <w:rPr>
          <w:rFonts w:ascii="Arial" w:hAnsi="Arial"/>
          <w:b w:val="0"/>
          <w:color w:val="222222"/>
          <w:sz w:val="19"/>
        </w:rPr>
        <w:t>Version 3.4 is not a scope reset. It is a progress update from the Version 3.3 client plan. The platform direction remains the same: a clearer JPV Bootcamp commercial launch with one paid membership, monthly and annual payment options, controlled Free/support access, public landing page, member portal, billing automation, course access, partner/community follow-up and a controlled migration/cutover path.</w:t>
      </w:r>
    </w:p>
    <w:p>
      <w:pPr>
        <w:spacing w:after="80" w:before="0"/>
      </w:pPr>
      <w:r>
        <w:rPr>
          <w:rFonts w:ascii="Arial" w:hAnsi="Arial"/>
          <w:b w:val="0"/>
          <w:color w:val="222222"/>
          <w:sz w:val="19"/>
        </w:rPr>
        <w:t>The major difference is that the feature branch has now been heavily refit, hardened, documented and statically validated. The remaining work is no longer mainly about deciding whether the Free/Pro model can be represented in code. It is now about client approvals, final public content, operator staging smoke, provider/email verification, and migration approval/rehearsal.</w:t>
      </w:r>
    </w:p>
    <w:tbl>
      <w:tblPr>
        <w:tblW w:type="auto" w:w="0"/>
        <w:jc w:val="center"/>
        <w:tblLook w:firstColumn="1" w:firstRow="1" w:lastColumn="0" w:lastRow="0" w:noHBand="0" w:noVBand="1" w:val="04A0"/>
      </w:tblPr>
      <w:tblGrid>
        <w:gridCol w:w="10656"/>
      </w:tblGrid>
      <w:tr>
        <w:tc>
          <w:tcPr>
            <w:tcW w:type="dxa" w:w="10656"/>
            <w:shd w:fill="FFF2CC"/>
            <w:tcBorders>
              <w:top w:val="single" w:sz="8" w:space="0" w:color="D6A300"/>
              <w:left w:val="single" w:sz="8" w:space="0" w:color="D6A300"/>
              <w:bottom w:val="single" w:sz="8" w:space="0" w:color="D6A300"/>
              <w:right w:val="single" w:sz="8" w:space="0" w:color="D6A300"/>
              <w:insideH w:val="single" w:sz="8" w:space="0" w:color="D6A300"/>
              <w:insideV w:val="single" w:sz="8" w:space="0" w:color="D6A300"/>
            </w:tcBorders>
          </w:tcPr>
          <w:p>
            <w:pPr>
              <w:spacing w:after="60"/>
            </w:pPr>
            <w:r>
              <w:rPr>
                <w:rFonts w:ascii="Arial" w:hAnsi="Arial"/>
                <w:b/>
                <w:color w:val="123E5C"/>
                <w:sz w:val="20"/>
              </w:rPr>
              <w:t>Important distinction</w:t>
            </w:r>
          </w:p>
          <w:p>
            <w:pPr>
              <w:spacing w:after="0"/>
            </w:pPr>
            <w:r>
              <w:rPr>
                <w:rFonts w:ascii="Arial" w:hAnsi="Arial"/>
                <w:color w:val="222222"/>
                <w:sz w:val="18"/>
              </w:rPr>
              <w:t>Version 3.3 measured the expanded launch before the large Free/Pro staging refit and operator-preflight work was completed. Version 3.4 records current progress after those branch changes. It does not mean migrations are approved or applied.</w:t>
            </w:r>
          </w:p>
        </w:tc>
      </w:tr>
    </w:tbl>
    <w:p>
      <w:pPr>
        <w:spacing w:after="20"/>
      </w:pPr>
    </w:p>
    <w:p>
      <w:pPr>
        <w:pStyle w:val="Heading1"/>
        <w:spacing w:before="160" w:after="60"/>
      </w:pPr>
      <w:r>
        <w:rPr>
          <w:rFonts w:ascii="Arial" w:hAnsi="Arial"/>
          <w:b/>
          <w:color w:val="0B5D6E"/>
          <w:sz w:val="36"/>
        </w:rPr>
        <w:t>2. Version 3.3 baseline vs Version 3.4 current progress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5"/>
              </w:rPr>
              <w:t>Area</w:t>
            </w:r>
          </w:p>
        </w:tc>
        <w:tc>
          <w:tcPr>
            <w:tcW w:type="dxa" w:w="2376"/>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5"/>
              </w:rPr>
              <w:t>Version 3.3 baseline</w:t>
            </w:r>
          </w:p>
        </w:tc>
        <w:tc>
          <w:tcPr>
            <w:tcW w:type="dxa" w:w="2376"/>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5"/>
              </w:rPr>
              <w:t>Version 3.4 current view</w:t>
            </w:r>
          </w:p>
        </w:tc>
        <w:tc>
          <w:tcPr>
            <w:tcW w:type="dxa" w:w="3816"/>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5"/>
              </w:rPr>
              <w:t>What this means</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Overall expanded platform</w:t>
            </w:r>
          </w:p>
        </w:tc>
        <w:tc>
          <w:tcPr>
            <w:tcW w:type="dxa" w:w="237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~58% for the expanded platform.</w:t>
            </w:r>
          </w:p>
        </w:tc>
        <w:tc>
          <w:tcPr>
            <w:tcW w:type="dxa" w:w="237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~73% for the expanded platform.</w:t>
            </w:r>
          </w:p>
        </w:tc>
        <w:tc>
          <w:tcPr>
            <w:tcW w:type="dxa" w:w="38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Large staging-branch refit and hardening are complete; content, approvals, provider checks and migration execution are still not complete.</w:t>
            </w:r>
          </w:p>
        </w:tc>
      </w:tr>
      <w:tr>
        <w:tc>
          <w:tcPr>
            <w:tcW w:type="dxa" w:w="194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Core staging readiness</w:t>
            </w:r>
          </w:p>
        </w:tc>
        <w:tc>
          <w:tcPr>
            <w:tcW w:type="dxa" w:w="237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~62% for the first core go-live path.</w:t>
            </w:r>
          </w:p>
        </w:tc>
        <w:tc>
          <w:tcPr>
            <w:tcW w:type="dxa" w:w="237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~97% for core staging readiness.</w:t>
            </w:r>
          </w:p>
        </w:tc>
        <w:tc>
          <w:tcPr>
            <w:tcW w:type="dxa" w:w="38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The feature branch is pushed, clean, validated and protected by static preflight/evidence automation. Operator smoke and provider/email checks are still needed.</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Build foundation</w:t>
            </w:r>
          </w:p>
        </w:tc>
        <w:tc>
          <w:tcPr>
            <w:tcW w:type="dxa" w:w="237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~78% carried-forward foundation readiness.</w:t>
            </w:r>
          </w:p>
        </w:tc>
        <w:tc>
          <w:tcPr>
            <w:tcW w:type="dxa" w:w="237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~89% current build foundation.</w:t>
            </w:r>
          </w:p>
        </w:tc>
        <w:tc>
          <w:tcPr>
            <w:tcW w:type="dxa" w:w="38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Payload-only Free/Pro refit, checkout hardening, toolchain preflight and safety tests increase confidence.</w:t>
            </w:r>
          </w:p>
        </w:tc>
      </w:tr>
      <w:tr>
        <w:tc>
          <w:tcPr>
            <w:tcW w:type="dxa" w:w="194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Testing/release readiness</w:t>
            </w:r>
          </w:p>
        </w:tc>
        <w:tc>
          <w:tcPr>
            <w:tcW w:type="dxa" w:w="237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~52% launch readiness for the expanded scope.</w:t>
            </w:r>
          </w:p>
        </w:tc>
        <w:tc>
          <w:tcPr>
            <w:tcW w:type="dxa" w:w="237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~94% current testing/release readiness.</w:t>
            </w:r>
          </w:p>
        </w:tc>
        <w:tc>
          <w:tcPr>
            <w:tcW w:type="dxa" w:w="38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Focused static and runtime-adjacent tests now cover checkout, billing readiness, migration inventory, status consistency and evidence guardrails.</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Migration readiness</w:t>
            </w:r>
          </w:p>
        </w:tc>
        <w:tc>
          <w:tcPr>
            <w:tcW w:type="dxa" w:w="237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~50% in the phase table, with mapping/rehearsal still needed.</w:t>
            </w:r>
          </w:p>
        </w:tc>
        <w:tc>
          <w:tcPr>
            <w:tcW w:type="dxa" w:w="237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~55% current migration readiness.</w:t>
            </w:r>
          </w:p>
        </w:tc>
        <w:tc>
          <w:tcPr>
            <w:tcW w:type="dxa" w:w="38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Static migration materials, approval packets and runbooks exist. Actual approval, rehearsal and execution remain pending.</w:t>
            </w:r>
          </w:p>
        </w:tc>
      </w:tr>
      <w:tr>
        <w:tc>
          <w:tcPr>
            <w:tcW w:type="dxa" w:w="194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Live cutover readiness</w:t>
            </w:r>
          </w:p>
        </w:tc>
        <w:tc>
          <w:tcPr>
            <w:tcW w:type="dxa" w:w="237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Earliest realistic candidate: 22–24 July if prerequisites pass.</w:t>
            </w:r>
          </w:p>
        </w:tc>
        <w:tc>
          <w:tcPr>
            <w:tcW w:type="dxa" w:w="237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~20% live cutover readiness.</w:t>
            </w:r>
          </w:p>
        </w:tc>
        <w:tc>
          <w:tcPr>
            <w:tcW w:type="dxa" w:w="38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Live cutover still depends on approval, migration rehearsal, provider/email verification, staging smoke and content.</w:t>
            </w:r>
          </w:p>
        </w:tc>
      </w:tr>
    </w:tbl>
    <w:p>
      <w:pPr>
        <w:spacing w:after="40"/>
      </w:pPr>
    </w:p>
    <w:p>
      <w:pPr>
        <w:pStyle w:val="Heading1"/>
        <w:spacing w:before="160" w:after="60"/>
      </w:pPr>
      <w:r>
        <w:rPr>
          <w:rFonts w:ascii="Arial" w:hAnsi="Arial"/>
          <w:b/>
          <w:color w:val="0B5D6E"/>
          <w:sz w:val="36"/>
        </w:rPr>
        <w:t>3. What is complete in the current staging version</w:t>
      </w:r>
    </w:p>
    <w:p>
      <w:pPr>
        <w:pStyle w:val="ListBullet"/>
        <w:spacing w:after="30"/>
      </w:pPr>
      <w:r>
        <w:rPr>
          <w:rFonts w:ascii="Arial" w:hAnsi="Arial"/>
          <w:sz w:val="18"/>
        </w:rPr>
        <w:t>Feature branch is `feature/course-branding-and-preview`, the staging / production-staged deployment target.</w:t>
      </w:r>
    </w:p>
    <w:p>
      <w:pPr>
        <w:pStyle w:val="ListBullet"/>
        <w:spacing w:after="30"/>
      </w:pPr>
      <w:r>
        <w:rPr>
          <w:rFonts w:ascii="Arial" w:hAnsi="Arial"/>
          <w:sz w:val="18"/>
        </w:rPr>
        <w:t>Payload-only Free/Pro refit is committed, pushed, clean and validated.</w:t>
      </w:r>
    </w:p>
    <w:p>
      <w:pPr>
        <w:pStyle w:val="ListBullet"/>
        <w:spacing w:after="30"/>
      </w:pPr>
      <w:r>
        <w:rPr>
          <w:rFonts w:ascii="Arial" w:hAnsi="Arial"/>
          <w:sz w:val="18"/>
        </w:rPr>
        <w:t>WordPress, FluentCRM, FluentCommunity, old portal, VIP and exhibitor active paths have been removed or confined to documented negative-rule / migration exceptions.</w:t>
      </w:r>
    </w:p>
    <w:p>
      <w:pPr>
        <w:pStyle w:val="ListBullet"/>
        <w:spacing w:after="30"/>
      </w:pPr>
      <w:r>
        <w:rPr>
          <w:rFonts w:ascii="Arial" w:hAnsi="Arial"/>
          <w:sz w:val="18"/>
        </w:rPr>
        <w:t>Checkout is Pro-only with monthly/annual payment options; rejected legacy plan values are covered.</w:t>
      </w:r>
    </w:p>
    <w:p>
      <w:pPr>
        <w:pStyle w:val="ListBullet"/>
        <w:spacing w:after="30"/>
      </w:pPr>
      <w:r>
        <w:rPr>
          <w:rFonts w:ascii="Arial" w:hAnsi="Arial"/>
          <w:sz w:val="18"/>
        </w:rPr>
        <w:t>Support and pay-it-forward access map to controlled Free access, not a third paid tier.</w:t>
      </w:r>
    </w:p>
    <w:p>
      <w:pPr>
        <w:pStyle w:val="ListBullet"/>
        <w:spacing w:after="30"/>
      </w:pPr>
      <w:r>
        <w:rPr>
          <w:rFonts w:ascii="Arial" w:hAnsi="Arial"/>
          <w:sz w:val="18"/>
        </w:rPr>
        <w:t>Stripe success/cancel return URL guard and member checkout error logging were hardened.</w:t>
      </w:r>
    </w:p>
    <w:p>
      <w:pPr>
        <w:pStyle w:val="ListBullet"/>
        <w:spacing w:after="30"/>
      </w:pPr>
      <w:r>
        <w:rPr>
          <w:rFonts w:ascii="Arial" w:hAnsi="Arial"/>
          <w:sz w:val="18"/>
        </w:rPr>
        <w:t>Migration approval packet, approval status tracker, rehearsal runbook, staging smoke checklist, provider/email checklist and evidence templates are prepared.</w:t>
      </w:r>
    </w:p>
    <w:p>
      <w:pPr>
        <w:pStyle w:val="ListBullet"/>
        <w:spacing w:after="30"/>
      </w:pPr>
      <w:r>
        <w:rPr>
          <w:rFonts w:ascii="Arial" w:hAnsi="Arial"/>
          <w:sz w:val="18"/>
        </w:rPr>
        <w:t>Evidence generation/validation scripts, pinned `pnpm@10.33.0` toolchain check and one-command static preflight are in place.</w:t>
      </w:r>
    </w:p>
    <w:p>
      <w:pPr>
        <w:pStyle w:val="ListBullet"/>
        <w:spacing w:after="30"/>
      </w:pPr>
      <w:r>
        <w:rPr>
          <w:rFonts w:ascii="Arial" w:hAnsi="Arial"/>
          <w:sz w:val="18"/>
        </w:rPr>
        <w:t>Generated draft evidence files are guarded against accidental commits.</w:t>
      </w:r>
    </w:p>
    <w:tbl>
      <w:tblPr>
        <w:tblW w:type="auto" w:w="0"/>
        <w:jc w:val="center"/>
        <w:tblLook w:firstColumn="1" w:firstRow="1" w:lastColumn="0" w:lastRow="0" w:noHBand="0" w:noVBand="1" w:val="04A0"/>
      </w:tblPr>
      <w:tblGrid>
        <w:gridCol w:w="10656"/>
      </w:tblGrid>
      <w:tr>
        <w:tc>
          <w:tcPr>
            <w:tcW w:type="dxa" w:w="10656"/>
            <w:shd w:fill="EAF6EE"/>
            <w:tcBorders>
              <w:top w:val="single" w:sz="8" w:space="0" w:color="8CBF9B"/>
              <w:left w:val="single" w:sz="8" w:space="0" w:color="8CBF9B"/>
              <w:bottom w:val="single" w:sz="8" w:space="0" w:color="8CBF9B"/>
              <w:right w:val="single" w:sz="8" w:space="0" w:color="8CBF9B"/>
              <w:insideH w:val="single" w:sz="8" w:space="0" w:color="8CBF9B"/>
              <w:insideV w:val="single" w:sz="8" w:space="0" w:color="8CBF9B"/>
            </w:tcBorders>
          </w:tcPr>
          <w:p>
            <w:pPr>
              <w:spacing w:after="60"/>
            </w:pPr>
            <w:r>
              <w:rPr>
                <w:rFonts w:ascii="Arial" w:hAnsi="Arial"/>
                <w:b/>
                <w:color w:val="123E5C"/>
                <w:sz w:val="20"/>
              </w:rPr>
              <w:t>Current branch status</w:t>
            </w:r>
          </w:p>
          <w:p>
            <w:pPr>
              <w:spacing w:after="0"/>
            </w:pPr>
            <w:r>
              <w:rPr>
                <w:rFonts w:ascii="Arial" w:hAnsi="Arial"/>
                <w:color w:val="222222"/>
                <w:sz w:val="18"/>
              </w:rPr>
              <w:t>Latest verified branch tip before this document update: 4a8f79b chore: guard against committed draft evidence. No migrations have been applied.</w:t>
            </w:r>
          </w:p>
        </w:tc>
      </w:tr>
    </w:tbl>
    <w:p>
      <w:pPr>
        <w:spacing w:after="20"/>
      </w:pPr>
    </w:p>
    <w:p>
      <w:pPr>
        <w:pStyle w:val="Heading1"/>
        <w:spacing w:before="160" w:after="60"/>
      </w:pPr>
      <w:r>
        <w:rPr>
          <w:rFonts w:ascii="Arial" w:hAnsi="Arial"/>
          <w:b/>
          <w:color w:val="0B5D6E"/>
          <w:sz w:val="36"/>
        </w:rPr>
        <w:t>4. Version 3.4 progress by roadmap phase</w:t>
      </w:r>
    </w:p>
    <w:p>
      <w:pPr>
        <w:spacing w:after="80" w:before="0"/>
      </w:pPr>
      <w:r>
        <w:rPr>
          <w:rFonts w:ascii="Arial" w:hAnsi="Arial"/>
          <w:b w:val="0"/>
          <w:color w:val="222222"/>
          <w:sz w:val="19"/>
        </w:rPr>
        <w:t>The percentages below are estimates for the expanded platform. They should be read as delivery-readiness indicators, not as a guarantee that live cutover can happen without the remaining approval and evidence steps.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800"/>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Area / phase</w:t>
            </w:r>
          </w:p>
        </w:tc>
        <w:tc>
          <w:tcPr>
            <w:tcW w:type="dxa" w:w="936"/>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Version 3.3</w:t>
            </w:r>
          </w:p>
        </w:tc>
        <w:tc>
          <w:tcPr>
            <w:tcW w:type="dxa" w:w="936"/>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Version 3.4</w:t>
            </w:r>
          </w:p>
        </w:tc>
        <w:tc>
          <w:tcPr>
            <w:tcW w:type="dxa" w:w="792"/>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Delta</w:t>
            </w:r>
          </w:p>
        </w:tc>
        <w:tc>
          <w:tcPr>
            <w:tcW w:type="dxa" w:w="3096"/>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Evidence</w:t>
            </w:r>
          </w:p>
        </w:tc>
        <w:tc>
          <w:tcPr>
            <w:tcW w:type="dxa" w:w="3168"/>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Remaining blocker</w:t>
            </w:r>
          </w:p>
        </w:tc>
      </w:tr>
      <w:tr>
        <w:tc>
          <w:tcPr>
            <w:tcW w:type="dxa" w:w="180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Overall expanded platform</w:t>
            </w:r>
          </w:p>
        </w:tc>
        <w:tc>
          <w:tcPr>
            <w:tcW w:type="dxa" w:w="93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~58%</w:t>
            </w:r>
          </w:p>
        </w:tc>
        <w:tc>
          <w:tcPr>
            <w:tcW w:type="dxa" w:w="93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~73%</w:t>
            </w:r>
          </w:p>
        </w:tc>
        <w:tc>
          <w:tcPr>
            <w:tcW w:type="dxa" w:w="7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+15%</w:t>
            </w:r>
          </w:p>
        </w:tc>
        <w:tc>
          <w:tcPr>
            <w:tcW w:type="dxa" w:w="309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Free/Pro refit, billing hardening, static preflight, evidence automation and docs completed.</w:t>
            </w:r>
          </w:p>
        </w:tc>
        <w:tc>
          <w:tcPr>
            <w:tcW w:type="dxa" w:w="3168"/>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Live cutover unapproved; migrations unapplied; production content incomplete; provider/email verification pending.</w:t>
            </w:r>
          </w:p>
        </w:tc>
      </w:tr>
      <w:tr>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Core staging readiness</w:t>
            </w:r>
          </w:p>
        </w:tc>
        <w:tc>
          <w:tcPr>
            <w:tcW w:type="dxa" w:w="93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~62%</w:t>
            </w:r>
          </w:p>
        </w:tc>
        <w:tc>
          <w:tcPr>
            <w:tcW w:type="dxa" w:w="93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~97%</w:t>
            </w:r>
          </w:p>
        </w:tc>
        <w:tc>
          <w:tcPr>
            <w:tcW w:type="dxa" w:w="79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+35%</w:t>
            </w:r>
          </w:p>
        </w:tc>
        <w:tc>
          <w:tcPr>
            <w:tcW w:type="dxa" w:w="309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Branch is pushed, clean, validated and guarded; operator evidence flow prepared.</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Staging smoke not yet executed by operator; provider/email live verification pending.</w:t>
            </w:r>
          </w:p>
        </w:tc>
      </w:tr>
      <w:tr>
        <w:tc>
          <w:tcPr>
            <w:tcW w:type="dxa" w:w="180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Build foundation</w:t>
            </w:r>
          </w:p>
        </w:tc>
        <w:tc>
          <w:tcPr>
            <w:tcW w:type="dxa" w:w="93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~78%</w:t>
            </w:r>
          </w:p>
        </w:tc>
        <w:tc>
          <w:tcPr>
            <w:tcW w:type="dxa" w:w="93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~89%</w:t>
            </w:r>
          </w:p>
        </w:tc>
        <w:tc>
          <w:tcPr>
            <w:tcW w:type="dxa" w:w="7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+11%</w:t>
            </w:r>
          </w:p>
        </w:tc>
        <w:tc>
          <w:tcPr>
            <w:tcW w:type="dxa" w:w="309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Legacy code removed; checkout/access semantics hardened; pinned toolchain preflight validated.</w:t>
            </w:r>
          </w:p>
        </w:tc>
        <w:tc>
          <w:tcPr>
            <w:tcW w:type="dxa" w:w="3168"/>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Migration approval and rehearsal.</w:t>
            </w:r>
          </w:p>
        </w:tc>
      </w:tr>
      <w:tr>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Testing / release readiness</w:t>
            </w:r>
          </w:p>
        </w:tc>
        <w:tc>
          <w:tcPr>
            <w:tcW w:type="dxa" w:w="93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~52%</w:t>
            </w:r>
          </w:p>
        </w:tc>
        <w:tc>
          <w:tcPr>
            <w:tcW w:type="dxa" w:w="93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~94%</w:t>
            </w:r>
          </w:p>
        </w:tc>
        <w:tc>
          <w:tcPr>
            <w:tcW w:type="dxa" w:w="79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+42%</w:t>
            </w:r>
          </w:p>
        </w:tc>
        <w:tc>
          <w:tcPr>
            <w:tcW w:type="dxa" w:w="309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Focused checkout, billing, status, evidence, toolchain and migration static checks pass.</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Migration rehearsal not executed; batch/live checks still operator-dependent.</w:t>
            </w:r>
          </w:p>
        </w:tc>
      </w:tr>
      <w:tr>
        <w:tc>
          <w:tcPr>
            <w:tcW w:type="dxa" w:w="180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Migration readiness</w:t>
            </w:r>
          </w:p>
        </w:tc>
        <w:tc>
          <w:tcPr>
            <w:tcW w:type="dxa" w:w="93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~50%</w:t>
            </w:r>
          </w:p>
        </w:tc>
        <w:tc>
          <w:tcPr>
            <w:tcW w:type="dxa" w:w="93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~55%</w:t>
            </w:r>
          </w:p>
        </w:tc>
        <w:tc>
          <w:tcPr>
            <w:tcW w:type="dxa" w:w="7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+5%</w:t>
            </w:r>
          </w:p>
        </w:tc>
        <w:tc>
          <w:tcPr>
            <w:tcW w:type="dxa" w:w="309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Migration sources and approval docs exist; 11-migration inventory checked.</w:t>
            </w:r>
          </w:p>
        </w:tc>
        <w:tc>
          <w:tcPr>
            <w:tcW w:type="dxa" w:w="3168"/>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Table-plan-to-Free mapping, account-column rename approval, approved migration path and rollback review.</w:t>
            </w:r>
          </w:p>
        </w:tc>
      </w:tr>
      <w:tr>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Live cutover readiness</w:t>
            </w:r>
          </w:p>
        </w:tc>
        <w:tc>
          <w:tcPr>
            <w:tcW w:type="dxa" w:w="93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~12%</w:t>
            </w:r>
          </w:p>
        </w:tc>
        <w:tc>
          <w:tcPr>
            <w:tcW w:type="dxa" w:w="93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~20%</w:t>
            </w:r>
          </w:p>
        </w:tc>
        <w:tc>
          <w:tcPr>
            <w:tcW w:type="dxa" w:w="79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+8%</w:t>
            </w:r>
          </w:p>
        </w:tc>
        <w:tc>
          <w:tcPr>
            <w:tcW w:type="dxa" w:w="309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Code and handoff are staging-ready; evidence flow exists.</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Migrations unapplied; provider/email verification, staging smoke and content acceptance still pending.</w:t>
            </w:r>
          </w:p>
        </w:tc>
      </w:tr>
    </w:tbl>
    <w:p>
      <w:pPr>
        <w:spacing w:after="40"/>
      </w:pPr>
    </w:p>
    <w:p>
      <w:r>
        <w:br w:type="page"/>
      </w:r>
    </w:p>
    <w:p>
      <w:pPr>
        <w:pStyle w:val="Heading1"/>
        <w:spacing w:before="160" w:after="60"/>
      </w:pPr>
      <w:r>
        <w:rPr>
          <w:rFonts w:ascii="Arial" w:hAnsi="Arial"/>
          <w:b/>
          <w:color w:val="0B5D6E"/>
          <w:sz w:val="36"/>
        </w:rPr>
        <w:t>5. Detailed delivery phases and current status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800"/>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Phase</w:t>
            </w:r>
          </w:p>
        </w:tc>
        <w:tc>
          <w:tcPr>
            <w:tcW w:type="dxa" w:w="1296"/>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Version 3.4 readiness</w:t>
            </w:r>
          </w:p>
        </w:tc>
        <w:tc>
          <w:tcPr>
            <w:tcW w:type="dxa" w:w="1800"/>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Dates / milestone</w:t>
            </w:r>
          </w:p>
        </w:tc>
        <w:tc>
          <w:tcPr>
            <w:tcW w:type="dxa" w:w="3672"/>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Goal</w:t>
            </w:r>
          </w:p>
        </w:tc>
        <w:tc>
          <w:tcPr>
            <w:tcW w:type="dxa" w:w="2880"/>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Go-live impact</w:t>
            </w:r>
          </w:p>
        </w:tc>
      </w:tr>
      <w:tr>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 Decisions &amp; final scope check</w:t>
            </w:r>
          </w:p>
        </w:tc>
        <w:tc>
          <w:tcPr>
            <w:tcW w:type="dxa" w:w="129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80%</w:t>
            </w:r>
          </w:p>
        </w:tc>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7–9 July, continuing where approval is still open</w:t>
            </w:r>
          </w:p>
        </w:tc>
        <w:tc>
          <w:tcPr>
            <w:tcW w:type="dxa" w:w="3672"/>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Keep Free/Pro scope locked, confirm remaining business approvals and prevent drift.</w:t>
            </w:r>
          </w:p>
        </w:tc>
        <w:tc>
          <w:tcPr>
            <w:tcW w:type="dxa" w:w="288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Required before migration/cutover; incomplete approvals can move the launch.</w:t>
            </w:r>
          </w:p>
        </w:tc>
      </w:tr>
      <w:tr>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B Membership &amp; billing automation</w:t>
            </w:r>
          </w:p>
        </w:tc>
        <w:tc>
          <w:tcPr>
            <w:tcW w:type="dxa" w:w="129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92%</w:t>
            </w:r>
          </w:p>
        </w:tc>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8–15 July</w:t>
            </w:r>
          </w:p>
        </w:tc>
        <w:tc>
          <w:tcPr>
            <w:tcW w:type="dxa" w:w="367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Pro monthly/annual checkout, failed-payment behaviour, billing readiness and access rules.</w:t>
            </w:r>
          </w:p>
        </w:tc>
        <w:tc>
          <w:tcPr>
            <w:tcW w:type="dxa" w:w="288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Core launch requirement; code is hardened, provider/live checks remain.</w:t>
            </w:r>
          </w:p>
        </w:tc>
      </w:tr>
      <w:tr>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 Public landing page / front end</w:t>
            </w:r>
          </w:p>
        </w:tc>
        <w:tc>
          <w:tcPr>
            <w:tcW w:type="dxa" w:w="129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85%</w:t>
            </w:r>
          </w:p>
        </w:tc>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9–22 July</w:t>
            </w:r>
          </w:p>
        </w:tc>
        <w:tc>
          <w:tcPr>
            <w:tcW w:type="dxa" w:w="3672"/>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Bright one-page landing page with clear Pro membership, support/pay-it-forward and calls to action.</w:t>
            </w:r>
          </w:p>
        </w:tc>
        <w:tc>
          <w:tcPr>
            <w:tcW w:type="dxa" w:w="288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Frontend go-live milestone is 22 July; client finished-by date is 24 July; handover buffer by 23 July.</w:t>
            </w:r>
          </w:p>
        </w:tc>
      </w:tr>
      <w:tr>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D Course/content + video decision</w:t>
            </w:r>
          </w:p>
        </w:tc>
        <w:tc>
          <w:tcPr>
            <w:tcW w:type="dxa" w:w="129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70%</w:t>
            </w:r>
          </w:p>
        </w:tc>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10–18 July; client input due 15 July</w:t>
            </w:r>
          </w:p>
        </w:tc>
        <w:tc>
          <w:tcPr>
            <w:tcW w:type="dxa" w:w="367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Configure the 8-week course pilot, representative content and durable video/file decision.</w:t>
            </w:r>
          </w:p>
        </w:tc>
        <w:tc>
          <w:tcPr>
            <w:tcW w:type="dxa" w:w="288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Core launch requirement for course readiness; depends on content arriving on 15 July.</w:t>
            </w:r>
          </w:p>
        </w:tc>
      </w:tr>
      <w:tr>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E Migration + core go-live</w:t>
            </w:r>
          </w:p>
        </w:tc>
        <w:tc>
          <w:tcPr>
            <w:tcW w:type="dxa" w:w="129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55%</w:t>
            </w:r>
          </w:p>
        </w:tc>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18–24 July</w:t>
            </w:r>
          </w:p>
        </w:tc>
        <w:tc>
          <w:tcPr>
            <w:tcW w:type="dxa" w:w="3672"/>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Approval, rehearsal, rollback plan, target-environment verification and core go-live decision.</w:t>
            </w:r>
          </w:p>
        </w:tc>
        <w:tc>
          <w:tcPr>
            <w:tcW w:type="dxa" w:w="288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Go-live cannot proceed until approval and rehearsal evidence are complete.</w:t>
            </w:r>
          </w:p>
        </w:tc>
      </w:tr>
      <w:tr>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F Partner/community preview</w:t>
            </w:r>
          </w:p>
        </w:tc>
        <w:tc>
          <w:tcPr>
            <w:tcW w:type="dxa" w:w="129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50%</w:t>
            </w:r>
          </w:p>
        </w:tc>
        <w:tc>
          <w:tcPr>
            <w:tcW w:type="dxa" w:w="180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25–31 July</w:t>
            </w:r>
          </w:p>
        </w:tc>
        <w:tc>
          <w:tcPr>
            <w:tcW w:type="dxa" w:w="367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Partner tracking/forms/reporting and community/private-room preview.</w:t>
            </w:r>
          </w:p>
        </w:tc>
        <w:tc>
          <w:tcPr>
            <w:tcW w:type="dxa" w:w="288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Can follow core launch unless made launch-critical.</w:t>
            </w:r>
          </w:p>
        </w:tc>
      </w:tr>
      <w:tr>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G Advanced features/live calls</w:t>
            </w:r>
          </w:p>
        </w:tc>
        <w:tc>
          <w:tcPr>
            <w:tcW w:type="dxa" w:w="129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Approx. 10%</w:t>
            </w:r>
          </w:p>
        </w:tc>
        <w:tc>
          <w:tcPr>
            <w:tcW w:type="dxa" w:w="180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August onward</w:t>
            </w:r>
          </w:p>
        </w:tc>
        <w:tc>
          <w:tcPr>
            <w:tcW w:type="dxa" w:w="3672"/>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Private messaging, digests, advanced notifications and live calls.</w:t>
            </w:r>
          </w:p>
        </w:tc>
        <w:tc>
          <w:tcPr>
            <w:tcW w:type="dxa" w:w="288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4"/>
              </w:rPr>
              <w:t>Post-core unless explicitly promoted.</w:t>
            </w:r>
          </w:p>
        </w:tc>
      </w:tr>
    </w:tbl>
    <w:p>
      <w:pPr>
        <w:spacing w:after="40"/>
      </w:pPr>
    </w:p>
    <w:p>
      <w:pPr>
        <w:pStyle w:val="Heading1"/>
        <w:spacing w:before="160" w:after="60"/>
      </w:pPr>
      <w:r>
        <w:rPr>
          <w:rFonts w:ascii="Arial" w:hAnsi="Arial"/>
          <w:b/>
          <w:color w:val="0B5D6E"/>
          <w:sz w:val="36"/>
        </w:rPr>
        <w:t>6. Front-end website delivery update</w:t>
      </w:r>
    </w:p>
    <w:tbl>
      <w:tblPr>
        <w:tblW w:type="auto" w:w="0"/>
        <w:jc w:val="center"/>
        <w:tblLook w:firstColumn="1" w:firstRow="1" w:lastColumn="0" w:lastRow="0" w:noHBand="0" w:noVBand="1" w:val="04A0"/>
      </w:tblPr>
      <w:tblGrid>
        <w:gridCol w:w="10656"/>
      </w:tblGrid>
      <w:tr>
        <w:tc>
          <w:tcPr>
            <w:tcW w:type="dxa" w:w="10656"/>
            <w:shd w:fill="FFF2CC"/>
            <w:tcBorders>
              <w:top w:val="single" w:sz="8" w:space="0" w:color="D6A300"/>
              <w:left w:val="single" w:sz="8" w:space="0" w:color="D6A300"/>
              <w:bottom w:val="single" w:sz="8" w:space="0" w:color="D6A300"/>
              <w:right w:val="single" w:sz="8" w:space="0" w:color="D6A300"/>
              <w:insideH w:val="single" w:sz="8" w:space="0" w:color="D6A300"/>
              <w:insideV w:val="single" w:sz="8" w:space="0" w:color="D6A300"/>
            </w:tcBorders>
          </w:tcPr>
          <w:p>
            <w:pPr>
              <w:spacing w:after="60"/>
            </w:pPr>
            <w:r>
              <w:rPr>
                <w:rFonts w:ascii="Arial" w:hAnsi="Arial"/>
                <w:b/>
                <w:color w:val="B71C1C"/>
                <w:sz w:val="20"/>
              </w:rPr>
              <w:t>FRONT-END DELIVERY HIGHLIGHT</w:t>
            </w:r>
          </w:p>
          <w:p>
            <w:pPr>
              <w:spacing w:after="0"/>
            </w:pPr>
            <w:r>
              <w:rPr>
                <w:rFonts w:ascii="Arial" w:hAnsi="Arial"/>
                <w:color w:val="222222"/>
                <w:sz w:val="18"/>
              </w:rPr>
              <w:t>Client requirement: the front end of the website should be finished on 24 July 2026. To protect that date, the internal delivery/handover target is 23 July 2026 and the front-end go-live milestone remains 22 July 2026.</w:t>
            </w:r>
          </w:p>
        </w:tc>
      </w:tr>
    </w:tbl>
    <w:p>
      <w:pPr>
        <w:spacing w:after="20"/>
      </w:pPr>
    </w:p>
    <w:p>
      <w:pPr>
        <w:spacing w:after="80" w:before="0"/>
      </w:pPr>
      <w:r>
        <w:rPr>
          <w:rFonts w:ascii="Arial" w:hAnsi="Arial"/>
          <w:b w:val="0"/>
          <w:color w:val="222222"/>
          <w:sz w:val="19"/>
        </w:rPr>
        <w:t>This does not require a major timeline change because Version 3.3 already placed the public landing page build and test before the 22–24 July core go-live window. Version 3.4 makes the front-end milestone explicit and separates it from the full migration/cutover decision.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584"/>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Date</w:t>
            </w:r>
          </w:p>
        </w:tc>
        <w:tc>
          <w:tcPr>
            <w:tcW w:type="dxa" w:w="2232"/>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Milestone</w:t>
            </w:r>
          </w:p>
        </w:tc>
        <w:tc>
          <w:tcPr>
            <w:tcW w:type="dxa" w:w="1584"/>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Owner</w:t>
            </w:r>
          </w:p>
        </w:tc>
        <w:tc>
          <w:tcPr>
            <w:tcW w:type="dxa" w:w="4752"/>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4"/>
              </w:rPr>
              <w:t>Dependency / note</w:t>
            </w:r>
          </w:p>
        </w:tc>
      </w:tr>
      <w:tr>
        <w:tc>
          <w:tcPr>
            <w:tcW w:type="dxa" w:w="1584"/>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15 July 2026 (Wednesday)</w:t>
            </w:r>
          </w:p>
        </w:tc>
        <w:tc>
          <w:tcPr>
            <w:tcW w:type="dxa" w:w="2232"/>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 content and information delivery</w:t>
            </w:r>
          </w:p>
        </w:tc>
        <w:tc>
          <w:tcPr>
            <w:tcW w:type="dxa" w:w="1584"/>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w:t>
            </w:r>
          </w:p>
        </w:tc>
        <w:tc>
          <w:tcPr>
            <w:tcW w:type="dxa" w:w="4752"/>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Final public wording, support/pay-it-forward copy, proof/trust items, course/content inputs and any missing pricing language should arrive here to protect 22–24 July.</w:t>
            </w:r>
          </w:p>
        </w:tc>
      </w:tr>
      <w:tr>
        <w:tc>
          <w:tcPr>
            <w:tcW w:type="dxa" w:w="158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16–18 July 2026</w:t>
            </w:r>
          </w:p>
        </w:tc>
        <w:tc>
          <w:tcPr>
            <w:tcW w:type="dxa" w:w="223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Front-end test and final copy polish</w:t>
            </w:r>
          </w:p>
        </w:tc>
        <w:tc>
          <w:tcPr>
            <w:tcW w:type="dxa" w:w="158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Client</w:t>
            </w:r>
          </w:p>
        </w:tc>
        <w:tc>
          <w:tcPr>
            <w:tcW w:type="dxa" w:w="475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Use approved content or confirm placeholder copy where final copy is not ready.</w:t>
            </w:r>
          </w:p>
        </w:tc>
      </w:tr>
      <w:tr>
        <w:tc>
          <w:tcPr>
            <w:tcW w:type="dxa" w:w="1584"/>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22 July 2026</w:t>
            </w:r>
          </w:p>
        </w:tc>
        <w:tc>
          <w:tcPr>
            <w:tcW w:type="dxa" w:w="2232"/>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Front-end website go-live milestone</w:t>
            </w:r>
          </w:p>
        </w:tc>
        <w:tc>
          <w:tcPr>
            <w:tcW w:type="dxa" w:w="1584"/>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w:t>
            </w:r>
          </w:p>
        </w:tc>
        <w:tc>
          <w:tcPr>
            <w:tcW w:type="dxa" w:w="4752"/>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Public-facing landing/front-end should be ready for staging/public review with the new membership offer.</w:t>
            </w:r>
          </w:p>
        </w:tc>
      </w:tr>
      <w:tr>
        <w:tc>
          <w:tcPr>
            <w:tcW w:type="dxa" w:w="158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23 July 2026</w:t>
            </w:r>
          </w:p>
        </w:tc>
        <w:tc>
          <w:tcPr>
            <w:tcW w:type="dxa" w:w="223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Delivery/handover buffer</w:t>
            </w:r>
          </w:p>
        </w:tc>
        <w:tc>
          <w:tcPr>
            <w:tcW w:type="dxa" w:w="158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Client</w:t>
            </w:r>
          </w:p>
        </w:tc>
        <w:tc>
          <w:tcPr>
            <w:tcW w:type="dxa" w:w="475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Buffer day for client review, final notes and non-migration polish before the client’s required finished-by date.</w:t>
            </w:r>
          </w:p>
        </w:tc>
      </w:tr>
      <w:tr>
        <w:tc>
          <w:tcPr>
            <w:tcW w:type="dxa" w:w="1584"/>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24 July 2026</w:t>
            </w:r>
          </w:p>
        </w:tc>
        <w:tc>
          <w:tcPr>
            <w:tcW w:type="dxa" w:w="2232"/>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Client-required finished-by date</w:t>
            </w:r>
          </w:p>
        </w:tc>
        <w:tc>
          <w:tcPr>
            <w:tcW w:type="dxa" w:w="1584"/>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 + Steve</w:t>
            </w:r>
          </w:p>
        </w:tc>
        <w:tc>
          <w:tcPr>
            <w:tcW w:type="dxa" w:w="4752"/>
            <w:shd w:fill="FFF2CC"/>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The front end should be finished by this date. This is not approval to apply migrations.</w:t>
            </w:r>
          </w:p>
        </w:tc>
      </w:tr>
    </w:tbl>
    <w:p>
      <w:pPr>
        <w:spacing w:after="40"/>
      </w:pPr>
    </w:p>
    <w:tbl>
      <w:tblPr>
        <w:tblW w:type="auto" w:w="0"/>
        <w:jc w:val="center"/>
        <w:tblLook w:firstColumn="1" w:firstRow="1" w:lastColumn="0" w:lastRow="0" w:noHBand="0" w:noVBand="1" w:val="04A0"/>
      </w:tblPr>
      <w:tblGrid>
        <w:gridCol w:w="10656"/>
      </w:tblGrid>
      <w:tr>
        <w:tc>
          <w:tcPr>
            <w:tcW w:type="dxa" w:w="10656"/>
            <w:shd w:fill="EAF6EE"/>
            <w:tcBorders>
              <w:top w:val="single" w:sz="8" w:space="0" w:color="8CBF9B"/>
              <w:left w:val="single" w:sz="8" w:space="0" w:color="8CBF9B"/>
              <w:bottom w:val="single" w:sz="8" w:space="0" w:color="8CBF9B"/>
              <w:right w:val="single" w:sz="8" w:space="0" w:color="8CBF9B"/>
              <w:insideH w:val="single" w:sz="8" w:space="0" w:color="8CBF9B"/>
              <w:insideV w:val="single" w:sz="8" w:space="0" w:color="8CBF9B"/>
            </w:tcBorders>
          </w:tcPr>
          <w:p>
            <w:pPr>
              <w:spacing w:after="60"/>
            </w:pPr>
            <w:r>
              <w:rPr>
                <w:rFonts w:ascii="Arial" w:hAnsi="Arial"/>
                <w:b/>
                <w:color w:val="123E5C"/>
                <w:sz w:val="20"/>
              </w:rPr>
              <w:t>Delivery rule</w:t>
            </w:r>
          </w:p>
          <w:p>
            <w:pPr>
              <w:spacing w:after="0"/>
            </w:pPr>
            <w:r>
              <w:rPr>
                <w:rFonts w:ascii="Arial" w:hAnsi="Arial"/>
                <w:color w:val="222222"/>
                <w:sz w:val="18"/>
              </w:rPr>
              <w:t>The 22 July front-end milestone can be kept if the 15 July content arrives and final wording is either approved or placeholder copy is explicitly accepted. Full core platform cutover still depends on migration approval, provider/email checks, staging smoke and final acceptance.</w:t>
            </w:r>
          </w:p>
        </w:tc>
      </w:tr>
    </w:tbl>
    <w:p>
      <w:pPr>
        <w:spacing w:after="20"/>
      </w:pPr>
    </w:p>
    <w:p>
      <w:r>
        <w:br w:type="page"/>
      </w:r>
    </w:p>
    <w:p>
      <w:pPr>
        <w:pStyle w:val="Heading1"/>
        <w:spacing w:before="160" w:after="60"/>
      </w:pPr>
      <w:r>
        <w:rPr>
          <w:rFonts w:ascii="Arial" w:hAnsi="Arial"/>
          <w:b/>
          <w:color w:val="0B5D6E"/>
          <w:sz w:val="36"/>
        </w:rPr>
        <w:t>7. Membership, pricing and support access</w:t>
      </w:r>
    </w:p>
    <w:p>
      <w:pPr>
        <w:spacing w:after="80" w:before="0"/>
      </w:pPr>
      <w:r>
        <w:rPr>
          <w:rFonts w:ascii="Arial" w:hAnsi="Arial"/>
          <w:b w:val="0"/>
          <w:color w:val="222222"/>
          <w:sz w:val="19"/>
        </w:rPr>
        <w:t>Version 3.4 keeps the clarified offer: one paid JPV Bootcamp Membership with monthly and annual payment options. Free access remains controlled non-paid access for approved support, staff/admin cases and pay-it-forward flows; it is not a public free product tier.</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Decision</w:t>
            </w:r>
          </w:p>
        </w:tc>
        <w:tc>
          <w:tcPr>
            <w:tcW w:type="dxa" w:w="4320"/>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Version 3.4 current answer</w:t>
            </w:r>
          </w:p>
        </w:tc>
        <w:tc>
          <w:tcPr>
            <w:tcW w:type="dxa" w:w="3312"/>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Status</w:t>
            </w:r>
          </w:p>
        </w:tc>
      </w:tr>
      <w:tr>
        <w:tc>
          <w:tcPr>
            <w:tcW w:type="dxa" w:w="1728"/>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Public membership</w:t>
            </w:r>
          </w:p>
        </w:tc>
        <w:tc>
          <w:tcPr>
            <w:tcW w:type="dxa" w:w="432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Show one paid membership: Pro / JPV Bootcamp Membership.</w:t>
            </w:r>
          </w:p>
        </w:tc>
        <w:tc>
          <w:tcPr>
            <w:tcW w:type="dxa" w:w="331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Implemented in code/docs; final wording still client-visible.</w:t>
            </w:r>
          </w:p>
        </w:tc>
      </w:tr>
      <w:tr>
        <w:tc>
          <w:tcPr>
            <w:tcW w:type="dxa" w:w="172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Monthly payment</w:t>
            </w:r>
          </w:p>
        </w:tc>
        <w:tc>
          <w:tcPr>
            <w:tcW w:type="dxa" w:w="432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£80/month with 12-month commitment.</w:t>
            </w:r>
          </w:p>
        </w:tc>
        <w:tc>
          <w:tcPr>
            <w:tcW w:type="dxa" w:w="331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Planned and configured for Pro monthly path; live provider checks remain.</w:t>
            </w:r>
          </w:p>
        </w:tc>
      </w:tr>
      <w:tr>
        <w:tc>
          <w:tcPr>
            <w:tcW w:type="dxa" w:w="1728"/>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Annual payment</w:t>
            </w:r>
          </w:p>
        </w:tc>
        <w:tc>
          <w:tcPr>
            <w:tcW w:type="dxa" w:w="432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£880 upfront for 12 months with one month free.</w:t>
            </w:r>
          </w:p>
        </w:tc>
        <w:tc>
          <w:tcPr>
            <w:tcW w:type="dxa" w:w="331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Planned and configured for Pro annual path; live provider checks remain.</w:t>
            </w:r>
          </w:p>
        </w:tc>
      </w:tr>
      <w:tr>
        <w:tc>
          <w:tcPr>
            <w:tcW w:type="dxa" w:w="172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Free/support access</w:t>
            </w:r>
          </w:p>
        </w:tc>
        <w:tc>
          <w:tcPr>
            <w:tcW w:type="dxa" w:w="432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Controlled non-paid access only; not marketed as a public free tier.</w:t>
            </w:r>
          </w:p>
        </w:tc>
        <w:tc>
          <w:tcPr>
            <w:tcW w:type="dxa" w:w="331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Support/pay-it-forward semantics refit to Free access.</w:t>
            </w:r>
          </w:p>
        </w:tc>
      </w:tr>
      <w:tr>
        <w:tc>
          <w:tcPr>
            <w:tcW w:type="dxa" w:w="1728"/>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Old tiers</w:t>
            </w:r>
          </w:p>
        </w:tc>
        <w:tc>
          <w:tcPr>
            <w:tcW w:type="dxa" w:w="4320"/>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No active public VIP/exhibitor/old portal paths.</w:t>
            </w:r>
          </w:p>
        </w:tc>
        <w:tc>
          <w:tcPr>
            <w:tcW w:type="dxa" w:w="331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Removed from active paths; allowed exceptions are documented migration/negative-rule mentions.</w:t>
            </w:r>
          </w:p>
        </w:tc>
      </w:tr>
    </w:tbl>
    <w:p>
      <w:pPr>
        <w:spacing w:after="40"/>
      </w:pPr>
    </w:p>
    <w:p>
      <w:pPr>
        <w:pStyle w:val="Heading1"/>
        <w:spacing w:before="160" w:after="60"/>
      </w:pPr>
      <w:r>
        <w:rPr>
          <w:rFonts w:ascii="Arial" w:hAnsi="Arial"/>
          <w:b/>
          <w:color w:val="0B5D6E"/>
          <w:sz w:val="36"/>
        </w:rPr>
        <w:t>8. Migration approval and cutover status</w:t>
      </w:r>
    </w:p>
    <w:p>
      <w:pPr>
        <w:spacing w:after="80" w:before="0"/>
      </w:pPr>
      <w:r>
        <w:rPr>
          <w:rFonts w:ascii="Arial" w:hAnsi="Arial"/>
          <w:b w:val="0"/>
          <w:color w:val="222222"/>
          <w:sz w:val="19"/>
        </w:rPr>
        <w:t>The migration path is prepared but not approved for execution. The feature branch contains the migration sources and safety documentation needed for target-environment approval, but no migration has been applied.</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Approval item</w:t>
            </w:r>
          </w:p>
        </w:tc>
        <w:tc>
          <w:tcPr>
            <w:tcW w:type="dxa" w:w="2016"/>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Version 3.4 status</w:t>
            </w:r>
          </w:p>
        </w:tc>
        <w:tc>
          <w:tcPr>
            <w:tcW w:type="dxa" w:w="5328"/>
            <w:shd w:fill="B71C1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Why it matters</w:t>
            </w:r>
          </w:p>
        </w:tc>
      </w:tr>
      <w:tr>
        <w:tc>
          <w:tcPr>
            <w:tcW w:type="dxa" w:w="2232"/>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Table-plan-to-Free mapping</w:t>
            </w:r>
          </w:p>
        </w:tc>
        <w:tc>
          <w:tcPr>
            <w:tcW w:type="dxa" w:w="2016"/>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 approval</w:t>
            </w:r>
          </w:p>
        </w:tc>
        <w:tc>
          <w:tcPr>
            <w:tcW w:type="dxa" w:w="5328"/>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Legacy table-plan values are intended to become controlled Free access, not a third paid product.</w:t>
            </w:r>
          </w:p>
        </w:tc>
      </w:tr>
      <w:tr>
        <w:tc>
          <w:tcPr>
            <w:tcW w:type="dxa" w:w="223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Account-column rename</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 approval</w:t>
            </w:r>
          </w:p>
        </w:tc>
        <w:tc>
          <w:tcPr>
            <w:tcW w:type="dxa" w:w="532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Old account-reference columns are renamed to neutral account names without dropping records.</w:t>
            </w:r>
          </w:p>
        </w:tc>
      </w:tr>
      <w:tr>
        <w:tc>
          <w:tcPr>
            <w:tcW w:type="dxa" w:w="2232"/>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Approved migration path</w:t>
            </w:r>
          </w:p>
        </w:tc>
        <w:tc>
          <w:tcPr>
            <w:tcW w:type="dxa" w:w="2016"/>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 confirmation</w:t>
            </w:r>
          </w:p>
        </w:tc>
        <w:tc>
          <w:tcPr>
            <w:tcW w:type="dxa" w:w="5328"/>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Migrations must be run only through the approved database migration path.</w:t>
            </w:r>
          </w:p>
        </w:tc>
      </w:tr>
      <w:tr>
        <w:tc>
          <w:tcPr>
            <w:tcW w:type="dxa" w:w="223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Rollback/recovery review</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w:t>
            </w:r>
          </w:p>
        </w:tc>
        <w:tc>
          <w:tcPr>
            <w:tcW w:type="dxa" w:w="532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A backup/snapshot and rollback owner must be confirmed before rehearsal/execution.</w:t>
            </w:r>
          </w:p>
        </w:tc>
      </w:tr>
      <w:tr>
        <w:tc>
          <w:tcPr>
            <w:tcW w:type="dxa" w:w="2232"/>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Staging smoke evidence</w:t>
            </w:r>
          </w:p>
        </w:tc>
        <w:tc>
          <w:tcPr>
            <w:tcW w:type="dxa" w:w="2016"/>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w:t>
            </w:r>
          </w:p>
        </w:tc>
        <w:tc>
          <w:tcPr>
            <w:tcW w:type="dxa" w:w="5328"/>
            <w:shd w:fill="FDE9E7"/>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Operator evidence must be captured after the staging smoke run.</w:t>
            </w:r>
          </w:p>
        </w:tc>
      </w:tr>
      <w:tr>
        <w:tc>
          <w:tcPr>
            <w:tcW w:type="dxa" w:w="223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Provider/email live verification</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w:t>
            </w:r>
          </w:p>
        </w:tc>
        <w:tc>
          <w:tcPr>
            <w:tcW w:type="dxa" w:w="532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Email provider and Stripe/live mode checks must be verified without leaking secrets.</w:t>
            </w:r>
          </w:p>
        </w:tc>
      </w:tr>
    </w:tbl>
    <w:p>
      <w:pPr>
        <w:spacing w:after="40"/>
      </w:pPr>
    </w:p>
    <w:tbl>
      <w:tblPr>
        <w:tblW w:type="auto" w:w="0"/>
        <w:jc w:val="center"/>
        <w:tblLook w:firstColumn="1" w:firstRow="1" w:lastColumn="0" w:lastRow="0" w:noHBand="0" w:noVBand="1" w:val="04A0"/>
      </w:tblPr>
      <w:tblGrid>
        <w:gridCol w:w="10656"/>
      </w:tblGrid>
      <w:tr>
        <w:tc>
          <w:tcPr>
            <w:tcW w:type="dxa" w:w="10656"/>
            <w:shd w:fill="FDE9E7"/>
            <w:tcBorders>
              <w:top w:val="single" w:sz="8" w:space="0" w:color="C0392B"/>
              <w:left w:val="single" w:sz="8" w:space="0" w:color="C0392B"/>
              <w:bottom w:val="single" w:sz="8" w:space="0" w:color="C0392B"/>
              <w:right w:val="single" w:sz="8" w:space="0" w:color="C0392B"/>
              <w:insideH w:val="single" w:sz="8" w:space="0" w:color="C0392B"/>
              <w:insideV w:val="single" w:sz="8" w:space="0" w:color="C0392B"/>
            </w:tcBorders>
          </w:tcPr>
          <w:p>
            <w:pPr>
              <w:spacing w:after="60"/>
            </w:pPr>
            <w:r>
              <w:rPr>
                <w:rFonts w:ascii="Arial" w:hAnsi="Arial"/>
                <w:b/>
                <w:color w:val="B71C1C"/>
                <w:sz w:val="20"/>
              </w:rPr>
              <w:t>Hard stop</w:t>
            </w:r>
          </w:p>
          <w:p>
            <w:pPr>
              <w:spacing w:after="0"/>
            </w:pPr>
            <w:r>
              <w:rPr>
                <w:rFonts w:ascii="Arial" w:hAnsi="Arial"/>
                <w:color w:val="222222"/>
                <w:sz w:val="18"/>
              </w:rPr>
              <w:t>Do not apply migrations without written target-environment approval. Do not treat the front-end go-live milestone as migration approval.</w:t>
            </w:r>
          </w:p>
        </w:tc>
      </w:tr>
    </w:tbl>
    <w:p>
      <w:pPr>
        <w:spacing w:after="20"/>
      </w:pPr>
    </w:p>
    <w:p>
      <w:pPr>
        <w:pStyle w:val="Heading1"/>
        <w:spacing w:before="160" w:after="60"/>
      </w:pPr>
      <w:r>
        <w:rPr>
          <w:rFonts w:ascii="Arial" w:hAnsi="Arial"/>
          <w:b/>
          <w:color w:val="0B5D6E"/>
          <w:sz w:val="36"/>
        </w:rPr>
        <w:t>9. Acceptance plan for the 22–24 July window</w:t>
      </w:r>
    </w:p>
    <w:tbl>
      <w:tblPr>
        <w:tblStyle w:val="TableGrid"/>
        <w:tblW w:type="auto" w:w="0"/>
        <w:jc w:val="center"/>
        <w:tblLook w:firstColumn="1" w:firstRow="1" w:lastColumn="0" w:lastRow="0" w:noHBand="0" w:noVBand="1" w:val="04A0"/>
      </w:tblPr>
      <w:tblGrid>
        <w:gridCol w:w="3552"/>
        <w:gridCol w:w="3552"/>
        <w:gridCol w:w="3552"/>
      </w:tblGrid>
      <w:tr>
        <w:tc>
          <w:tcPr>
            <w:tcW w:type="dxa" w:w="1944"/>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Area</w:t>
            </w:r>
          </w:p>
        </w:tc>
        <w:tc>
          <w:tcPr>
            <w:tcW w:type="dxa" w:w="4320"/>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Acceptance check</w:t>
            </w:r>
          </w:p>
        </w:tc>
        <w:tc>
          <w:tcPr>
            <w:tcW w:type="dxa" w:w="3168"/>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Version 3.4 status</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Public site / front end</w:t>
            </w:r>
          </w:p>
        </w:tc>
        <w:tc>
          <w:tcPr>
            <w:tcW w:type="dxa" w:w="432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Review the landing page and confirm offer, wording and calls to action.</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Milestone set for 22 July; client inputs due 15 July.</w:t>
            </w:r>
          </w:p>
        </w:tc>
      </w:tr>
      <w:tr>
        <w:tc>
          <w:tcPr>
            <w:tcW w:type="dxa" w:w="194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Membership checkout</w:t>
            </w:r>
          </w:p>
        </w:tc>
        <w:tc>
          <w:tcPr>
            <w:tcW w:type="dxa" w:w="432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Monthly and annual Pro checkout flows start correctly; legacy values fail safely.</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Code/static checks pass; staging smoke still required.</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Billing recovery</w:t>
            </w:r>
          </w:p>
        </w:tc>
        <w:tc>
          <w:tcPr>
            <w:tcW w:type="dxa" w:w="432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Failed-payment emails and access rules behave as agreed.</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Automated readiness exists; provider/email checks remain.</w:t>
            </w:r>
          </w:p>
        </w:tc>
      </w:tr>
      <w:tr>
        <w:tc>
          <w:tcPr>
            <w:tcW w:type="dxa" w:w="194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Member portal</w:t>
            </w:r>
          </w:p>
        </w:tc>
        <w:tc>
          <w:tcPr>
            <w:tcW w:type="dxa" w:w="432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Member can sign in, access the right course and manage account.</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Staging smoke still required.</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Course pilot</w:t>
            </w:r>
          </w:p>
        </w:tc>
        <w:tc>
          <w:tcPr>
            <w:tcW w:type="dxa" w:w="432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8-week structure, lessons, resources and progress are visible/editable.</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Representative content still needed.</w:t>
            </w:r>
          </w:p>
        </w:tc>
      </w:tr>
      <w:tr>
        <w:tc>
          <w:tcPr>
            <w:tcW w:type="dxa" w:w="194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Migration rehearsal</w:t>
            </w:r>
          </w:p>
        </w:tc>
        <w:tc>
          <w:tcPr>
            <w:tcW w:type="dxa" w:w="4320"/>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Sample existing members map correctly to the new access model.</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 approval and rehearsal.</w:t>
            </w:r>
          </w:p>
        </w:tc>
      </w:tr>
      <w:tr>
        <w:tc>
          <w:tcPr>
            <w:tcW w:type="dxa" w:w="194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Cutover rehearsal</w:t>
            </w:r>
          </w:p>
        </w:tc>
        <w:tc>
          <w:tcPr>
            <w:tcW w:type="dxa" w:w="4320"/>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Launch, pause and rollback plan are understood and accepted.</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6"/>
              </w:rPr>
              <w:t>Pending approval and evidence.</w:t>
            </w:r>
          </w:p>
        </w:tc>
      </w:tr>
    </w:tbl>
    <w:p>
      <w:pPr>
        <w:spacing w:after="40"/>
      </w:pPr>
    </w:p>
    <w:p>
      <w:r>
        <w:br w:type="page"/>
      </w:r>
    </w:p>
    <w:p>
      <w:pPr>
        <w:pStyle w:val="Heading1"/>
        <w:spacing w:before="160" w:after="60"/>
      </w:pPr>
      <w:r>
        <w:rPr>
          <w:rFonts w:ascii="Arial" w:hAnsi="Arial"/>
          <w:b/>
          <w:color w:val="0B5D6E"/>
          <w:sz w:val="36"/>
        </w:rPr>
        <w:t>10. Version 3.4 timeline and phased go-live plan</w:t>
      </w:r>
    </w:p>
    <w:p>
      <w:pPr>
        <w:spacing w:after="80" w:before="0"/>
      </w:pPr>
      <w:r>
        <w:rPr>
          <w:rFonts w:ascii="Arial" w:hAnsi="Arial"/>
          <w:b w:val="0"/>
          <w:color w:val="222222"/>
          <w:sz w:val="19"/>
        </w:rPr>
        <w:t>The plan still uses overlapping phases. Version 3.4 makes the front-end milestone more explicit while keeping the core 22–24 July go-live window dependent on content, smoke, provider/email verification, migration approval and rehearsal.</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872"/>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Phase</w:t>
            </w:r>
          </w:p>
        </w:tc>
        <w:tc>
          <w:tcPr>
            <w:tcW w:type="dxa" w:w="1224"/>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7–9 Jul</w:t>
            </w:r>
          </w:p>
        </w:tc>
        <w:tc>
          <w:tcPr>
            <w:tcW w:type="dxa" w:w="1224"/>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10–14 Jul</w:t>
            </w:r>
          </w:p>
        </w:tc>
        <w:tc>
          <w:tcPr>
            <w:tcW w:type="dxa" w:w="1656"/>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15–18 Jul</w:t>
            </w:r>
          </w:p>
        </w:tc>
        <w:tc>
          <w:tcPr>
            <w:tcW w:type="dxa" w:w="2592"/>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21–24 Jul</w:t>
            </w:r>
          </w:p>
        </w:tc>
        <w:tc>
          <w:tcPr>
            <w:tcW w:type="dxa" w:w="1224"/>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25–31 Jul</w:t>
            </w:r>
          </w:p>
        </w:tc>
        <w:tc>
          <w:tcPr>
            <w:tcW w:type="dxa" w:w="1152"/>
            <w:shd w:fill="0D6F3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3"/>
              </w:rPr>
              <w:t>August</w:t>
            </w:r>
          </w:p>
        </w:tc>
      </w:tr>
      <w:tr>
        <w:tc>
          <w:tcPr>
            <w:tcW w:type="dxa" w:w="187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A Decisions &amp; final scope</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LOCK</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65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25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15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r>
      <w:tr>
        <w:tc>
          <w:tcPr>
            <w:tcW w:type="dxa" w:w="187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B Membership &amp; billing automation</w:t>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DONE/HARDEN</w:t>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VALIDATE</w:t>
            </w:r>
          </w:p>
        </w:tc>
        <w:tc>
          <w:tcPr>
            <w:tcW w:type="dxa" w:w="165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SMOKE PREP</w:t>
            </w:r>
          </w:p>
        </w:tc>
        <w:tc>
          <w:tcPr>
            <w:tcW w:type="dxa" w:w="259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15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r>
      <w:tr>
        <w:tc>
          <w:tcPr>
            <w:tcW w:type="dxa" w:w="187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C Public landing page / front end</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START</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BUILD</w:t>
            </w:r>
          </w:p>
        </w:tc>
        <w:tc>
          <w:tcPr>
            <w:tcW w:type="dxa" w:w="165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TEST + CONTENT</w:t>
            </w:r>
          </w:p>
        </w:tc>
        <w:tc>
          <w:tcPr>
            <w:tcW w:type="dxa" w:w="25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22 JUL FRONT-END GO-LIVE / 23 JUL HANDOVER / 24 JUL FINISHED-BY</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15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r>
      <w:tr>
        <w:tc>
          <w:tcPr>
            <w:tcW w:type="dxa" w:w="187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D Course/content + video</w:t>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BUILD</w:t>
            </w:r>
          </w:p>
        </w:tc>
        <w:tc>
          <w:tcPr>
            <w:tcW w:type="dxa" w:w="165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15 JUL CONTENT DUE + READY</w:t>
            </w:r>
          </w:p>
        </w:tc>
        <w:tc>
          <w:tcPr>
            <w:tcW w:type="dxa" w:w="259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15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r>
      <w:tr>
        <w:tc>
          <w:tcPr>
            <w:tcW w:type="dxa" w:w="187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E Migration + core go-live</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65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APPROVAL PREP</w:t>
            </w:r>
          </w:p>
        </w:tc>
        <w:tc>
          <w:tcPr>
            <w:tcW w:type="dxa" w:w="25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REHEARSAL / GO-LIVE IF APPROVED</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15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r>
      <w:tr>
        <w:tc>
          <w:tcPr>
            <w:tcW w:type="dxa" w:w="187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F Partner/community preview</w:t>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65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259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PREP</w:t>
            </w:r>
          </w:p>
        </w:tc>
        <w:tc>
          <w:tcPr>
            <w:tcW w:type="dxa" w:w="122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PREVIEW</w:t>
            </w:r>
          </w:p>
        </w:tc>
        <w:tc>
          <w:tcPr>
            <w:tcW w:type="dxa" w:w="1152"/>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r>
      <w:tr>
        <w:tc>
          <w:tcPr>
            <w:tcW w:type="dxa" w:w="187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G Advanced features/live calls</w:t>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656"/>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259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r>
          </w:p>
        </w:tc>
        <w:tc>
          <w:tcPr>
            <w:tcW w:type="dxa" w:w="1224"/>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PLAN</w:t>
            </w:r>
          </w:p>
        </w:tc>
        <w:tc>
          <w:tcPr>
            <w:tcW w:type="dxa" w:w="1152"/>
            <w:shd w:fill="EAF6EE"/>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3"/>
              </w:rPr>
              <w:t>BUILD</w:t>
            </w:r>
          </w:p>
        </w:tc>
      </w:tr>
    </w:tbl>
    <w:p>
      <w:pPr>
        <w:spacing w:after="40"/>
      </w:pPr>
    </w:p>
    <w:p>
      <w:pPr>
        <w:pStyle w:val="Heading1"/>
        <w:spacing w:before="160" w:after="60"/>
      </w:pPr>
      <w:r>
        <w:rPr>
          <w:rFonts w:ascii="Arial" w:hAnsi="Arial"/>
          <w:b/>
          <w:color w:val="0B5D6E"/>
          <w:sz w:val="36"/>
        </w:rPr>
        <w:t>11. Next steps</w:t>
      </w:r>
    </w:p>
    <w:tbl>
      <w:tblPr>
        <w:tblStyle w:val="TableGrid"/>
        <w:tblW w:type="auto" w:w="0"/>
        <w:jc w:val="center"/>
        <w:tblLook w:firstColumn="1" w:firstRow="1" w:lastColumn="0" w:lastRow="0" w:noHBand="0" w:noVBand="1" w:val="04A0"/>
      </w:tblPr>
      <w:tblGrid>
        <w:gridCol w:w="3552"/>
        <w:gridCol w:w="3552"/>
        <w:gridCol w:w="3552"/>
      </w:tblGrid>
      <w:tr>
        <w:tc>
          <w:tcPr>
            <w:tcW w:type="dxa" w:w="4464"/>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Step</w:t>
            </w:r>
          </w:p>
        </w:tc>
        <w:tc>
          <w:tcPr>
            <w:tcW w:type="dxa" w:w="2016"/>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Owner</w:t>
            </w:r>
          </w:p>
        </w:tc>
        <w:tc>
          <w:tcPr>
            <w:tcW w:type="dxa" w:w="3168"/>
            <w:shd w:fill="123E5C"/>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vAlign w:val="center"/>
          </w:tcPr>
          <w:p>
            <w:pPr>
              <w:spacing w:after="0"/>
              <w:jc w:val="center"/>
            </w:pPr>
            <w:r>
              <w:rPr>
                <w:rFonts w:ascii="Arial" w:hAnsi="Arial"/>
                <w:b/>
                <w:color w:val="FFFFFF"/>
                <w:sz w:val="16"/>
              </w:rPr>
              <w:t>Target</w:t>
            </w:r>
          </w:p>
        </w:tc>
      </w:tr>
      <w:tr>
        <w:tc>
          <w:tcPr>
            <w:tcW w:type="dxa" w:w="446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Provide final website/front-end content or approve placeholders.</w:t>
            </w:r>
          </w:p>
        </w:tc>
        <w:tc>
          <w:tcPr>
            <w:tcW w:type="dxa" w:w="20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15 July 2026, Wednesday.</w:t>
            </w:r>
          </w:p>
        </w:tc>
      </w:tr>
      <w:tr>
        <w:tc>
          <w:tcPr>
            <w:tcW w:type="dxa" w:w="446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Confirm membership wording, billing wording and support/pay-it-forward copy.</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 + Steve</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By 15 July where possible; before final front-end acceptance.</w:t>
            </w:r>
          </w:p>
        </w:tc>
      </w:tr>
      <w:tr>
        <w:tc>
          <w:tcPr>
            <w:tcW w:type="dxa" w:w="446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Run static preflight and evidence draft workflow.</w:t>
            </w:r>
          </w:p>
        </w:tc>
        <w:tc>
          <w:tcPr>
            <w:tcW w:type="dxa" w:w="20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operator</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Before staging smoke.</w:t>
            </w:r>
          </w:p>
        </w:tc>
      </w:tr>
      <w:tr>
        <w:tc>
          <w:tcPr>
            <w:tcW w:type="dxa" w:w="446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Run staging smoke and capture evidence.</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Client</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Before final 22–24 July launch decision.</w:t>
            </w:r>
          </w:p>
        </w:tc>
      </w:tr>
      <w:tr>
        <w:tc>
          <w:tcPr>
            <w:tcW w:type="dxa" w:w="446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Complete provider/email live verification evidence.</w:t>
            </w:r>
          </w:p>
        </w:tc>
        <w:tc>
          <w:tcPr>
            <w:tcW w:type="dxa" w:w="20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Client</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Before production-facing communication acceptance.</w:t>
            </w:r>
          </w:p>
        </w:tc>
      </w:tr>
      <w:tr>
        <w:tc>
          <w:tcPr>
            <w:tcW w:type="dxa" w:w="446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Approve table-plan-to-Free mapping and account-column rename.</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 / target-environment owner</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Before any migration rehearsal or execution.</w:t>
            </w:r>
          </w:p>
        </w:tc>
      </w:tr>
      <w:tr>
        <w:tc>
          <w:tcPr>
            <w:tcW w:type="dxa" w:w="446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Run migration/cutover rehearsal and rollback review.</w:t>
            </w:r>
          </w:p>
        </w:tc>
        <w:tc>
          <w:tcPr>
            <w:tcW w:type="dxa" w:w="20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Client</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Only after written approval.</w:t>
            </w:r>
          </w:p>
        </w:tc>
      </w:tr>
      <w:tr>
        <w:tc>
          <w:tcPr>
            <w:tcW w:type="dxa" w:w="446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Frontend website go-live milestone.</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22 July 2026.</w:t>
            </w:r>
          </w:p>
        </w:tc>
      </w:tr>
      <w:tr>
        <w:tc>
          <w:tcPr>
            <w:tcW w:type="dxa" w:w="4464"/>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Frontend handover buffer.</w:t>
            </w:r>
          </w:p>
        </w:tc>
        <w:tc>
          <w:tcPr>
            <w:tcW w:type="dxa" w:w="2016"/>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Steve + Client</w:t>
            </w:r>
          </w:p>
        </w:tc>
        <w:tc>
          <w:tcPr>
            <w:tcW w:type="dxa" w:w="3168"/>
            <w:shd w:fill="EAF4F8"/>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23 July 2026.</w:t>
            </w:r>
          </w:p>
        </w:tc>
      </w:tr>
      <w:tr>
        <w:tc>
          <w:tcPr>
            <w:tcW w:type="dxa" w:w="4464"/>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 required front-end finished-by date.</w:t>
            </w:r>
          </w:p>
        </w:tc>
        <w:tc>
          <w:tcPr>
            <w:tcW w:type="dxa" w:w="2016"/>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Client + Steve</w:t>
            </w:r>
          </w:p>
        </w:tc>
        <w:tc>
          <w:tcPr>
            <w:tcW w:type="dxa" w:w="3168"/>
            <w:shd w:fill="FFFFFF"/>
            <w:tcBorders>
              <w:top w:val="single" w:sz="4" w:space="0" w:color="D6DEE3"/>
              <w:left w:val="single" w:sz="4" w:space="0" w:color="D6DEE3"/>
              <w:bottom w:val="single" w:sz="4" w:space="0" w:color="D6DEE3"/>
              <w:right w:val="single" w:sz="4" w:space="0" w:color="D6DEE3"/>
              <w:insideH w:val="single" w:sz="4" w:space="0" w:color="D6DEE3"/>
              <w:insideV w:val="single" w:sz="4" w:space="0" w:color="D6DEE3"/>
            </w:tcBorders>
            <w:vAlign w:val="top"/>
          </w:tcPr>
          <w:p>
            <w:pPr>
              <w:spacing w:after="0"/>
            </w:pPr>
            <w:r>
              <w:rPr>
                <w:rFonts w:ascii="Arial" w:hAnsi="Arial"/>
                <w:color w:val="222222"/>
                <w:sz w:val="15"/>
              </w:rPr>
              <w:t>24 July 2026.</w:t>
            </w:r>
          </w:p>
        </w:tc>
      </w:tr>
    </w:tbl>
    <w:p>
      <w:pPr>
        <w:spacing w:after="40"/>
      </w:pPr>
    </w:p>
    <w:tbl>
      <w:tblPr>
        <w:tblW w:type="auto" w:w="0"/>
        <w:jc w:val="center"/>
        <w:tblLook w:firstColumn="1" w:firstRow="1" w:lastColumn="0" w:lastRow="0" w:noHBand="0" w:noVBand="1" w:val="04A0"/>
      </w:tblPr>
      <w:tblGrid>
        <w:gridCol w:w="10656"/>
      </w:tblGrid>
      <w:tr>
        <w:tc>
          <w:tcPr>
            <w:tcW w:type="dxa" w:w="10656"/>
            <w:shd w:fill="EAF4F8"/>
            <w:tcBorders>
              <w:top w:val="single" w:sz="8" w:space="0" w:color="89BFD3"/>
              <w:left w:val="single" w:sz="8" w:space="0" w:color="89BFD3"/>
              <w:bottom w:val="single" w:sz="8" w:space="0" w:color="89BFD3"/>
              <w:right w:val="single" w:sz="8" w:space="0" w:color="89BFD3"/>
              <w:insideH w:val="single" w:sz="8" w:space="0" w:color="89BFD3"/>
              <w:insideV w:val="single" w:sz="8" w:space="0" w:color="89BFD3"/>
            </w:tcBorders>
          </w:tcPr>
          <w:p>
            <w:pPr>
              <w:spacing w:after="60"/>
            </w:pPr>
            <w:r>
              <w:rPr>
                <w:rFonts w:ascii="Arial" w:hAnsi="Arial"/>
                <w:b/>
                <w:color w:val="123E5C"/>
                <w:sz w:val="20"/>
              </w:rPr>
              <w:t>Final note</w:t>
            </w:r>
          </w:p>
          <w:p>
            <w:pPr>
              <w:spacing w:after="0"/>
            </w:pPr>
            <w:r>
              <w:rPr>
                <w:rFonts w:ascii="Arial" w:hAnsi="Arial"/>
                <w:color w:val="222222"/>
                <w:sz w:val="18"/>
              </w:rPr>
              <w:t>Version 3.4 shows strong progress on the build, staging safety and operator readiness. The remaining schedule risk is not the branch itself; it is late content, missing approval, provider/email verification, staging smoke or migration uncertainty.</w:t>
            </w:r>
          </w:p>
        </w:tc>
      </w:tr>
    </w:tbl>
    <w:p>
      <w:pPr>
        <w:spacing w:after="20"/>
      </w:pP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JPV Bootcamp Platform Expansion &amp; Go-Live Plan Version 3.4 | Client review update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