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drawing>
          <wp:inline xmlns:wp="http://schemas.openxmlformats.org/drawingml/2006/wordprocessingDrawing" distT="0" distB="0" distL="0" distR="0">
            <wp:extent cx="914400" cy="914400"/>
            <wp:docPr id="1" name="JPV logo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pv-logo.png"/>
                    <pic:cNvPicPr/>
                  </pic:nvPicPr>
                  <pic:blipFill>
                    <a:blip xmlns:r="http://schemas.openxmlformats.org/officeDocument/2006/relationships" r:embed="rIdLogo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mallCenter"/>
      </w:pPr>
      <w:r>
        <w:t xml:space="preserve">JPV BOOTCAMP</w:t>
      </w:r>
    </w:p>
    <w:p>
      <w:pPr>
        <w:pStyle w:val="Title"/>
      </w:pPr>
      <w:r>
        <w:t xml:space="preserve">JPV Bootcamp Platform Expansion &amp; Go-Live Plan</w:t>
      </w:r>
    </w:p>
    <w:p>
      <w:pPr>
        <w:pStyle w:val="Subtitle"/>
      </w:pPr>
      <w:r>
        <w:t xml:space="preserve">Client implementation plan, progress comparison, delivery timeline, decisions and launch expectations</w:t>
      </w:r>
    </w:p>
    <w:p>
      <w:pPr>
        <w:pStyle w:val="BoldCenter"/>
      </w:pPr>
      <w:r>
        <w:t>Version 3.7 • Updated implementation progress and front-end delivery timeline • 17 July 2026</w:t>
      </w:r>
    </w:p>
    <w:tbl>
      <w:tblPr>
        <w:tblW w:w="9800" w:type="dxa"/>
        <w:tblBorders>
          <w:top w:val="single" w:sz="8" w:color="6BB6C9"/>
          <w:left w:val="single" w:sz="8" w:color="6BB6C9"/>
          <w:bottom w:val="single" w:sz="8" w:color="6BB6C9"/>
          <w:right w:val="single" w:sz="8" w:color="6BB6C9"/>
        </w:tblBorders>
      </w:tblPr>
      <w:tblGrid>
        <w:gridCol w:w="9800"/>
      </w:tblGrid>
      <w:tr>
        <w:trPr>
          <w:cantSplit/>
        </w:trPr>
        <w:tc>
          <w:tcPr>
            <w:shd w:fill="EAF6FB"/>
            <w:tcW w:w="9800" w:type="dxa"/>
          </w:tcPr>
          <w:p>
            <w:pPr>
              <w:pStyle w:val="BoxTitle"/>
            </w:pPr>
            <w:r>
              <w:t xml:space="preserve">What changed since Version 3.4</w:t>
            </w:r>
          </w:p>
          <w:p>
            <w:pPr>
              <w:pStyle w:val="Normal"/>
            </w:pPr>
            <w:r>
              <w:t>Version 3.4 recorded the Free/Pro refit, checkout hardening, migration-readiness checks and front-end milestone. Version 3.7 records the M0/M1 implementation state and the programme-content readiness packet: local release validation is complete, but content approval and external cutover gates remain open.</w:t>
            </w:r>
          </w:p>
        </w:tc>
      </w:tr>
    </w:tbl>
    <w:tbl>
      <w:tblPr>
        <w:tblW w:w="9800" w:type="dxa"/>
        <w:tblBorders>
          <w:top w:val="single" w:sz="8" w:color="D6A800"/>
          <w:left w:val="single" w:sz="8" w:color="D6A800"/>
          <w:bottom w:val="single" w:sz="8" w:color="D6A800"/>
          <w:right w:val="single" w:sz="8" w:color="D6A800"/>
        </w:tblBorders>
      </w:tblPr>
      <w:tblGrid>
        <w:gridCol w:w="9800"/>
      </w:tblGrid>
      <w:tr>
        <w:trPr>
          <w:cantSplit/>
        </w:trPr>
        <w:tc>
          <w:tcPr>
            <w:shd w:fill="EAF4EC"/>
            <w:tcW w:w="9800" w:type="dxa"/>
          </w:tcPr>
          <w:p>
            <w:pPr>
              <w:pStyle w:val="BoxTitle"/>
            </w:pPr>
            <w:r>
              <w:t>ON SCHEDULE — FIRST RELEASE 22 JULY 2026</w:t>
            </w:r>
          </w:p>
          <w:p>
            <w:pPr>
              <w:pStyle w:val="Normal"/>
            </w:pPr>
            <w:r>
              <w:t>First release: 22 July 2026 front-end/staging-public review. Handover: 23 July; client finished-by: 24 July. Launch-scoped implementation and local release/browser validation are complete. Full platform cutover remains conditional on client content/copy, staging smoke, provider/email, migration, rollback and final acceptance gates.</w:t>
            </w:r>
          </w:p>
        </w:tc>
      </w:tr>
    </w:tbl>
    <w:tbl>
      <w:tblPr>
        <w:tblW w:w="9800" w:type="dxa"/>
        <w:tblBorders>
          <w:top w:val="single" w:sz="8" w:color="7AB893"/>
          <w:left w:val="single" w:sz="8" w:color="7AB893"/>
          <w:bottom w:val="single" w:sz="8" w:color="7AB893"/>
          <w:right w:val="single" w:sz="8" w:color="7AB893"/>
        </w:tblBorders>
      </w:tblPr>
      <w:tblGrid>
        <w:gridCol w:w="9800"/>
      </w:tblGrid>
      <w:tr>
        <w:trPr>
          <w:cantSplit/>
        </w:trPr>
        <w:tc>
          <w:tcPr>
            <w:shd w:fill="EAF4EC"/>
            <w:tcW w:w="9800" w:type="dxa"/>
          </w:tcPr>
          <w:p>
            <w:pPr>
              <w:pStyle w:val="BoxTitle"/>
            </w:pPr>
            <w:r>
              <w:t xml:space="preserve">Main action</w:t>
            </w:r>
          </w:p>
          <w:p>
            <w:pPr>
              <w:pStyle w:val="Normal"/>
            </w:pPr>
            <w:r>
              <w:t>Approve the hardening-first sequence, provide the 15 July content and billing/legal decisions, and keep the 22 July front-end milestone conditional. Do not apply migrations until target-environment approval, rehearsal and rollback evidence are complete.</w:t>
            </w:r>
          </w:p>
        </w:tc>
      </w:tr>
    </w:tbl>
    <w:tbl>
      <w:tblPr>
        <w:tblW w:w="9800" w:type="dxa"/>
        <w:tblBorders>
          <w:top w:val="single" w:sz="4" w:color="D9E2EA"/>
          <w:left w:val="single" w:sz="4" w:color="D9E2EA"/>
          <w:bottom w:val="single" w:sz="4" w:color="D9E2EA"/>
          <w:right w:val="single" w:sz="4" w:color="D9E2EA"/>
          <w:insideH w:val="single" w:sz="4" w:color="D9E2EA"/>
          <w:insideV w:val="single" w:sz="4" w:color="D9E2EA"/>
        </w:tblBorders>
      </w:tblPr>
      <w:tblGrid>
        <w:gridCol w:w="4900"/>
        <w:gridCol w:w="4900"/>
      </w:tblGrid>
      <w:tr>
        <w:trPr>
          <w:cantSplit/>
        </w:trPr>
        <w:tc>
          <w:tcPr>
            <w:shd w:fill="0B4F6C"/>
            <w:tcW w:w="4900" w:type="dxa"/>
          </w:tcPr>
          <w:p>
            <w:r>
              <w:rPr>
                <w:b/>
                <w:color w:val="FFFFFF"/>
              </w:rPr>
              <w:t xml:space="preserve">Item</w:t>
            </w:r>
          </w:p>
        </w:tc>
        <w:tc>
          <w:tcPr>
            <w:shd w:fill="0B4F6C"/>
            <w:tcW w:w="4900" w:type="dxa"/>
          </w:tcPr>
          <w:p>
            <w:r>
              <w:rPr>
                <w:b/>
                <w:color w:val="FFFFFF"/>
              </w:rPr>
              <w:t>Version 3.7 summary</w:t>
            </w:r>
          </w:p>
        </w:tc>
      </w:tr>
      <w:tr>
        <w:trPr>
          <w:cantSplit/>
        </w:trPr>
        <w:tc>
          <w:tcPr>
            <w:tcW w:w="4900" w:type="dxa"/>
          </w:tcPr>
          <w:p>
            <w:r>
              <w:t xml:space="preserve">Document purpose</w:t>
            </w:r>
          </w:p>
        </w:tc>
        <w:tc>
          <w:tcPr>
            <w:tcW w:w="4900" w:type="dxa"/>
          </w:tcPr>
          <w:p>
            <w:r>
              <w:t>Client-facing update that keeps the Version 3.4 format and records current Version 3.7 staging-branch progress, including updated progress, timeline and launch dependencies.</w:t>
            </w:r>
          </w:p>
        </w:tc>
      </w:tr>
      <w:tr>
        <w:trPr>
          <w:cantSplit/>
        </w:trPr>
        <w:tc>
          <w:tcPr>
            <w:tcW w:w="4900" w:type="dxa"/>
          </w:tcPr>
          <w:p>
            <w:r>
              <w:t>Progress delivered</w:t>
            </w:r>
          </w:p>
        </w:tc>
        <w:tc>
          <w:tcPr>
            <w:tcW w:w="4900" w:type="dxa"/>
          </w:tcPr>
          <w:p>
            <w:r>
              <w:t>100% of planned launch-scoped M0/M1 implementation packets are complete, including the launch surfaces and programme-content acceptance tooling. The ~74% figure is the rebased share of the larger expanded roadmap, not a regression from Version 3.4. Local release/browser validation is complete; external approvals remain open.</w:t>
            </w:r>
          </w:p>
        </w:tc>
      </w:tr>
      <w:tr>
        <w:trPr>
          <w:cantSplit/>
        </w:trPr>
        <w:tc>
          <w:tcPr>
            <w:tcW w:w="4900" w:type="dxa"/>
          </w:tcPr>
          <w:p>
            <w:r>
              <w:t xml:space="preserve">Go-live approach</w:t>
            </w:r>
          </w:p>
        </w:tc>
        <w:tc>
          <w:tcPr>
            <w:tcW w:w="4900" w:type="dxa"/>
          </w:tcPr>
          <w:p>
            <w:r>
              <w:t>The front-end milestone stays targeted for 22 July only if public acceptance and client content/copy approval pass. Full platform go-live remains conditional on smoke, provider/email, migration, rehearsal, rollback and approval evidence.</w:t>
            </w:r>
          </w:p>
        </w:tc>
      </w:tr>
    </w:tbl>
    <w:p>
      <w:r/>
    </w:p>
    <w:p>
      <w:pPr>
        <w:pStyle w:val="Heading1"/>
      </w:pPr>
      <w:r>
        <w:t xml:space="preserve">1. Executive summary</w:t>
      </w:r>
    </w:p>
    <w:p>
      <w:pPr>
        <w:pStyle w:val="Normal"/>
      </w:pPr>
      <w:r>
        <w:t>Version 3.7 is not a scope reset. It is a progress update from the Version 3.4 client plan. The platform direction remains the same: one paid membership, monthly no-minimum-commitment and annual payment options, controlled Free/support access, public landing page, member portal, billing automation, course access, partner/community follow-up and a controlled migration/cutover path.</w:t>
      </w:r>
    </w:p>
    <w:p>
      <w:pPr>
        <w:pStyle w:val="Normal"/>
      </w:pPr>
      <w:r>
        <w:t>The major difference is that the launch-scoped M0/M1 surfaces and the programme-content acceptance tooling now exist. Remaining work is client content and approval, migration approval and rehearsal, provider/email verification, staging smoke, rollback evidence and formal go/no-go review.</w:t>
      </w:r>
    </w:p>
    <w:tbl>
      <w:tblPr>
        <w:tblW w:w="9800" w:type="dxa"/>
        <w:tblBorders>
          <w:top w:val="single" w:sz="8" w:color="D6A800"/>
          <w:left w:val="single" w:sz="8" w:color="D6A800"/>
          <w:bottom w:val="single" w:sz="8" w:color="D6A800"/>
          <w:right w:val="single" w:sz="8" w:color="D6A800"/>
        </w:tblBorders>
      </w:tblPr>
      <w:tblGrid>
        <w:gridCol w:w="9800"/>
      </w:tblGrid>
      <w:tr>
        <w:trPr>
          <w:cantSplit/>
        </w:trPr>
        <w:tc>
          <w:tcPr>
            <w:shd w:fill="FFF2CC"/>
            <w:tcW w:w="9800" w:type="dxa"/>
          </w:tcPr>
          <w:p>
            <w:pPr>
              <w:pStyle w:val="BoxTitle"/>
            </w:pPr>
            <w:r>
              <w:t>READ THIS FIRST — WHY THE PERCENTAGE LOOKS LOWER</w:t>
            </w:r>
          </w:p>
          <w:p>
            <w:pPr>
              <w:pStyle w:val="Normal"/>
            </w:pPr>
            <w:r>
              <w:t>Version 3.4 measured the expanded launch after the large Free/Pro staging refit and operator-preflight work. Version 3.7 records current progress after portal-aligned MVP implementation and auth hardening. The lower percentage is a scope rebase, not a loss of progress; it does not mean migrations are approved or applied.</w:t>
            </w:r>
          </w:p>
        </w:tc>
      </w:tr>
    </w:tbl>
    <w:p>
      <w:pPr>
        <w:pStyle w:val="Heading1"/>
      </w:pPr>
      <w:r>
        <w:t>2. Version 3.4 baseline vs Version 3.7 current progress</w:t>
      </w:r>
    </w:p>
    <w:tbl>
      <w:tblPr>
        <w:tblW w:w="9800" w:type="dxa"/>
        <w:tblBorders>
          <w:top w:val="single" w:sz="4" w:color="D9E2EA"/>
          <w:left w:val="single" w:sz="4" w:color="D9E2EA"/>
          <w:bottom w:val="single" w:sz="4" w:color="D9E2EA"/>
          <w:right w:val="single" w:sz="4" w:color="D9E2EA"/>
          <w:insideH w:val="single" w:sz="4" w:color="D9E2EA"/>
          <w:insideV w:val="single" w:sz="4" w:color="D9E2EA"/>
        </w:tblBorders>
      </w:tblPr>
      <w:tblGrid>
        <w:gridCol w:w="2450"/>
        <w:gridCol w:w="2450"/>
        <w:gridCol w:w="2450"/>
        <w:gridCol w:w="2450"/>
      </w:tblGrid>
      <w:tr>
        <w:trPr>
          <w:cantSplit/>
        </w:trPr>
        <w:tc>
          <w:tcPr>
            <w:shd w:fill="0B4F6C"/>
            <w:tcW w:w="2450" w:type="dxa"/>
          </w:tcPr>
          <w:p>
            <w:r>
              <w:rPr>
                <w:b/>
                <w:color w:val="FFFFFF"/>
              </w:rPr>
              <w:t xml:space="preserve">Area</w:t>
            </w:r>
          </w:p>
        </w:tc>
        <w:tc>
          <w:tcPr>
            <w:shd w:fill="0B4F6C"/>
            <w:tcW w:w="2450" w:type="dxa"/>
          </w:tcPr>
          <w:p>
            <w:r>
              <w:rPr>
                <w:b/>
                <w:color w:val="FFFFFF"/>
              </w:rPr>
              <w:t>Version 3.4 baseline</w:t>
            </w:r>
          </w:p>
        </w:tc>
        <w:tc>
          <w:tcPr>
            <w:shd w:fill="0B4F6C"/>
            <w:tcW w:w="2450" w:type="dxa"/>
          </w:tcPr>
          <w:p>
            <w:r>
              <w:rPr>
                <w:b/>
                <w:color w:val="FFFFFF"/>
              </w:rPr>
              <w:t>Version 3.7 rebased progress</w:t>
            </w:r>
          </w:p>
        </w:tc>
        <w:tc>
          <w:tcPr>
            <w:shd w:fill="0B4F6C"/>
            <w:tcW w:w="2450" w:type="dxa"/>
          </w:tcPr>
          <w:p>
            <w:r>
              <w:rPr>
                <w:b/>
                <w:color w:val="FFFFFF"/>
              </w:rPr>
              <w:t>How to read it</w:t>
            </w:r>
          </w:p>
        </w:tc>
      </w:tr>
      <w:tr>
        <w:trPr>
          <w:cantSplit/>
        </w:trPr>
        <w:tc>
          <w:tcPr>
            <w:tcW w:w="2450" w:type="dxa"/>
          </w:tcPr>
          <w:p>
            <w:r>
              <w:t xml:space="preserve">Overall expanded platform</w:t>
            </w:r>
          </w:p>
        </w:tc>
        <w:tc>
          <w:tcPr>
            <w:tcW w:w="2450" w:type="dxa"/>
          </w:tcPr>
          <w:p>
            <w:r>
              <w:t xml:space="preserve">~73% for the expanded platform.</w:t>
            </w:r>
          </w:p>
        </w:tc>
        <w:tc>
          <w:tcPr>
            <w:tcW w:w="2450" w:type="dxa"/>
          </w:tcPr>
          <w:p>
            <w:r>
              <w:t>~74%</w:t>
            </w:r>
          </w:p>
        </w:tc>
        <w:tc>
          <w:tcPr>
            <w:tcW w:w="2450" w:type="dxa"/>
          </w:tcPr>
          <w:p>
            <w:r>
              <w:t>MVP surfaces and repository content controls exist; approved content, provider checks and cutover approval remain incomplete.</w:t>
            </w:r>
          </w:p>
        </w:tc>
      </w:tr>
      <w:tr>
        <w:trPr>
          <w:cantSplit/>
        </w:trPr>
        <w:tc>
          <w:tcPr>
            <w:tcW w:w="2450" w:type="dxa"/>
          </w:tcPr>
          <w:p>
            <w:r>
              <w:t xml:space="preserve">Core staging readiness</w:t>
            </w:r>
          </w:p>
        </w:tc>
        <w:tc>
          <w:tcPr>
            <w:tcW w:w="2450" w:type="dxa"/>
          </w:tcPr>
          <w:p>
            <w:r>
              <w:t xml:space="preserve">~97% for core staging readiness.</w:t>
            </w:r>
          </w:p>
        </w:tc>
        <w:tc>
          <w:tcPr>
            <w:tcW w:w="2450" w:type="dxa"/>
          </w:tcPr>
          <w:p>
            <w:r>
              <w:t>~86%</w:t>
            </w:r>
          </w:p>
        </w:tc>
        <w:tc>
          <w:tcPr>
            <w:tcW w:w="2450" w:type="dxa"/>
          </w:tcPr>
          <w:p>
            <w:r>
              <w:t>Core services and local release gates pass; migration, provider, smoke and runtime acceptance evidence remain.</w:t>
            </w:r>
          </w:p>
        </w:tc>
      </w:tr>
      <w:tr>
        <w:trPr>
          <w:cantSplit/>
        </w:trPr>
        <w:tc>
          <w:tcPr>
            <w:tcW w:w="2450" w:type="dxa"/>
          </w:tcPr>
          <w:p>
            <w:r>
              <w:t xml:space="preserve">Build foundation</w:t>
            </w:r>
          </w:p>
        </w:tc>
        <w:tc>
          <w:tcPr>
            <w:tcW w:w="2450" w:type="dxa"/>
          </w:tcPr>
          <w:p>
            <w:r>
              <w:t xml:space="preserve">~89% current build foundation.</w:t>
            </w:r>
          </w:p>
        </w:tc>
        <w:tc>
          <w:tcPr>
            <w:tcW w:w="2450" w:type="dxa"/>
          </w:tcPr>
          <w:p>
            <w:r>
              <w:t>~88%</w:t>
            </w:r>
          </w:p>
        </w:tc>
        <w:tc>
          <w:tcPr>
            <w:tcW w:w="2450" w:type="dxa"/>
          </w:tcPr>
          <w:p>
            <w:r>
              <w:t>Typed foundations and launch-scoped tests are present; preview-only and deferred workflows remain clearly bounded.</w:t>
            </w:r>
          </w:p>
        </w:tc>
      </w:tr>
      <w:tr>
        <w:trPr>
          <w:cantSplit/>
        </w:trPr>
        <w:tc>
          <w:tcPr>
            <w:tcW w:w="2450" w:type="dxa"/>
          </w:tcPr>
          <w:p>
            <w:r>
              <w:t xml:space="preserve">Testing/release readiness</w:t>
            </w:r>
          </w:p>
        </w:tc>
        <w:tc>
          <w:tcPr>
            <w:tcW w:w="2450" w:type="dxa"/>
          </w:tcPr>
          <w:p>
            <w:r>
              <w:t xml:space="preserve">~94% current testing/release readiness.</w:t>
            </w:r>
          </w:p>
        </w:tc>
        <w:tc>
          <w:tcPr>
            <w:tcW w:w="2450" w:type="dxa"/>
          </w:tcPr>
          <w:p>
            <w:r>
              <w:t>~82%</w:t>
            </w:r>
          </w:p>
        </w:tc>
        <w:tc>
          <w:tcPr>
            <w:tcW w:w="2450" w:type="dxa"/>
          </w:tcPr>
          <w:p>
            <w:r>
              <w:t>Local release validation covers `138/138` checks and browser E2E covers `58/58` desktop/mobile tests; staging/provider evidence remains.</w:t>
            </w:r>
          </w:p>
        </w:tc>
      </w:tr>
      <w:tr>
        <w:trPr>
          <w:cantSplit/>
        </w:trPr>
        <w:tc>
          <w:tcPr>
            <w:tcW w:w="2450" w:type="dxa"/>
          </w:tcPr>
          <w:p>
            <w:r>
              <w:t xml:space="preserve">Migration readiness</w:t>
            </w:r>
          </w:p>
        </w:tc>
        <w:tc>
          <w:tcPr>
            <w:tcW w:w="2450" w:type="dxa"/>
          </w:tcPr>
          <w:p>
            <w:r>
              <w:t>~60% current migration readiness.</w:t>
            </w:r>
          </w:p>
        </w:tc>
        <w:tc>
          <w:tcPr>
            <w:tcW w:w="2450" w:type="dxa"/>
          </w:tcPr>
          <w:p>
            <w:r>
              <w:t>~60%</w:t>
            </w:r>
          </w:p>
        </w:tc>
        <w:tc>
          <w:tcPr>
            <w:tcW w:w="2450" w:type="dxa"/>
          </w:tcPr>
          <w:p>
            <w:r>
              <w:t xml:space="preserve">Unchanged: approval, rehearsal and execution remain pending.</w:t>
            </w:r>
          </w:p>
        </w:tc>
      </w:tr>
      <w:tr>
        <w:trPr>
          <w:cantSplit/>
        </w:trPr>
        <w:tc>
          <w:tcPr>
            <w:tcW w:w="2450" w:type="dxa"/>
          </w:tcPr>
          <w:p>
            <w:r>
              <w:t xml:space="preserve">Live cutover readiness</w:t>
            </w:r>
          </w:p>
        </w:tc>
        <w:tc>
          <w:tcPr>
            <w:tcW w:w="2450" w:type="dxa"/>
          </w:tcPr>
          <w:p>
            <w:r>
              <w:t>~22% live cutover readiness.</w:t>
            </w:r>
          </w:p>
        </w:tc>
        <w:tc>
          <w:tcPr>
            <w:tcW w:w="2450" w:type="dxa"/>
          </w:tcPr>
          <w:p>
            <w:r>
              <w:t>~22%</w:t>
            </w:r>
          </w:p>
        </w:tc>
        <w:tc>
          <w:tcPr>
            <w:tcW w:w="2450" w:type="dxa"/>
          </w:tcPr>
          <w:p>
            <w:r>
              <w:t xml:space="preserve">Unchanged: cutover still depends on approval, provider/email verification, staging smoke and content.</w:t>
            </w:r>
          </w:p>
        </w:tc>
      </w:tr>
    </w:tbl>
    <w:p>
      <w:pPr>
        <w:pStyle w:val="Heading1"/>
      </w:pPr>
      <w:r>
        <w:t xml:space="preserve">3. What is complete in the current staging version</w:t>
      </w:r>
    </w:p>
    <w:p>
      <w:pPr>
        <w:pStyle w:val="Normal"/>
        <w:ind w:left="360" w:hanging="180"/>
      </w:pPr>
      <w:r>
        <w:t xml:space="preserve">• Feature branch is `feature/course-branding-and-preview`, the staging / production-staged deployment target.</w:t>
      </w:r>
    </w:p>
    <w:p>
      <w:pPr>
        <w:pStyle w:val="Normal"/>
        <w:ind w:left="360" w:hanging="180"/>
      </w:pPr>
      <w:r>
        <w:t xml:space="preserve">• Payload-only Free/Pro refit is committed, pushed, clean and validated.</w:t>
      </w:r>
    </w:p>
    <w:p>
      <w:pPr>
        <w:pStyle w:val="Normal"/>
        <w:ind w:left="360" w:hanging="180"/>
      </w:pPr>
      <w:r>
        <w:t xml:space="preserve">• Root feature pages are compatibility redirects; member/student features are aligned under `/portal` and admin/operator review under `/admin`.</w:t>
      </w:r>
    </w:p>
    <w:p>
      <w:pPr>
        <w:pStyle w:val="Normal"/>
        <w:ind w:left="360" w:hanging="180"/>
      </w:pPr>
      <w:r>
        <w:t>• Partner referral and community interaction remain preview/deferred surfaces; support/pay-it-forward has a repository-owned durable intake path; the 8-week programme remains preview-only while the repository content intake and acceptance controls await the client package.</w:t>
      </w:r>
    </w:p>
    <w:p>
      <w:pPr>
        <w:pStyle w:val="Normal"/>
        <w:ind w:left="360" w:hanging="180"/>
      </w:pPr>
      <w:r>
        <w:t xml:space="preserve">• Programme and community member-content routes require portal member authentication.</w:t>
      </w:r>
    </w:p>
    <w:p>
      <w:pPr>
        <w:pStyle w:val="Normal"/>
        <w:ind w:left="360" w:hanging="180"/>
      </w:pPr>
      <w:r>
        <w:t xml:space="preserve">• WordPress, FluentCRM, FluentCommunity, old portal, VIP and exhibitor active paths have been removed or confined to documented negative-rule / migration exceptions.</w:t>
      </w:r>
    </w:p>
    <w:p>
      <w:pPr>
        <w:pStyle w:val="Normal"/>
        <w:ind w:left="360" w:hanging="180"/>
      </w:pPr>
      <w:r>
        <w:t xml:space="preserve">• Checkout is Pro-only with monthly/annual payment options; rejected legacy plan values are covered.</w:t>
      </w:r>
    </w:p>
    <w:p>
      <w:pPr>
        <w:pStyle w:val="Normal"/>
        <w:ind w:left="360" w:hanging="180"/>
      </w:pPr>
      <w:r>
        <w:t>• Migration approval, rehearsal, staging smoke, provider/email and evidence templates are prepared, but no migration, complete smoke run or provider acceptance is complete.</w:t>
      </w:r>
    </w:p>
    <w:p>
      <w:pPr>
        <w:pStyle w:val="Normal"/>
        <w:ind w:left="360" w:hanging="180"/>
      </w:pPr>
      <w:r>
        <w:t>• Evidence tooling, pinned `pnpm@10.33.0` checks, the `138/138` release gate and `58/58` desktop/mobile browser E2E are in place; staging and provider evidence remain external gates.</w:t>
      </w:r>
    </w:p>
    <w:tbl>
      <w:tblPr>
        <w:tblW w:w="9800" w:type="dxa"/>
        <w:tblBorders>
          <w:top w:val="single" w:sz="8" w:color="7AB893"/>
          <w:left w:val="single" w:sz="8" w:color="7AB893"/>
          <w:bottom w:val="single" w:sz="8" w:color="7AB893"/>
          <w:right w:val="single" w:sz="8" w:color="7AB893"/>
        </w:tblBorders>
      </w:tblPr>
      <w:tblGrid>
        <w:gridCol w:w="9800"/>
      </w:tblGrid>
      <w:tr>
        <w:trPr>
          <w:cantSplit/>
        </w:trPr>
        <w:tc>
          <w:tcPr>
            <w:shd w:fill="EAF4EC"/>
            <w:tcW w:w="9800" w:type="dxa"/>
          </w:tcPr>
          <w:p>
            <w:pPr>
              <w:pStyle w:val="BoxTitle"/>
            </w:pPr>
            <w:r>
              <w:t xml:space="preserve">Current branch status</w:t>
            </w:r>
          </w:p>
          <w:p>
            <w:pPr>
              <w:pStyle w:val="Normal"/>
            </w:pPr>
            <w:r>
              <w:t>Current validated branch tip for this document: 8927df9 docs: checkpoint membership implementation readiness. No migrations have been applied.</w:t>
            </w:r>
          </w:p>
        </w:tc>
      </w:tr>
    </w:tbl>
    <w:p>
      <w:r>
        <w:br w:type="page"/>
      </w:r>
    </w:p>
    <w:p>
      <w:pPr>
        <w:pStyle w:val="Heading1"/>
      </w:pPr>
      <w:r>
        <w:t>4. Version 3.7 progress by roadmap phase</w:t>
      </w:r>
    </w:p>
    <w:p>
      <w:pPr>
        <w:pStyle w:val="Normal"/>
      </w:pPr>
      <w:r>
        <w:t>The percentages below are estimates for the expanded platform after the roadmap scope was enlarged. They are rebased delivery-readiness indicators, not evidence of lost progress or a guarantee that live cutover can happen without the remaining approval and evidence steps.</w:t>
      </w:r>
    </w:p>
    <w:tbl>
      <w:tblPr>
        <w:tblW w:w="9800" w:type="dxa"/>
        <w:tblBorders>
          <w:top w:val="single" w:sz="4" w:color="D9E2EA"/>
          <w:left w:val="single" w:sz="4" w:color="D9E2EA"/>
          <w:bottom w:val="single" w:sz="4" w:color="D9E2EA"/>
          <w:right w:val="single" w:sz="4" w:color="D9E2EA"/>
          <w:insideH w:val="single" w:sz="4" w:color="D9E2EA"/>
          <w:insideV w:val="single" w:sz="4" w:color="D9E2EA"/>
        </w:tblBorders>
      </w:tblPr>
      <w:tblGrid>
        <w:gridCol w:w="1633"/>
        <w:gridCol w:w="1633"/>
        <w:gridCol w:w="1633"/>
        <w:gridCol w:w="1633"/>
        <w:gridCol w:w="1633"/>
        <w:gridCol w:w="1633"/>
      </w:tblGrid>
      <w:tr>
        <w:trPr>
          <w:cantSplit/>
        </w:trPr>
        <w:tc>
          <w:tcPr>
            <w:shd w:fill="0B4F6C"/>
            <w:tcW w:w="1633" w:type="dxa"/>
          </w:tcPr>
          <w:p>
            <w:r>
              <w:rPr>
                <w:b/>
                <w:color w:val="FFFFFF"/>
              </w:rPr>
              <w:t xml:space="preserve">Area / phase</w:t>
            </w:r>
          </w:p>
        </w:tc>
        <w:tc>
          <w:tcPr>
            <w:shd w:fill="0B4F6C"/>
            <w:tcW w:w="1633" w:type="dxa"/>
          </w:tcPr>
          <w:p>
            <w:r>
              <w:rPr>
                <w:b/>
                <w:color w:val="FFFFFF"/>
              </w:rPr>
              <w:t xml:space="preserve">Version 3.4</w:t>
            </w:r>
          </w:p>
        </w:tc>
        <w:tc>
          <w:tcPr>
            <w:shd w:fill="0B4F6C"/>
            <w:tcW w:w="1633" w:type="dxa"/>
          </w:tcPr>
          <w:p>
            <w:r>
              <w:rPr>
                <w:b/>
                <w:color w:val="FFFFFF"/>
              </w:rPr>
              <w:t>Version 3.7 rebased</w:t>
            </w:r>
          </w:p>
        </w:tc>
        <w:tc>
          <w:tcPr>
            <w:shd w:fill="0B4F6C"/>
            <w:tcW w:w="1633" w:type="dxa"/>
          </w:tcPr>
          <w:p>
            <w:r>
              <w:rPr>
                <w:b/>
                <w:color w:val="FFFFFF"/>
              </w:rPr>
              <w:t>Progress reading</w:t>
            </w:r>
          </w:p>
        </w:tc>
        <w:tc>
          <w:tcPr>
            <w:shd w:fill="0B4F6C"/>
            <w:tcW w:w="1633" w:type="dxa"/>
          </w:tcPr>
          <w:p>
            <w:r>
              <w:rPr>
                <w:b/>
                <w:color w:val="FFFFFF"/>
              </w:rPr>
              <w:t xml:space="preserve">Evidence</w:t>
            </w:r>
          </w:p>
        </w:tc>
        <w:tc>
          <w:tcPr>
            <w:shd w:fill="0B4F6C"/>
            <w:tcW w:w="1633" w:type="dxa"/>
          </w:tcPr>
          <w:p>
            <w:r>
              <w:rPr>
                <w:b/>
                <w:color w:val="FFFFFF"/>
              </w:rPr>
              <w:t xml:space="preserve">Remaining blocker</w:t>
            </w:r>
          </w:p>
        </w:tc>
      </w:tr>
      <w:tr>
        <w:trPr>
          <w:cantSplit/>
        </w:trPr>
        <w:tc>
          <w:tcPr>
            <w:tcW w:w="1633" w:type="dxa"/>
          </w:tcPr>
          <w:p>
            <w:r>
              <w:t xml:space="preserve">Overall expanded platform</w:t>
            </w:r>
          </w:p>
        </w:tc>
        <w:tc>
          <w:tcPr>
            <w:tcW w:w="1633" w:type="dxa"/>
          </w:tcPr>
          <w:p>
            <w:r>
              <w:t xml:space="preserve">~73%</w:t>
            </w:r>
          </w:p>
        </w:tc>
        <w:tc>
          <w:tcPr>
            <w:tcW w:w="1633" w:type="dxa"/>
          </w:tcPr>
          <w:p>
            <w:r>
              <w:t>~74%</w:t>
            </w:r>
          </w:p>
        </w:tc>
        <w:tc>
          <w:tcPr>
            <w:tcW w:w="1633" w:type="dxa"/>
          </w:tcPr>
          <w:p>
            <w:r>
              <w:t>Rebased scope; not a regression</w:t>
            </w:r>
          </w:p>
        </w:tc>
        <w:tc>
          <w:tcPr>
            <w:tcW w:w="1633" w:type="dxa"/>
          </w:tcPr>
          <w:p>
            <w:r>
              <w:t>Core auth, billing, access and migration foundations plus new prototype surfaces audited.</w:t>
            </w:r>
          </w:p>
        </w:tc>
        <w:tc>
          <w:tcPr>
            <w:tcW w:w="1633" w:type="dxa"/>
          </w:tcPr>
          <w:p>
            <w:r>
              <w:t>P0 hardening, operational integration, content, provider checks and cutover approval.</w:t>
            </w:r>
          </w:p>
        </w:tc>
      </w:tr>
      <w:tr>
        <w:trPr>
          <w:cantSplit/>
        </w:trPr>
        <w:tc>
          <w:tcPr>
            <w:tcW w:w="1633" w:type="dxa"/>
          </w:tcPr>
          <w:p>
            <w:r>
              <w:t xml:space="preserve">Core staging readiness</w:t>
            </w:r>
          </w:p>
        </w:tc>
        <w:tc>
          <w:tcPr>
            <w:tcW w:w="1633" w:type="dxa"/>
          </w:tcPr>
          <w:p>
            <w:r>
              <w:t xml:space="preserve">~97%</w:t>
            </w:r>
          </w:p>
        </w:tc>
        <w:tc>
          <w:tcPr>
            <w:tcW w:w="1633" w:type="dxa"/>
          </w:tcPr>
          <w:p>
            <w:r>
              <w:t>~86%</w:t>
            </w:r>
          </w:p>
        </w:tc>
        <w:tc>
          <w:tcPr>
            <w:tcW w:w="1633" w:type="dxa"/>
          </w:tcPr>
          <w:p>
            <w:r>
              <w:t>Rebased scope; not a regression</w:t>
            </w:r>
          </w:p>
        </w:tc>
        <w:tc>
          <w:tcPr>
            <w:tcW w:w="1633" w:type="dxa"/>
          </w:tcPr>
          <w:p>
            <w:r>
              <w:t>Auth, account security, entitlement, billing projection and release safeguards are substantial.</w:t>
            </w:r>
          </w:p>
        </w:tc>
        <w:tc>
          <w:tcPr>
            <w:tcW w:w="1633" w:type="dxa"/>
          </w:tcPr>
          <w:p>
            <w:r>
              <w:t>Public admin route, endpoint hardening, dependency advisories, complete smoke and provider evidence.</w:t>
            </w:r>
          </w:p>
        </w:tc>
      </w:tr>
      <w:tr>
        <w:trPr>
          <w:cantSplit/>
        </w:trPr>
        <w:tc>
          <w:tcPr>
            <w:tcW w:w="1633" w:type="dxa"/>
          </w:tcPr>
          <w:p>
            <w:r>
              <w:t xml:space="preserve">Build foundation</w:t>
            </w:r>
          </w:p>
        </w:tc>
        <w:tc>
          <w:tcPr>
            <w:tcW w:w="1633" w:type="dxa"/>
          </w:tcPr>
          <w:p>
            <w:r>
              <w:t xml:space="preserve">~89%</w:t>
            </w:r>
          </w:p>
        </w:tc>
        <w:tc>
          <w:tcPr>
            <w:tcW w:w="1633" w:type="dxa"/>
          </w:tcPr>
          <w:p>
            <w:r>
              <w:t>~88%</w:t>
            </w:r>
          </w:p>
        </w:tc>
        <w:tc>
          <w:tcPr>
            <w:tcW w:w="1633" w:type="dxa"/>
          </w:tcPr>
          <w:p>
            <w:r>
              <w:t>Rebased scope; not a regression</w:t>
            </w:r>
          </w:p>
        </w:tc>
        <w:tc>
          <w:tcPr>
            <w:tcW w:w="1633" w:type="dxa"/>
          </w:tcPr>
          <w:p>
            <w:r>
              <w:t>Most domains have typed service foundations and focused tests.</w:t>
            </w:r>
          </w:p>
        </w:tc>
        <w:tc>
          <w:tcPr>
            <w:tcW w:w="1633" w:type="dxa"/>
          </w:tcPr>
          <w:p>
            <w:r>
              <w:t>Approved content, provider checks, staging smoke and formal cutover evidence.</w:t>
            </w:r>
          </w:p>
        </w:tc>
      </w:tr>
      <w:tr>
        <w:trPr>
          <w:cantSplit/>
        </w:trPr>
        <w:tc>
          <w:tcPr>
            <w:tcW w:w="1633" w:type="dxa"/>
          </w:tcPr>
          <w:p>
            <w:r>
              <w:t xml:space="preserve">Testing / release readiness</w:t>
            </w:r>
          </w:p>
        </w:tc>
        <w:tc>
          <w:tcPr>
            <w:tcW w:w="1633" w:type="dxa"/>
          </w:tcPr>
          <w:p>
            <w:r>
              <w:t xml:space="preserve">~94%</w:t>
            </w:r>
          </w:p>
        </w:tc>
        <w:tc>
          <w:tcPr>
            <w:tcW w:w="1633" w:type="dxa"/>
          </w:tcPr>
          <w:p>
            <w:r>
              <w:t>~82%</w:t>
            </w:r>
          </w:p>
        </w:tc>
        <w:tc>
          <w:tcPr>
            <w:tcW w:w="1633" w:type="dxa"/>
          </w:tcPr>
          <w:p>
            <w:r>
              <w:t>Rebased scope; not a regression</w:t>
            </w:r>
          </w:p>
        </w:tc>
        <w:tc>
          <w:tcPr>
            <w:tcW w:w="1633" w:type="dxa"/>
          </w:tcPr>
          <w:p>
            <w:r>
              <w:t>Local release, browser, TypeScript, build and Prisma validation evidence is available.</w:t>
            </w:r>
          </w:p>
        </w:tc>
        <w:tc>
          <w:tcPr>
            <w:tcW w:w="1633" w:type="dxa"/>
          </w:tcPr>
          <w:p>
            <w:r>
              <w:t>Staging smoke, provider/email verification, migration approval, content approval and final go/no-go remain.</w:t>
            </w:r>
          </w:p>
        </w:tc>
      </w:tr>
      <w:tr>
        <w:trPr>
          <w:cantSplit/>
        </w:trPr>
        <w:tc>
          <w:tcPr>
            <w:tcW w:w="1633" w:type="dxa"/>
          </w:tcPr>
          <w:p>
            <w:r>
              <w:t xml:space="preserve">Migration readiness</w:t>
            </w:r>
          </w:p>
        </w:tc>
        <w:tc>
          <w:tcPr>
            <w:tcW w:w="1633" w:type="dxa"/>
          </w:tcPr>
          <w:p>
            <w:r>
              <w:t>~60%</w:t>
            </w:r>
          </w:p>
        </w:tc>
        <w:tc>
          <w:tcPr>
            <w:tcW w:w="1633" w:type="dxa"/>
          </w:tcPr>
          <w:p>
            <w:r>
              <w:t>~60%</w:t>
            </w:r>
          </w:p>
        </w:tc>
        <w:tc>
          <w:tcPr>
            <w:tcW w:w="1633" w:type="dxa"/>
          </w:tcPr>
          <w:p>
            <w:r>
              <w:t>Unchanged</w:t>
            </w:r>
          </w:p>
        </w:tc>
        <w:tc>
          <w:tcPr>
            <w:tcW w:w="1633" w:type="dxa"/>
          </w:tcPr>
          <w:p>
            <w:r>
              <w:t>Migration sources and approval docs exist; 11-migration inventory checked.</w:t>
            </w:r>
          </w:p>
        </w:tc>
        <w:tc>
          <w:tcPr>
            <w:tcW w:w="1633" w:type="dxa"/>
          </w:tcPr>
          <w:p>
            <w:r>
              <w:t>Table-plan-to-Free and account-column approval, apply path, backup, rehearsal and rollback review.</w:t>
            </w:r>
          </w:p>
        </w:tc>
      </w:tr>
      <w:tr>
        <w:trPr>
          <w:cantSplit/>
        </w:trPr>
        <w:tc>
          <w:tcPr>
            <w:tcW w:w="1633" w:type="dxa"/>
          </w:tcPr>
          <w:p>
            <w:r>
              <w:t xml:space="preserve">Live cutover readiness</w:t>
            </w:r>
          </w:p>
        </w:tc>
        <w:tc>
          <w:tcPr>
            <w:tcW w:w="1633" w:type="dxa"/>
          </w:tcPr>
          <w:p>
            <w:r>
              <w:t>~22%</w:t>
            </w:r>
          </w:p>
        </w:tc>
        <w:tc>
          <w:tcPr>
            <w:tcW w:w="1633" w:type="dxa"/>
          </w:tcPr>
          <w:p>
            <w:r>
              <w:t>~22%</w:t>
            </w:r>
          </w:p>
        </w:tc>
        <w:tc>
          <w:tcPr>
            <w:tcW w:w="1633" w:type="dxa"/>
          </w:tcPr>
          <w:p>
            <w:r>
              <w:t>Unchanged</w:t>
            </w:r>
          </w:p>
        </w:tc>
        <w:tc>
          <w:tcPr>
            <w:tcW w:w="1633" w:type="dxa"/>
          </w:tcPr>
          <w:p>
            <w:r>
              <w:t>Handoff and evidence templates exist.</w:t>
            </w:r>
          </w:p>
        </w:tc>
        <w:tc>
          <w:tcPr>
            <w:tcW w:w="1633" w:type="dxa"/>
          </w:tcPr>
          <w:p>
            <w:r>
              <w:t>No migrations, complete smoke, provider/email acceptance, content acceptance or final approval.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Detailed delivery phases and current status</w:t>
      </w:r>
    </w:p>
    <w:tbl>
      <w:tblPr>
        <w:tblW w:w="9800" w:type="dxa"/>
        <w:tblBorders>
          <w:top w:val="single" w:sz="4" w:color="D9E2EA"/>
          <w:left w:val="single" w:sz="4" w:color="D9E2EA"/>
          <w:bottom w:val="single" w:sz="4" w:color="D9E2EA"/>
          <w:right w:val="single" w:sz="4" w:color="D9E2EA"/>
          <w:insideH w:val="single" w:sz="4" w:color="D9E2EA"/>
          <w:insideV w:val="single" w:sz="4" w:color="D9E2EA"/>
        </w:tblBorders>
      </w:tblPr>
      <w:tblGrid>
        <w:gridCol w:w="1960"/>
        <w:gridCol w:w="1960"/>
        <w:gridCol w:w="1960"/>
        <w:gridCol w:w="1960"/>
        <w:gridCol w:w="1960"/>
      </w:tblGrid>
      <w:tr>
        <w:trPr>
          <w:cantSplit/>
        </w:trPr>
        <w:tc>
          <w:tcPr>
            <w:shd w:fill="0B4F6C"/>
            <w:tcW w:w="1960" w:type="dxa"/>
          </w:tcPr>
          <w:p>
            <w:r>
              <w:rPr>
                <w:b/>
                <w:color w:val="FFFFFF"/>
              </w:rPr>
              <w:t xml:space="preserve">Phase</w:t>
            </w:r>
          </w:p>
        </w:tc>
        <w:tc>
          <w:tcPr>
            <w:shd w:fill="0B4F6C"/>
            <w:tcW w:w="1960" w:type="dxa"/>
          </w:tcPr>
          <w:p>
            <w:r>
              <w:rPr>
                <w:b/>
                <w:color w:val="FFFFFF"/>
              </w:rPr>
              <w:t>Version 3.7 readiness</w:t>
            </w:r>
          </w:p>
        </w:tc>
        <w:tc>
          <w:tcPr>
            <w:shd w:fill="0B4F6C"/>
            <w:tcW w:w="1960" w:type="dxa"/>
          </w:tcPr>
          <w:p>
            <w:r>
              <w:rPr>
                <w:b/>
                <w:color w:val="FFFFFF"/>
              </w:rPr>
              <w:t xml:space="preserve">Dates / milestone</w:t>
            </w:r>
          </w:p>
        </w:tc>
        <w:tc>
          <w:tcPr>
            <w:shd w:fill="0B4F6C"/>
            <w:tcW w:w="1960" w:type="dxa"/>
          </w:tcPr>
          <w:p>
            <w:r>
              <w:rPr>
                <w:b/>
                <w:color w:val="FFFFFF"/>
              </w:rPr>
              <w:t xml:space="preserve">Goal</w:t>
            </w:r>
          </w:p>
        </w:tc>
        <w:tc>
          <w:tcPr>
            <w:shd w:fill="0B4F6C"/>
            <w:tcW w:w="1960" w:type="dxa"/>
          </w:tcPr>
          <w:p>
            <w:r>
              <w:rPr>
                <w:b/>
                <w:color w:val="FFFFFF"/>
              </w:rPr>
              <w:t xml:space="preserve">Go-live impact</w:t>
            </w:r>
          </w:p>
        </w:tc>
      </w:tr>
      <w:tr>
        <w:trPr>
          <w:cantSplit/>
        </w:trPr>
        <w:tc>
          <w:tcPr>
            <w:tcW w:w="1960" w:type="dxa"/>
          </w:tcPr>
          <w:p>
            <w:r>
              <w:t xml:space="preserve">A Decisions &amp; final scope check</w:t>
            </w:r>
          </w:p>
        </w:tc>
        <w:tc>
          <w:tcPr>
            <w:tcW w:w="1960" w:type="dxa"/>
          </w:tcPr>
          <w:p>
            <w:r>
              <w:t>Approx. 65%</w:t>
            </w:r>
          </w:p>
        </w:tc>
        <w:tc>
          <w:tcPr>
            <w:tcW w:w="1960" w:type="dxa"/>
          </w:tcPr>
          <w:p>
            <w:r>
              <w:t xml:space="preserve">7–9 July, continuing where approval is still open</w:t>
            </w:r>
          </w:p>
        </w:tc>
        <w:tc>
          <w:tcPr>
            <w:tcW w:w="1960" w:type="dxa"/>
          </w:tcPr>
          <w:p>
            <w:r>
              <w:t xml:space="preserve">Keep Free/Pro scope locked, confirm remaining business approvals and prevent drift.</w:t>
            </w:r>
          </w:p>
        </w:tc>
        <w:tc>
          <w:tcPr>
            <w:tcW w:w="1960" w:type="dxa"/>
          </w:tcPr>
          <w:p>
            <w:r>
              <w:t xml:space="preserve">Required before migration/cutover; incomplete approvals can move the launch.</w:t>
            </w:r>
          </w:p>
        </w:tc>
      </w:tr>
      <w:tr>
        <w:trPr>
          <w:cantSplit/>
        </w:trPr>
        <w:tc>
          <w:tcPr>
            <w:tcW w:w="1960" w:type="dxa"/>
          </w:tcPr>
          <w:p>
            <w:r>
              <w:t xml:space="preserve">B Membership &amp; billing automation</w:t>
            </w:r>
          </w:p>
        </w:tc>
        <w:tc>
          <w:tcPr>
            <w:tcW w:w="1960" w:type="dxa"/>
          </w:tcPr>
          <w:p>
            <w:r>
              <w:t>Approx. 78%</w:t>
            </w:r>
          </w:p>
        </w:tc>
        <w:tc>
          <w:tcPr>
            <w:tcW w:w="1960" w:type="dxa"/>
          </w:tcPr>
          <w:p>
            <w:r>
              <w:t xml:space="preserve">8–15 July</w:t>
            </w:r>
          </w:p>
        </w:tc>
        <w:tc>
          <w:tcPr>
            <w:tcW w:w="1960" w:type="dxa"/>
          </w:tcPr>
          <w:p>
            <w:r>
              <w:t xml:space="preserve">Pro monthly/annual checkout, failed-payment behaviour, billing readiness and access rules.</w:t>
            </w:r>
          </w:p>
        </w:tc>
        <w:tc>
          <w:tcPr>
            <w:tcW w:w="1960" w:type="dxa"/>
          </w:tcPr>
          <w:p>
            <w:r>
              <w:t xml:space="preserve">Core launch requirement; code is hardened, provider/live checks remain.</w:t>
            </w:r>
          </w:p>
        </w:tc>
      </w:tr>
      <w:tr>
        <w:trPr>
          <w:cantSplit/>
        </w:trPr>
        <w:tc>
          <w:tcPr>
            <w:tcW w:w="1960" w:type="dxa"/>
          </w:tcPr>
          <w:p>
            <w:r>
              <w:t xml:space="preserve">C Public landing page / front end</w:t>
            </w:r>
          </w:p>
        </w:tc>
        <w:tc>
          <w:tcPr>
            <w:tcW w:w="1960" w:type="dxa"/>
          </w:tcPr>
          <w:p>
            <w:r>
              <w:t>Approx. 70%</w:t>
            </w:r>
          </w:p>
        </w:tc>
        <w:tc>
          <w:tcPr>
            <w:tcW w:w="1960" w:type="dxa"/>
          </w:tcPr>
          <w:p>
            <w:r>
              <w:t xml:space="preserve">9–22 July</w:t>
            </w:r>
          </w:p>
        </w:tc>
        <w:tc>
          <w:tcPr>
            <w:tcW w:w="1960" w:type="dxa"/>
          </w:tcPr>
          <w:p>
            <w:r>
              <w:t xml:space="preserve">Bright one-page landing page plus portal-aligned member routes, clear Pro membership and support/pay-it-forward calls to action.</w:t>
            </w:r>
          </w:p>
        </w:tc>
        <w:tc>
          <w:tcPr>
            <w:tcW w:w="1960" w:type="dxa"/>
          </w:tcPr>
          <w:p>
            <w:r>
              <w:t xml:space="preserve">Frontend go-live milestone is 22 July; client finished-by date is 24 July; handover buffer by 23 July.</w:t>
            </w:r>
          </w:p>
        </w:tc>
      </w:tr>
      <w:tr>
        <w:trPr>
          <w:cantSplit/>
        </w:trPr>
        <w:tc>
          <w:tcPr>
            <w:tcW w:w="1960" w:type="dxa"/>
          </w:tcPr>
          <w:p>
            <w:r>
              <w:t xml:space="preserve">D Course/content + video decision</w:t>
            </w:r>
          </w:p>
        </w:tc>
        <w:tc>
          <w:tcPr>
            <w:tcW w:w="1960" w:type="dxa"/>
          </w:tcPr>
          <w:p>
            <w:r>
              <w:t>Approx. 45%</w:t>
            </w:r>
          </w:p>
        </w:tc>
        <w:tc>
          <w:tcPr>
            <w:tcW w:w="1960" w:type="dxa"/>
          </w:tcPr>
          <w:p>
            <w:r>
              <w:t xml:space="preserve">10–18 July; client input due 15 July</w:t>
            </w:r>
          </w:p>
        </w:tc>
        <w:tc>
          <w:tcPr>
            <w:tcW w:w="1960" w:type="dxa"/>
          </w:tcPr>
          <w:p>
            <w:r>
              <w:t>Use the canonical intake contract for the representative 8-week package; the repository validation and import-plan path is ready.</w:t>
            </w:r>
          </w:p>
        </w:tc>
        <w:tc>
          <w:tcPr>
            <w:tcW w:w="1960" w:type="dxa"/>
          </w:tcPr>
          <w:p>
            <w:r>
              <w:t>Core launch requirement; depends on the client package and approval evidence arriving by the communicated 15 July input date.</w:t>
            </w:r>
          </w:p>
        </w:tc>
      </w:tr>
      <w:tr>
        <w:trPr>
          <w:cantSplit/>
        </w:trPr>
        <w:tc>
          <w:tcPr>
            <w:tcW w:w="1960" w:type="dxa"/>
          </w:tcPr>
          <w:p>
            <w:r>
              <w:t xml:space="preserve">E Migration + core go-live</w:t>
            </w:r>
          </w:p>
        </w:tc>
        <w:tc>
          <w:tcPr>
            <w:tcW w:w="1960" w:type="dxa"/>
          </w:tcPr>
          <w:p>
            <w:r>
              <w:t>Approx. 55%</w:t>
            </w:r>
          </w:p>
        </w:tc>
        <w:tc>
          <w:tcPr>
            <w:tcW w:w="1960" w:type="dxa"/>
          </w:tcPr>
          <w:p>
            <w:r>
              <w:t xml:space="preserve">18–24 July</w:t>
            </w:r>
          </w:p>
        </w:tc>
        <w:tc>
          <w:tcPr>
            <w:tcW w:w="1960" w:type="dxa"/>
          </w:tcPr>
          <w:p>
            <w:r>
              <w:t xml:space="preserve">Approval, rehearsal, rollback plan, target-environment verification and core go-live decision.</w:t>
            </w:r>
          </w:p>
        </w:tc>
        <w:tc>
          <w:tcPr>
            <w:tcW w:w="1960" w:type="dxa"/>
          </w:tcPr>
          <w:p>
            <w:r>
              <w:t xml:space="preserve">Go-live cannot proceed until approval and rehearsal evidence are complete.</w:t>
            </w:r>
          </w:p>
        </w:tc>
      </w:tr>
      <w:tr>
        <w:trPr>
          <w:cantSplit/>
        </w:trPr>
        <w:tc>
          <w:tcPr>
            <w:tcW w:w="1960" w:type="dxa"/>
          </w:tcPr>
          <w:p>
            <w:r>
              <w:t xml:space="preserve">F Partner/community preview</w:t>
            </w:r>
          </w:p>
        </w:tc>
        <w:tc>
          <w:tcPr>
            <w:tcW w:w="1960" w:type="dxa"/>
          </w:tcPr>
          <w:p>
            <w:r>
              <w:t>Approx. 45%</w:t>
            </w:r>
          </w:p>
        </w:tc>
        <w:tc>
          <w:tcPr>
            <w:tcW w:w="1960" w:type="dxa"/>
          </w:tcPr>
          <w:p>
            <w:r>
              <w:t xml:space="preserve">25–31 July</w:t>
            </w:r>
          </w:p>
        </w:tc>
        <w:tc>
          <w:tcPr>
            <w:tcW w:w="1960" w:type="dxa"/>
          </w:tcPr>
          <w:p>
            <w:r>
              <w:t xml:space="preserve">Partner tracking/forms/reporting and community/private-room preview.</w:t>
            </w:r>
          </w:p>
        </w:tc>
        <w:tc>
          <w:tcPr>
            <w:tcW w:w="1960" w:type="dxa"/>
          </w:tcPr>
          <w:p>
            <w:r>
              <w:t xml:space="preserve">Can follow core launch unless made launch-critical.</w:t>
            </w:r>
          </w:p>
        </w:tc>
      </w:tr>
      <w:tr>
        <w:trPr>
          <w:cantSplit/>
        </w:trPr>
        <w:tc>
          <w:tcPr>
            <w:tcW w:w="1960" w:type="dxa"/>
          </w:tcPr>
          <w:p>
            <w:r>
              <w:t xml:space="preserve">G Advanced features/live calls</w:t>
            </w:r>
          </w:p>
        </w:tc>
        <w:tc>
          <w:tcPr>
            <w:tcW w:w="1960" w:type="dxa"/>
          </w:tcPr>
          <w:p>
            <w:r>
              <w:t>Approx. 10%</w:t>
            </w:r>
          </w:p>
        </w:tc>
        <w:tc>
          <w:tcPr>
            <w:tcW w:w="1960" w:type="dxa"/>
          </w:tcPr>
          <w:p>
            <w:r>
              <w:t xml:space="preserve">August onward</w:t>
            </w:r>
          </w:p>
        </w:tc>
        <w:tc>
          <w:tcPr>
            <w:tcW w:w="1960" w:type="dxa"/>
          </w:tcPr>
          <w:p>
            <w:r>
              <w:t xml:space="preserve">Private messaging, digests, advanced notifications and live calls.</w:t>
            </w:r>
          </w:p>
        </w:tc>
        <w:tc>
          <w:tcPr>
            <w:tcW w:w="1960" w:type="dxa"/>
          </w:tcPr>
          <w:p>
            <w:r>
              <w:t xml:space="preserve">Post-core unless explicitly promoted.</w:t>
            </w:r>
          </w:p>
        </w:tc>
      </w:tr>
    </w:tbl>
    <w:p>
      <w:pPr>
        <w:pStyle w:val="Heading1"/>
      </w:pPr>
      <w:r>
        <w:t xml:space="preserve">6. Front-end website delivery update</w:t>
      </w:r>
    </w:p>
    <w:tbl>
      <w:tblPr>
        <w:tblW w:w="9800" w:type="dxa"/>
        <w:tblBorders>
          <w:top w:val="single" w:sz="8" w:color="D6A800"/>
          <w:left w:val="single" w:sz="8" w:color="D6A800"/>
          <w:bottom w:val="single" w:sz="8" w:color="D6A800"/>
          <w:right w:val="single" w:sz="8" w:color="D6A800"/>
        </w:tblBorders>
      </w:tblPr>
      <w:tblGrid>
        <w:gridCol w:w="9800"/>
      </w:tblGrid>
      <w:tr>
        <w:trPr>
          <w:cantSplit/>
        </w:trPr>
        <w:tc>
          <w:tcPr>
            <w:shd w:fill="FFF2CC"/>
            <w:tcW w:w="9800" w:type="dxa"/>
          </w:tcPr>
          <w:p>
            <w:pPr>
              <w:pStyle w:val="BoxTitle"/>
            </w:pPr>
            <w:r>
              <w:t xml:space="preserve">FRONT-END DELIVERY HIGHLIGHT</w:t>
            </w:r>
          </w:p>
          <w:p>
            <w:pPr>
              <w:pStyle w:val="Normal"/>
            </w:pPr>
            <w:r>
              <w:t xml:space="preserve">Client requirement: the front end of the website should be finished on 24 July 2026. To protect that date, the internal delivery/handover target is 23 July 2026 and the front-end go-live milestone remains 22 July 2026.</w:t>
            </w:r>
          </w:p>
        </w:tc>
      </w:tr>
    </w:tbl>
    <w:p>
      <w:pPr>
        <w:pStyle w:val="Normal"/>
      </w:pPr>
      <w:r>
        <w:t>The front-end timeline remains conditional on client content/copy acceptance and the independent operator gates. Local release, browser, build and schema validation now pass; full migration/cutover remains a separate approval decision.</w:t>
      </w:r>
    </w:p>
    <w:tbl>
      <w:tblPr>
        <w:tblW w:w="9800" w:type="dxa"/>
        <w:tblBorders>
          <w:top w:val="single" w:sz="4" w:color="D9E2EA"/>
          <w:left w:val="single" w:sz="4" w:color="D9E2EA"/>
          <w:bottom w:val="single" w:sz="4" w:color="D9E2EA"/>
          <w:right w:val="single" w:sz="4" w:color="D9E2EA"/>
          <w:insideH w:val="single" w:sz="4" w:color="D9E2EA"/>
          <w:insideV w:val="single" w:sz="4" w:color="D9E2EA"/>
        </w:tblBorders>
      </w:tblPr>
      <w:tblGrid>
        <w:gridCol w:w="2450"/>
        <w:gridCol w:w="2450"/>
        <w:gridCol w:w="2450"/>
        <w:gridCol w:w="2450"/>
      </w:tblGrid>
      <w:tr>
        <w:trPr>
          <w:cantSplit/>
        </w:trPr>
        <w:tc>
          <w:tcPr>
            <w:shd w:fill="B71C1C"/>
            <w:tcW w:w="2450" w:type="dxa"/>
          </w:tcPr>
          <w:p>
            <w:r>
              <w:rPr>
                <w:b/>
                <w:color w:val="FFFFFF"/>
              </w:rPr>
              <w:t xml:space="preserve">Date</w:t>
            </w:r>
          </w:p>
        </w:tc>
        <w:tc>
          <w:tcPr>
            <w:shd w:fill="B71C1C"/>
            <w:tcW w:w="2450" w:type="dxa"/>
          </w:tcPr>
          <w:p>
            <w:r>
              <w:rPr>
                <w:b/>
                <w:color w:val="FFFFFF"/>
              </w:rPr>
              <w:t xml:space="preserve">Milestone</w:t>
            </w:r>
          </w:p>
        </w:tc>
        <w:tc>
          <w:tcPr>
            <w:shd w:fill="B71C1C"/>
            <w:tcW w:w="2450" w:type="dxa"/>
          </w:tcPr>
          <w:p>
            <w:r>
              <w:rPr>
                <w:b/>
                <w:color w:val="FFFFFF"/>
              </w:rPr>
              <w:t xml:space="preserve">Owner</w:t>
            </w:r>
          </w:p>
        </w:tc>
        <w:tc>
          <w:tcPr>
            <w:shd w:fill="B71C1C"/>
            <w:tcW w:w="2450" w:type="dxa"/>
          </w:tcPr>
          <w:p>
            <w:r>
              <w:rPr>
                <w:b/>
                <w:color w:val="FFFFFF"/>
              </w:rPr>
              <w:t xml:space="preserve">Dependency / note</w:t>
            </w:r>
          </w:p>
        </w:tc>
      </w:tr>
      <w:tr>
        <w:trPr>
          <w:cantSplit/>
        </w:trPr>
        <w:tc>
          <w:tcPr>
            <w:tcW w:w="2450" w:type="dxa"/>
          </w:tcPr>
          <w:p>
            <w:r>
              <w:t xml:space="preserve">15 July 2026 (Wednesday)</w:t>
            </w:r>
          </w:p>
        </w:tc>
        <w:tc>
          <w:tcPr>
            <w:tcW w:w="2450" w:type="dxa"/>
          </w:tcPr>
          <w:p>
            <w:r>
              <w:t xml:space="preserve">Client content and information delivery</w:t>
            </w:r>
          </w:p>
        </w:tc>
        <w:tc>
          <w:tcPr>
            <w:tcW w:w="2450" w:type="dxa"/>
          </w:tcPr>
          <w:p>
            <w:r>
              <w:t xml:space="preserve">Client</w:t>
            </w:r>
          </w:p>
        </w:tc>
        <w:tc>
          <w:tcPr>
            <w:tcW w:w="2450" w:type="dxa"/>
          </w:tcPr>
          <w:p>
            <w:r>
              <w:t xml:space="preserve">Final public wording, support/pay-it-forward copy, proof/trust items, course/content inputs and any missing pricing language should arrive here to protect 22–24 July.</w:t>
            </w:r>
          </w:p>
        </w:tc>
      </w:tr>
      <w:tr>
        <w:trPr>
          <w:cantSplit/>
        </w:trPr>
        <w:tc>
          <w:tcPr>
            <w:tcW w:w="2450" w:type="dxa"/>
          </w:tcPr>
          <w:p>
            <w:r>
              <w:t xml:space="preserve">16–18 July 2026</w:t>
            </w:r>
          </w:p>
        </w:tc>
        <w:tc>
          <w:tcPr>
            <w:tcW w:w="2450" w:type="dxa"/>
          </w:tcPr>
          <w:p>
            <w:r>
              <w:t xml:space="preserve">Front-end test and final copy polish</w:t>
            </w:r>
          </w:p>
        </w:tc>
        <w:tc>
          <w:tcPr>
            <w:tcW w:w="2450" w:type="dxa"/>
          </w:tcPr>
          <w:p>
            <w:r>
              <w:t xml:space="preserve">Steve + Client</w:t>
            </w:r>
          </w:p>
        </w:tc>
        <w:tc>
          <w:tcPr>
            <w:tcW w:w="2450" w:type="dxa"/>
          </w:tcPr>
          <w:p>
            <w:r>
              <w:t xml:space="preserve">Use approved content or confirm placeholder copy where final copy is not ready.</w:t>
            </w:r>
          </w:p>
        </w:tc>
      </w:tr>
      <w:tr>
        <w:trPr>
          <w:cantSplit/>
        </w:trPr>
        <w:tc>
          <w:tcPr>
            <w:tcW w:w="2450" w:type="dxa"/>
          </w:tcPr>
          <w:p>
            <w:r>
              <w:t xml:space="preserve">22 July 2026</w:t>
            </w:r>
          </w:p>
        </w:tc>
        <w:tc>
          <w:tcPr>
            <w:tcW w:w="2450" w:type="dxa"/>
          </w:tcPr>
          <w:p>
            <w:r>
              <w:t xml:space="preserve">Front-end website go-live milestone</w:t>
            </w:r>
          </w:p>
        </w:tc>
        <w:tc>
          <w:tcPr>
            <w:tcW w:w="2450" w:type="dxa"/>
          </w:tcPr>
          <w:p>
            <w:r>
              <w:t xml:space="preserve">Steve</w:t>
            </w:r>
          </w:p>
        </w:tc>
        <w:tc>
          <w:tcPr>
            <w:tcW w:w="2450" w:type="dxa"/>
          </w:tcPr>
          <w:p>
            <w:r>
              <w:t xml:space="preserve">Public-facing landing/front-end should be ready for staging/public review with the new membership offer.</w:t>
            </w:r>
          </w:p>
        </w:tc>
      </w:tr>
      <w:tr>
        <w:trPr>
          <w:cantSplit/>
        </w:trPr>
        <w:tc>
          <w:tcPr>
            <w:tcW w:w="2450" w:type="dxa"/>
          </w:tcPr>
          <w:p>
            <w:r>
              <w:t xml:space="preserve">23 July 2026</w:t>
            </w:r>
          </w:p>
        </w:tc>
        <w:tc>
          <w:tcPr>
            <w:tcW w:w="2450" w:type="dxa"/>
          </w:tcPr>
          <w:p>
            <w:r>
              <w:t xml:space="preserve">Delivery/handover buffer</w:t>
            </w:r>
          </w:p>
        </w:tc>
        <w:tc>
          <w:tcPr>
            <w:tcW w:w="2450" w:type="dxa"/>
          </w:tcPr>
          <w:p>
            <w:r>
              <w:t xml:space="preserve">Steve + Client</w:t>
            </w:r>
          </w:p>
        </w:tc>
        <w:tc>
          <w:tcPr>
            <w:tcW w:w="2450" w:type="dxa"/>
          </w:tcPr>
          <w:p>
            <w:r>
              <w:t xml:space="preserve">Buffer day for client review, final notes and non-migration polish before the client’s required finished-by date.</w:t>
            </w:r>
          </w:p>
        </w:tc>
      </w:tr>
      <w:tr>
        <w:trPr>
          <w:cantSplit/>
        </w:trPr>
        <w:tc>
          <w:tcPr>
            <w:tcW w:w="2450" w:type="dxa"/>
          </w:tcPr>
          <w:p>
            <w:r>
              <w:t xml:space="preserve">24 July 2026</w:t>
            </w:r>
          </w:p>
        </w:tc>
        <w:tc>
          <w:tcPr>
            <w:tcW w:w="2450" w:type="dxa"/>
          </w:tcPr>
          <w:p>
            <w:r>
              <w:t xml:space="preserve">Client-required finished-by date</w:t>
            </w:r>
          </w:p>
        </w:tc>
        <w:tc>
          <w:tcPr>
            <w:tcW w:w="2450" w:type="dxa"/>
          </w:tcPr>
          <w:p>
            <w:r>
              <w:t xml:space="preserve">Client + Steve</w:t>
            </w:r>
          </w:p>
        </w:tc>
        <w:tc>
          <w:tcPr>
            <w:tcW w:w="2450" w:type="dxa"/>
          </w:tcPr>
          <w:p>
            <w:r>
              <w:t xml:space="preserve">The front end should be finished by this date. This is not approval to apply migrations.</w:t>
            </w:r>
          </w:p>
        </w:tc>
      </w:tr>
    </w:tbl>
    <w:tbl>
      <w:tblPr>
        <w:tblW w:w="9800" w:type="dxa"/>
        <w:tblBorders>
          <w:top w:val="single" w:sz="8" w:color="7AB893"/>
          <w:left w:val="single" w:sz="8" w:color="7AB893"/>
          <w:bottom w:val="single" w:sz="8" w:color="7AB893"/>
          <w:right w:val="single" w:sz="8" w:color="7AB893"/>
        </w:tblBorders>
      </w:tblPr>
      <w:tblGrid>
        <w:gridCol w:w="9800"/>
      </w:tblGrid>
      <w:tr>
        <w:trPr>
          <w:cantSplit/>
        </w:trPr>
        <w:tc>
          <w:tcPr>
            <w:shd w:fill="EAF4EC"/>
            <w:tcW w:w="9800" w:type="dxa"/>
          </w:tcPr>
          <w:p>
            <w:pPr>
              <w:pStyle w:val="BoxTitle"/>
            </w:pPr>
            <w:r>
              <w:t xml:space="preserve">Delivery rule</w:t>
            </w:r>
          </w:p>
          <w:p>
            <w:pPr>
              <w:pStyle w:val="Normal"/>
            </w:pPr>
            <w:r>
              <w:t>The communicated 22 July milestone, 23 July handover buffer and 24 July finished-by date remain conditional on approved content/copy and the independent migration, rehearsal, rollback, provider/email, staging-smoke and final-acceptance gates.</w:t>
            </w:r>
          </w:p>
        </w:tc>
      </w:tr>
    </w:tbl>
    <w:p>
      <w:r/>
    </w:p>
    <w:p>
      <w:pPr>
        <w:pStyle w:val="Heading1"/>
      </w:pPr>
      <w:r>
        <w:t xml:space="preserve">7. Membership, pricing and support access</w:t>
      </w:r>
    </w:p>
    <w:p>
      <w:pPr>
        <w:pStyle w:val="Normal"/>
      </w:pPr>
      <w:r>
        <w:t>Version 3.7 keeps the clarified offer: one paid JPV Bootcamp Membership with monthly no-minimum-commitment and annual payment options. Free access remains controlled non-paid access for approved support, staff/admin cases and pay-it-forward flows; it is not a public free product tier.</w:t>
      </w:r>
    </w:p>
    <w:tbl>
      <w:tblPr>
        <w:tblW w:w="9800" w:type="dxa"/>
        <w:tblBorders>
          <w:top w:val="single" w:sz="4" w:color="D9E2EA"/>
          <w:left w:val="single" w:sz="4" w:color="D9E2EA"/>
          <w:bottom w:val="single" w:sz="4" w:color="D9E2EA"/>
          <w:right w:val="single" w:sz="4" w:color="D9E2EA"/>
          <w:insideH w:val="single" w:sz="4" w:color="D9E2EA"/>
          <w:insideV w:val="single" w:sz="4" w:color="D9E2EA"/>
        </w:tblBorders>
      </w:tblPr>
      <w:tblGrid>
        <w:gridCol w:w="3266"/>
        <w:gridCol w:w="3266"/>
        <w:gridCol w:w="3266"/>
      </w:tblGrid>
      <w:tr>
        <w:trPr>
          <w:cantSplit/>
        </w:trPr>
        <w:tc>
          <w:tcPr>
            <w:shd w:fill="0B4F6C"/>
            <w:tcW w:w="3266" w:type="dxa"/>
          </w:tcPr>
          <w:p>
            <w:r>
              <w:rPr>
                <w:b/>
                <w:color w:val="FFFFFF"/>
              </w:rPr>
              <w:t xml:space="preserve">Decision</w:t>
            </w:r>
          </w:p>
        </w:tc>
        <w:tc>
          <w:tcPr>
            <w:shd w:fill="0B4F6C"/>
            <w:tcW w:w="3266" w:type="dxa"/>
          </w:tcPr>
          <w:p>
            <w:r>
              <w:rPr>
                <w:b/>
                <w:color w:val="FFFFFF"/>
              </w:rPr>
              <w:t>Version 3.7 current answer</w:t>
            </w:r>
          </w:p>
        </w:tc>
        <w:tc>
          <w:tcPr>
            <w:shd w:fill="0B4F6C"/>
            <w:tcW w:w="3266" w:type="dxa"/>
          </w:tcPr>
          <w:p>
            <w:r>
              <w:rPr>
                <w:b/>
                <w:color w:val="FFFFFF"/>
              </w:rPr>
              <w:t xml:space="preserve">Status</w:t>
            </w:r>
          </w:p>
        </w:tc>
      </w:tr>
      <w:tr>
        <w:trPr>
          <w:cantSplit/>
        </w:trPr>
        <w:tc>
          <w:tcPr>
            <w:tcW w:w="3266" w:type="dxa"/>
          </w:tcPr>
          <w:p>
            <w:r>
              <w:t xml:space="preserve">Public membership</w:t>
            </w:r>
          </w:p>
        </w:tc>
        <w:tc>
          <w:tcPr>
            <w:tcW w:w="3266" w:type="dxa"/>
          </w:tcPr>
          <w:p>
            <w:r>
              <w:t xml:space="preserve">Show one paid membership: Pro / JPV Bootcamp Membership.</w:t>
            </w:r>
          </w:p>
        </w:tc>
        <w:tc>
          <w:tcPr>
            <w:tcW w:w="3266" w:type="dxa"/>
          </w:tcPr>
          <w:p>
            <w:r>
              <w:t xml:space="preserve">Implemented in code/docs; final wording still client-visible.</w:t>
            </w:r>
          </w:p>
        </w:tc>
      </w:tr>
      <w:tr>
        <w:trPr>
          <w:cantSplit/>
        </w:trPr>
        <w:tc>
          <w:tcPr>
            <w:tcW w:w="3266" w:type="dxa"/>
          </w:tcPr>
          <w:p>
            <w:r>
              <w:t xml:space="preserve">Monthly payment</w:t>
            </w:r>
          </w:p>
        </w:tc>
        <w:tc>
          <w:tcPr>
            <w:tcW w:w="3266" w:type="dxa"/>
          </w:tcPr>
          <w:p>
            <w:r>
              <w:t>£80/month with no minimum commitment.</w:t>
            </w:r>
          </w:p>
        </w:tc>
        <w:tc>
          <w:tcPr>
            <w:tcW w:w="3266" w:type="dxa"/>
          </w:tcPr>
          <w:p>
            <w:r>
              <w:t>Monthly Pro path and commitment wording are covered locally; live provider checks remain.</w:t>
            </w:r>
          </w:p>
        </w:tc>
      </w:tr>
      <w:tr>
        <w:trPr>
          <w:cantSplit/>
        </w:trPr>
        <w:tc>
          <w:tcPr>
            <w:tcW w:w="3266" w:type="dxa"/>
          </w:tcPr>
          <w:p>
            <w:r>
              <w:t xml:space="preserve">Annual payment</w:t>
            </w:r>
          </w:p>
        </w:tc>
        <w:tc>
          <w:tcPr>
            <w:tcW w:w="3266" w:type="dxa"/>
          </w:tcPr>
          <w:p>
            <w:r>
              <w:t>£800 upfront for a 12-month service period.</w:t>
            </w:r>
          </w:p>
        </w:tc>
        <w:tc>
          <w:tcPr>
            <w:tcW w:w="3266" w:type="dxa"/>
          </w:tcPr>
          <w:p>
            <w:r>
              <w:t>Pro annual path is covered locally; live provider checks remain.</w:t>
            </w:r>
          </w:p>
        </w:tc>
      </w:tr>
      <w:tr>
        <w:trPr>
          <w:cantSplit/>
        </w:trPr>
        <w:tc>
          <w:tcPr>
            <w:tcW w:w="3266" w:type="dxa"/>
          </w:tcPr>
          <w:p>
            <w:r>
              <w:t xml:space="preserve">Free/support access</w:t>
            </w:r>
          </w:p>
        </w:tc>
        <w:tc>
          <w:tcPr>
            <w:tcW w:w="3266" w:type="dxa"/>
          </w:tcPr>
          <w:p>
            <w:r>
              <w:t xml:space="preserve">Controlled non-paid access only; not marketed as a public free tier.</w:t>
            </w:r>
          </w:p>
        </w:tc>
        <w:tc>
          <w:tcPr>
            <w:tcW w:w="3266" w:type="dxa"/>
          </w:tcPr>
          <w:p>
            <w:r>
              <w:t>Controlled Free semantics and repository intake controls exist; migration, provider and live seat-grant verification remain.</w:t>
            </w:r>
          </w:p>
        </w:tc>
      </w:tr>
      <w:tr>
        <w:trPr>
          <w:cantSplit/>
        </w:trPr>
        <w:tc>
          <w:tcPr>
            <w:tcW w:w="3266" w:type="dxa"/>
          </w:tcPr>
          <w:p>
            <w:r>
              <w:t xml:space="preserve">Old tiers</w:t>
            </w:r>
          </w:p>
        </w:tc>
        <w:tc>
          <w:tcPr>
            <w:tcW w:w="3266" w:type="dxa"/>
          </w:tcPr>
          <w:p>
            <w:r>
              <w:t xml:space="preserve">No active public VIP/exhibitor/old portal paths.</w:t>
            </w:r>
          </w:p>
        </w:tc>
        <w:tc>
          <w:tcPr>
            <w:tcW w:w="3266" w:type="dxa"/>
          </w:tcPr>
          <w:p>
            <w:r>
              <w:t xml:space="preserve">Removed from active paths; allowed exceptions are documented migration/negative-rule mentions.</w:t>
            </w:r>
          </w:p>
        </w:tc>
      </w:tr>
    </w:tbl>
    <w:p>
      <w:pPr>
        <w:pStyle w:val="Heading1"/>
      </w:pPr>
      <w:r>
        <w:t xml:space="preserve">8. Migration approval and cutover status</w:t>
      </w:r>
    </w:p>
    <w:p>
      <w:pPr>
        <w:pStyle w:val="Normal"/>
      </w:pPr>
      <w:r>
        <w:t xml:space="preserve">The migration path is prepared but not approved for execution. The feature branch contains the migration sources and safety documentation needed for target-environment approval, but no migration has been applied.</w:t>
      </w:r>
    </w:p>
    <w:tbl>
      <w:tblPr>
        <w:tblW w:w="9800" w:type="dxa"/>
        <w:tblBorders>
          <w:top w:val="single" w:sz="4" w:color="D9E2EA"/>
          <w:left w:val="single" w:sz="4" w:color="D9E2EA"/>
          <w:bottom w:val="single" w:sz="4" w:color="D9E2EA"/>
          <w:right w:val="single" w:sz="4" w:color="D9E2EA"/>
          <w:insideH w:val="single" w:sz="4" w:color="D9E2EA"/>
          <w:insideV w:val="single" w:sz="4" w:color="D9E2EA"/>
        </w:tblBorders>
      </w:tblPr>
      <w:tblGrid>
        <w:gridCol w:w="3266"/>
        <w:gridCol w:w="3266"/>
        <w:gridCol w:w="3266"/>
      </w:tblGrid>
      <w:tr>
        <w:trPr>
          <w:cantSplit/>
        </w:trPr>
        <w:tc>
          <w:tcPr>
            <w:shd w:fill="B71C1C"/>
            <w:tcW w:w="3266" w:type="dxa"/>
          </w:tcPr>
          <w:p>
            <w:r>
              <w:rPr>
                <w:b/>
                <w:color w:val="FFFFFF"/>
              </w:rPr>
              <w:t xml:space="preserve">Approval item</w:t>
            </w:r>
          </w:p>
        </w:tc>
        <w:tc>
          <w:tcPr>
            <w:shd w:fill="B71C1C"/>
            <w:tcW w:w="3266" w:type="dxa"/>
          </w:tcPr>
          <w:p>
            <w:r>
              <w:rPr>
                <w:b/>
                <w:color w:val="FFFFFF"/>
              </w:rPr>
              <w:t>Version 3.7 status</w:t>
            </w:r>
          </w:p>
        </w:tc>
        <w:tc>
          <w:tcPr>
            <w:shd w:fill="B71C1C"/>
            <w:tcW w:w="3266" w:type="dxa"/>
          </w:tcPr>
          <w:p>
            <w:r>
              <w:rPr>
                <w:b/>
                <w:color w:val="FFFFFF"/>
              </w:rPr>
              <w:t xml:space="preserve">Why it matters</w:t>
            </w:r>
          </w:p>
        </w:tc>
      </w:tr>
      <w:tr>
        <w:trPr>
          <w:cantSplit/>
        </w:trPr>
        <w:tc>
          <w:tcPr>
            <w:tcW w:w="3266" w:type="dxa"/>
          </w:tcPr>
          <w:p>
            <w:r>
              <w:t xml:space="preserve">Table-plan-to-Free mapping</w:t>
            </w:r>
          </w:p>
        </w:tc>
        <w:tc>
          <w:tcPr>
            <w:tcW w:w="3266" w:type="dxa"/>
          </w:tcPr>
          <w:p>
            <w:r>
              <w:t xml:space="preserve">Pending approval</w:t>
            </w:r>
          </w:p>
        </w:tc>
        <w:tc>
          <w:tcPr>
            <w:tcW w:w="3266" w:type="dxa"/>
          </w:tcPr>
          <w:p>
            <w:r>
              <w:t xml:space="preserve">Legacy table-plan values are intended to become controlled Free access, not a third paid product.</w:t>
            </w:r>
          </w:p>
        </w:tc>
      </w:tr>
      <w:tr>
        <w:trPr>
          <w:cantSplit/>
        </w:trPr>
        <w:tc>
          <w:tcPr>
            <w:tcW w:w="3266" w:type="dxa"/>
          </w:tcPr>
          <w:p>
            <w:r>
              <w:t xml:space="preserve">Account-column rename</w:t>
            </w:r>
          </w:p>
        </w:tc>
        <w:tc>
          <w:tcPr>
            <w:tcW w:w="3266" w:type="dxa"/>
          </w:tcPr>
          <w:p>
            <w:r>
              <w:t xml:space="preserve">Pending approval</w:t>
            </w:r>
          </w:p>
        </w:tc>
        <w:tc>
          <w:tcPr>
            <w:tcW w:w="3266" w:type="dxa"/>
          </w:tcPr>
          <w:p>
            <w:r>
              <w:t xml:space="preserve">Old account-reference columns are renamed to neutral account names without dropping records.</w:t>
            </w:r>
          </w:p>
        </w:tc>
      </w:tr>
      <w:tr>
        <w:trPr>
          <w:cantSplit/>
        </w:trPr>
        <w:tc>
          <w:tcPr>
            <w:tcW w:w="3266" w:type="dxa"/>
          </w:tcPr>
          <w:p>
            <w:r>
              <w:t xml:space="preserve">Approved migration path</w:t>
            </w:r>
          </w:p>
        </w:tc>
        <w:tc>
          <w:tcPr>
            <w:tcW w:w="3266" w:type="dxa"/>
          </w:tcPr>
          <w:p>
            <w:r>
              <w:t xml:space="preserve">Pending confirmation</w:t>
            </w:r>
          </w:p>
        </w:tc>
        <w:tc>
          <w:tcPr>
            <w:tcW w:w="3266" w:type="dxa"/>
          </w:tcPr>
          <w:p>
            <w:r>
              <w:t xml:space="preserve">Migrations must be run only through the approved database migration path.</w:t>
            </w:r>
          </w:p>
        </w:tc>
      </w:tr>
      <w:tr>
        <w:trPr>
          <w:cantSplit/>
        </w:trPr>
        <w:tc>
          <w:tcPr>
            <w:tcW w:w="3266" w:type="dxa"/>
          </w:tcPr>
          <w:p>
            <w:r>
              <w:t xml:space="preserve">Rollback/recovery review</w:t>
            </w:r>
          </w:p>
        </w:tc>
        <w:tc>
          <w:tcPr>
            <w:tcW w:w="3266" w:type="dxa"/>
          </w:tcPr>
          <w:p>
            <w:r>
              <w:t xml:space="preserve">Pending</w:t>
            </w:r>
          </w:p>
        </w:tc>
        <w:tc>
          <w:tcPr>
            <w:tcW w:w="3266" w:type="dxa"/>
          </w:tcPr>
          <w:p>
            <w:r>
              <w:t xml:space="preserve">A backup/snapshot and rollback owner must be confirmed before rehearsal/execution.</w:t>
            </w:r>
          </w:p>
        </w:tc>
      </w:tr>
      <w:tr>
        <w:trPr>
          <w:cantSplit/>
        </w:trPr>
        <w:tc>
          <w:tcPr>
            <w:tcW w:w="3266" w:type="dxa"/>
          </w:tcPr>
          <w:p>
            <w:r>
              <w:t xml:space="preserve">Staging smoke evidence</w:t>
            </w:r>
          </w:p>
        </w:tc>
        <w:tc>
          <w:tcPr>
            <w:tcW w:w="3266" w:type="dxa"/>
          </w:tcPr>
          <w:p>
            <w:r>
              <w:t xml:space="preserve">Pending</w:t>
            </w:r>
          </w:p>
        </w:tc>
        <w:tc>
          <w:tcPr>
            <w:tcW w:w="3266" w:type="dxa"/>
          </w:tcPr>
          <w:p>
            <w:r>
              <w:t xml:space="preserve">Operator evidence must be captured after the staging smoke run.</w:t>
            </w:r>
          </w:p>
        </w:tc>
      </w:tr>
      <w:tr>
        <w:trPr>
          <w:cantSplit/>
        </w:trPr>
        <w:tc>
          <w:tcPr>
            <w:tcW w:w="3266" w:type="dxa"/>
          </w:tcPr>
          <w:p>
            <w:r>
              <w:t xml:space="preserve">Provider/email live verification</w:t>
            </w:r>
          </w:p>
        </w:tc>
        <w:tc>
          <w:tcPr>
            <w:tcW w:w="3266" w:type="dxa"/>
          </w:tcPr>
          <w:p>
            <w:r>
              <w:t xml:space="preserve">Pending</w:t>
            </w:r>
          </w:p>
        </w:tc>
        <w:tc>
          <w:tcPr>
            <w:tcW w:w="3266" w:type="dxa"/>
          </w:tcPr>
          <w:p>
            <w:r>
              <w:t xml:space="preserve">Email provider and Stripe/live mode checks must be verified without leaking secrets.</w:t>
            </w:r>
          </w:p>
        </w:tc>
      </w:tr>
    </w:tbl>
    <w:tbl>
      <w:tblPr>
        <w:tblW w:w="9800" w:type="dxa"/>
        <w:tblBorders>
          <w:top w:val="single" w:sz="8" w:color="B71C1C"/>
          <w:left w:val="single" w:sz="8" w:color="B71C1C"/>
          <w:bottom w:val="single" w:sz="8" w:color="B71C1C"/>
          <w:right w:val="single" w:sz="8" w:color="B71C1C"/>
        </w:tblBorders>
      </w:tblPr>
      <w:tblGrid>
        <w:gridCol w:w="9800"/>
      </w:tblGrid>
      <w:tr>
        <w:trPr>
          <w:cantSplit/>
        </w:trPr>
        <w:tc>
          <w:tcPr>
            <w:shd w:fill="FDE9E7"/>
            <w:tcW w:w="9800" w:type="dxa"/>
          </w:tcPr>
          <w:p>
            <w:pPr>
              <w:pStyle w:val="BoxTitle"/>
            </w:pPr>
            <w:r>
              <w:t xml:space="preserve">Hard stop</w:t>
            </w:r>
          </w:p>
          <w:p>
            <w:pPr>
              <w:pStyle w:val="Normal"/>
            </w:pPr>
            <w:r>
              <w:t xml:space="preserve">Do not apply migrations without written target-environment approval. Do not treat the front-end go-live milestone as migration approval.</w:t>
            </w:r>
          </w:p>
        </w:tc>
      </w:tr>
    </w:tbl>
    <w:p>
      <w:pPr>
        <w:pStyle w:val="Heading1"/>
      </w:pPr>
      <w:r>
        <w:t xml:space="preserve">9. Acceptance plan for the 22–24 July window</w:t>
      </w:r>
    </w:p>
    <w:tbl>
      <w:tblPr>
        <w:tblW w:w="9800" w:type="dxa"/>
        <w:tblBorders>
          <w:top w:val="single" w:sz="4" w:color="D9E2EA"/>
          <w:left w:val="single" w:sz="4" w:color="D9E2EA"/>
          <w:bottom w:val="single" w:sz="4" w:color="D9E2EA"/>
          <w:right w:val="single" w:sz="4" w:color="D9E2EA"/>
          <w:insideH w:val="single" w:sz="4" w:color="D9E2EA"/>
          <w:insideV w:val="single" w:sz="4" w:color="D9E2EA"/>
        </w:tblBorders>
      </w:tblPr>
      <w:tblGrid>
        <w:gridCol w:w="3266"/>
        <w:gridCol w:w="3266"/>
        <w:gridCol w:w="3266"/>
      </w:tblGrid>
      <w:tr>
        <w:trPr>
          <w:cantSplit/>
        </w:trPr>
        <w:tc>
          <w:tcPr>
            <w:shd w:fill="0B4F6C"/>
            <w:tcW w:w="3266" w:type="dxa"/>
          </w:tcPr>
          <w:p>
            <w:r>
              <w:rPr>
                <w:b/>
                <w:color w:val="FFFFFF"/>
              </w:rPr>
              <w:t xml:space="preserve">Area</w:t>
            </w:r>
          </w:p>
        </w:tc>
        <w:tc>
          <w:tcPr>
            <w:shd w:fill="0B4F6C"/>
            <w:tcW w:w="3266" w:type="dxa"/>
          </w:tcPr>
          <w:p>
            <w:r>
              <w:rPr>
                <w:b/>
                <w:color w:val="FFFFFF"/>
              </w:rPr>
              <w:t xml:space="preserve">Acceptance check</w:t>
            </w:r>
          </w:p>
        </w:tc>
        <w:tc>
          <w:tcPr>
            <w:shd w:fill="0B4F6C"/>
            <w:tcW w:w="3266" w:type="dxa"/>
          </w:tcPr>
          <w:p>
            <w:r>
              <w:rPr>
                <w:b/>
                <w:color w:val="FFFFFF"/>
              </w:rPr>
              <w:t>Version 3.7 status</w:t>
            </w:r>
          </w:p>
        </w:tc>
      </w:tr>
      <w:tr>
        <w:trPr>
          <w:cantSplit/>
        </w:trPr>
        <w:tc>
          <w:tcPr>
            <w:tcW w:w="3266" w:type="dxa"/>
          </w:tcPr>
          <w:p>
            <w:r>
              <w:t xml:space="preserve">Public site / front end</w:t>
            </w:r>
          </w:p>
        </w:tc>
        <w:tc>
          <w:tcPr>
            <w:tcW w:w="3266" w:type="dxa"/>
          </w:tcPr>
          <w:p>
            <w:r>
              <w:t xml:space="preserve">Review the landing page and confirm offer, wording and calls to action.</w:t>
            </w:r>
          </w:p>
        </w:tc>
        <w:tc>
          <w:tcPr>
            <w:tcW w:w="3266" w:type="dxa"/>
          </w:tcPr>
          <w:p>
            <w:r>
              <w:t>Milestone set for 22 July; client inputs due 15 July and are still outstanding as of 17 July.</w:t>
            </w:r>
          </w:p>
        </w:tc>
      </w:tr>
      <w:tr>
        <w:trPr>
          <w:cantSplit/>
        </w:trPr>
        <w:tc>
          <w:tcPr>
            <w:tcW w:w="3266" w:type="dxa"/>
          </w:tcPr>
          <w:p>
            <w:r>
              <w:t xml:space="preserve">Membership checkout</w:t>
            </w:r>
          </w:p>
        </w:tc>
        <w:tc>
          <w:tcPr>
            <w:tcW w:w="3266" w:type="dxa"/>
          </w:tcPr>
          <w:p>
            <w:r>
              <w:t xml:space="preserve">Monthly and annual Pro checkout flows start correctly; legacy values fail safely.</w:t>
            </w:r>
          </w:p>
        </w:tc>
        <w:tc>
          <w:tcPr>
            <w:tcW w:w="3266" w:type="dxa"/>
          </w:tcPr>
          <w:p>
            <w:r>
              <w:t>Monthly/annual code paths and browser E2E pass locally; staging/provider smoke remains.</w:t>
            </w:r>
          </w:p>
        </w:tc>
      </w:tr>
      <w:tr>
        <w:trPr>
          <w:cantSplit/>
        </w:trPr>
        <w:tc>
          <w:tcPr>
            <w:tcW w:w="3266" w:type="dxa"/>
          </w:tcPr>
          <w:p>
            <w:r>
              <w:t xml:space="preserve">Billing recovery</w:t>
            </w:r>
          </w:p>
        </w:tc>
        <w:tc>
          <w:tcPr>
            <w:tcW w:w="3266" w:type="dxa"/>
          </w:tcPr>
          <w:p>
            <w:r>
              <w:t xml:space="preserve">Failed-payment emails and access rules behave as agreed.</w:t>
            </w:r>
          </w:p>
        </w:tc>
        <w:tc>
          <w:tcPr>
            <w:tcW w:w="3266" w:type="dxa"/>
          </w:tcPr>
          <w:p>
            <w:r>
              <w:t xml:space="preserve">Automated readiness exists; provider/email checks remain.</w:t>
            </w:r>
          </w:p>
        </w:tc>
      </w:tr>
      <w:tr>
        <w:trPr>
          <w:cantSplit/>
        </w:trPr>
        <w:tc>
          <w:tcPr>
            <w:tcW w:w="3266" w:type="dxa"/>
          </w:tcPr>
          <w:p>
            <w:r>
              <w:t xml:space="preserve">Member portal</w:t>
            </w:r>
          </w:p>
        </w:tc>
        <w:tc>
          <w:tcPr>
            <w:tcW w:w="3266" w:type="dxa"/>
          </w:tcPr>
          <w:p>
            <w:r>
              <w:t xml:space="preserve">Member can sign in, access the right course and manage account.</w:t>
            </w:r>
          </w:p>
        </w:tc>
        <w:tc>
          <w:tcPr>
            <w:tcW w:w="3266" w:type="dxa"/>
          </w:tcPr>
          <w:p>
            <w:r>
              <w:t>Portal auth and canonical member ownership are aligned locally; staging smoke remains.</w:t>
            </w:r>
          </w:p>
        </w:tc>
      </w:tr>
      <w:tr>
        <w:trPr>
          <w:cantSplit/>
        </w:trPr>
        <w:tc>
          <w:tcPr>
            <w:tcW w:w="3266" w:type="dxa"/>
          </w:tcPr>
          <w:p>
            <w:r>
              <w:t xml:space="preserve">Course pilot</w:t>
            </w:r>
          </w:p>
        </w:tc>
        <w:tc>
          <w:tcPr>
            <w:tcW w:w="3266" w:type="dxa"/>
          </w:tcPr>
          <w:p>
            <w:r>
              <w:t xml:space="preserve">8-week structure, lessons, resources and progress are visible/editable.</w:t>
            </w:r>
          </w:p>
        </w:tc>
        <w:tc>
          <w:tcPr>
            <w:tcW w:w="3266" w:type="dxa"/>
          </w:tcPr>
          <w:p>
            <w:r>
              <w:t>The eight-week preview remains placeholder data; the deterministic intake, acceptance and import-plan path is ready, but approved content is required.</w:t>
            </w:r>
          </w:p>
        </w:tc>
      </w:tr>
      <w:tr>
        <w:trPr>
          <w:cantSplit/>
        </w:trPr>
        <w:tc>
          <w:tcPr>
            <w:tcW w:w="3266" w:type="dxa"/>
          </w:tcPr>
          <w:p>
            <w:r>
              <w:t xml:space="preserve">Migration rehearsal</w:t>
            </w:r>
          </w:p>
        </w:tc>
        <w:tc>
          <w:tcPr>
            <w:tcW w:w="3266" w:type="dxa"/>
          </w:tcPr>
          <w:p>
            <w:r>
              <w:t xml:space="preserve">Sample existing members map correctly to the new access model.</w:t>
            </w:r>
          </w:p>
        </w:tc>
        <w:tc>
          <w:tcPr>
            <w:tcW w:w="3266" w:type="dxa"/>
          </w:tcPr>
          <w:p>
            <w:r>
              <w:t xml:space="preserve">Pending approval and rehearsal.</w:t>
            </w:r>
          </w:p>
        </w:tc>
      </w:tr>
      <w:tr>
        <w:trPr>
          <w:cantSplit/>
        </w:trPr>
        <w:tc>
          <w:tcPr>
            <w:tcW w:w="3266" w:type="dxa"/>
          </w:tcPr>
          <w:p>
            <w:r>
              <w:t xml:space="preserve">Cutover rehearsal</w:t>
            </w:r>
          </w:p>
        </w:tc>
        <w:tc>
          <w:tcPr>
            <w:tcW w:w="3266" w:type="dxa"/>
          </w:tcPr>
          <w:p>
            <w:r>
              <w:t xml:space="preserve">Launch, pause and rollback plan are understood and accepted.</w:t>
            </w:r>
          </w:p>
        </w:tc>
        <w:tc>
          <w:tcPr>
            <w:tcW w:w="3266" w:type="dxa"/>
          </w:tcPr>
          <w:p>
            <w:r>
              <w:t xml:space="preserve">Pending approval and evidence.</w:t>
            </w:r>
          </w:p>
        </w:tc>
      </w:tr>
    </w:tbl>
    <w:p>
      <w:r/>
    </w:p>
    <w:p>
      <w:pPr>
        <w:pStyle w:val="Heading1"/>
      </w:pPr>
      <w:r>
        <w:t>10. Version 3.7 timeline and phased go-live plan</w:t>
      </w:r>
    </w:p>
    <w:p>
      <w:pPr>
        <w:pStyle w:val="Normal"/>
      </w:pPr>
      <w:r>
        <w:t>The plan uses overlapping phases, but hardening now precedes feature expansion. The 22 July front-end milestone remains conditional on client content/copy acceptance; full 22–24 July cutover also depends on smoke, provider/email verification, migration approval, rehearsal and rollback evidence.</w:t>
      </w:r>
    </w:p>
    <w:tbl>
      <w:tblPr>
        <w:tblW w:w="9800" w:type="dxa"/>
        <w:tblBorders>
          <w:top w:val="single" w:sz="4" w:color="D9E2EA"/>
          <w:left w:val="single" w:sz="4" w:color="D9E2EA"/>
          <w:bottom w:val="single" w:sz="4" w:color="D9E2EA"/>
          <w:right w:val="single" w:sz="4" w:color="D9E2EA"/>
          <w:insideH w:val="single" w:sz="4" w:color="D9E2EA"/>
          <w:insideV w:val="single" w:sz="4" w:color="D9E2EA"/>
        </w:tblBorders>
      </w:tblPr>
      <w:tblGrid>
        <w:gridCol w:w="1400"/>
        <w:gridCol w:w="1400"/>
        <w:gridCol w:w="1400"/>
        <w:gridCol w:w="1400"/>
        <w:gridCol w:w="1400"/>
        <w:gridCol w:w="1400"/>
        <w:gridCol w:w="1400"/>
      </w:tblGrid>
      <w:tr>
        <w:trPr>
          <w:cantSplit/>
        </w:trPr>
        <w:tc>
          <w:tcPr>
            <w:shd w:fill="0B4F6C"/>
            <w:tcW w:w="1400" w:type="dxa"/>
            <w:vAlign w:val="top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Phase</w:t>
            </w:r>
          </w:p>
        </w:tc>
        <w:tc>
          <w:tcPr>
            <w:shd w:fill="0B4F6C"/>
            <w:tcW w:w="1400" w:type="dxa"/>
            <w:vAlign w:val="top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10–13 Jul</w:t>
            </w:r>
          </w:p>
        </w:tc>
        <w:tc>
          <w:tcPr>
            <w:shd w:fill="0B4F6C"/>
            <w:tcW w:w="1400" w:type="dxa"/>
            <w:vAlign w:val="top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14–17 Jul</w:t>
            </w:r>
          </w:p>
        </w:tc>
        <w:tc>
          <w:tcPr>
            <w:shd w:fill="0B4F6C"/>
            <w:tcW w:w="1400" w:type="dxa"/>
            <w:vAlign w:val="top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18–20 Jul</w:t>
            </w:r>
          </w:p>
        </w:tc>
        <w:tc>
          <w:tcPr>
            <w:shd w:fill="0B4F6C"/>
            <w:tcW w:w="1400" w:type="dxa"/>
            <w:vAlign w:val="top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21–24 Jul</w:t>
            </w:r>
          </w:p>
        </w:tc>
        <w:tc>
          <w:tcPr>
            <w:shd w:fill="0B4F6C"/>
            <w:tcW w:w="1400" w:type="dxa"/>
            <w:vAlign w:val="top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25–31 Jul</w:t>
            </w:r>
          </w:p>
        </w:tc>
        <w:tc>
          <w:tcPr>
            <w:shd w:fill="0B4F6C"/>
            <w:tcW w:w="1400" w:type="dxa"/>
            <w:vAlign w:val="top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August</w:t>
            </w:r>
          </w:p>
        </w:tc>
      </w:tr>
      <w:tr>
        <w:trPr>
          <w:cantSplit/>
        </w:trPr>
        <w:tc>
          <w:tcPr>
            <w:tcW w:w="1400" w:type="dxa"/>
            <w:vAlign w:val="top"/>
          </w:tcPr>
          <w:p>
            <w:pPr>
              <w:spacing w:after="0"/>
            </w:pPr>
            <w:r>
              <w:rPr>
                <w:sz w:val="18"/>
              </w:rPr>
              <w:t>A Scope</w:t>
            </w:r>
          </w:p>
        </w:tc>
        <w:tc>
          <w:tcPr>
            <w:tcW w:w="1400" w:type="dxa"/>
            <w:vAlign w:val="top"/>
          </w:tcPr>
          <w:p>
            <w:pPr>
              <w:spacing w:after="0"/>
            </w:pPr>
            <w:r>
              <w:rPr>
                <w:sz w:val="18"/>
              </w:rPr>
              <w:t>Public blockers</w:t>
              <w:br/>
              <w:t>Billing decision</w:t>
            </w:r>
          </w:p>
        </w:tc>
        <w:tc>
          <w:tcPr>
            <w:tcW w:w="1400" w:type="dxa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w="1400" w:type="dxa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w="1400" w:type="dxa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w="1400" w:type="dxa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w="1400" w:type="dxa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rPr>
          <w:cantSplit/>
        </w:trPr>
        <w:tc>
          <w:tcPr>
            <w:tcW w:w="1400" w:type="dxa"/>
            <w:vAlign w:val="top"/>
          </w:tcPr>
          <w:p>
            <w:pPr>
              <w:spacing w:after="0"/>
            </w:pPr>
            <w:r>
              <w:rPr>
                <w:sz w:val="18"/>
              </w:rPr>
              <w:t>B Billing</w:t>
            </w:r>
          </w:p>
        </w:tc>
        <w:tc>
          <w:tcPr>
            <w:tcW w:w="1400" w:type="dxa"/>
            <w:vAlign w:val="top"/>
          </w:tcPr>
          <w:p>
            <w:pPr>
              <w:spacing w:after="0"/>
            </w:pPr>
            <w:r>
              <w:rPr>
                <w:sz w:val="18"/>
              </w:rPr>
              <w:t>Decision</w:t>
            </w:r>
          </w:p>
        </w:tc>
        <w:tc>
          <w:tcPr>
            <w:tcW w:w="1400" w:type="dxa"/>
            <w:vAlign w:val="top"/>
          </w:tcPr>
          <w:p>
            <w:pPr>
              <w:spacing w:after="0"/>
            </w:pPr>
            <w:r>
              <w:rPr>
                <w:sz w:val="18"/>
              </w:rPr>
              <w:t>Implement + harden</w:t>
            </w:r>
          </w:p>
        </w:tc>
        <w:tc>
          <w:tcPr>
            <w:tcW w:w="1400" w:type="dxa"/>
            <w:vAlign w:val="top"/>
          </w:tcPr>
          <w:p>
            <w:pPr>
              <w:spacing w:after="0"/>
            </w:pPr>
            <w:r>
              <w:rPr>
                <w:sz w:val="18"/>
              </w:rPr>
              <w:t>Smoke</w:t>
            </w:r>
          </w:p>
        </w:tc>
        <w:tc>
          <w:tcPr>
            <w:tcW w:w="1400" w:type="dxa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w="1400" w:type="dxa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w="1400" w:type="dxa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rPr>
          <w:cantSplit/>
        </w:trPr>
        <w:tc>
          <w:tcPr>
            <w:tcW w:w="1400" w:type="dxa"/>
            <w:vAlign w:val="top"/>
          </w:tcPr>
          <w:p>
            <w:pPr>
              <w:spacing w:after="0"/>
            </w:pPr>
            <w:r>
              <w:rPr>
                <w:sz w:val="18"/>
              </w:rPr>
              <w:t>C Public site</w:t>
            </w:r>
          </w:p>
        </w:tc>
        <w:tc>
          <w:tcPr>
            <w:tcW w:w="1400" w:type="dxa"/>
            <w:vAlign w:val="top"/>
          </w:tcPr>
          <w:p>
            <w:pPr>
              <w:spacing w:after="0"/>
            </w:pPr>
            <w:r>
              <w:rPr>
                <w:sz w:val="18"/>
              </w:rPr>
              <w:t>Legal + copy</w:t>
            </w:r>
          </w:p>
        </w:tc>
        <w:tc>
          <w:tcPr>
            <w:tcW w:w="1400" w:type="dxa"/>
            <w:vAlign w:val="top"/>
          </w:tcPr>
          <w:p>
            <w:pPr>
              <w:spacing w:after="0"/>
            </w:pPr>
            <w:r>
              <w:rPr>
                <w:sz w:val="18"/>
              </w:rPr>
              <w:t>Harden</w:t>
            </w:r>
          </w:p>
        </w:tc>
        <w:tc>
          <w:tcPr>
            <w:tcW w:w="1400" w:type="dxa"/>
            <w:vAlign w:val="top"/>
          </w:tcPr>
          <w:p>
            <w:pPr>
              <w:spacing w:after="0"/>
            </w:pPr>
            <w:r>
              <w:rPr>
                <w:sz w:val="18"/>
              </w:rPr>
              <w:t>Test + content</w:t>
            </w:r>
          </w:p>
        </w:tc>
        <w:tc>
          <w:tcPr>
            <w:tcW w:w="1400" w:type="dxa"/>
            <w:vAlign w:val="top"/>
          </w:tcPr>
          <w:p>
            <w:pPr>
              <w:spacing w:after="0"/>
            </w:pPr>
            <w:r>
              <w:rPr>
                <w:sz w:val="18"/>
              </w:rPr>
              <w:t>22 Jul go-live</w:t>
              <w:br/>
              <w:t>23 Jul handover</w:t>
              <w:br/>
              <w:t>24 Jul finished</w:t>
            </w:r>
          </w:p>
        </w:tc>
        <w:tc>
          <w:tcPr>
            <w:tcW w:w="1400" w:type="dxa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w="1400" w:type="dxa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rPr>
          <w:cantSplit/>
        </w:trPr>
        <w:tc>
          <w:tcPr>
            <w:tcW w:w="1400" w:type="dxa"/>
            <w:vAlign w:val="top"/>
          </w:tcPr>
          <w:p>
            <w:pPr>
              <w:spacing w:after="0"/>
            </w:pPr>
            <w:r>
              <w:rPr>
                <w:sz w:val="18"/>
              </w:rPr>
              <w:t>D Course</w:t>
            </w:r>
          </w:p>
        </w:tc>
        <w:tc>
          <w:tcPr>
            <w:tcW w:w="1400" w:type="dxa"/>
            <w:vAlign w:val="top"/>
          </w:tcPr>
          <w:p>
            <w:pPr>
              <w:spacing w:after="0"/>
            </w:pPr>
            <w:r>
              <w:rPr>
                <w:sz w:val="18"/>
              </w:rPr>
              <w:t>Content prep</w:t>
            </w:r>
          </w:p>
        </w:tc>
        <w:tc>
          <w:tcPr>
            <w:tcW w:w="1400" w:type="dxa"/>
            <w:vAlign w:val="top"/>
          </w:tcPr>
          <w:p>
            <w:pPr>
              <w:spacing w:after="0"/>
            </w:pPr>
            <w:r>
              <w:rPr>
                <w:sz w:val="18"/>
              </w:rPr>
              <w:t>15 Jul due</w:t>
              <w:br/>
              <w:t>Validate</w:t>
            </w:r>
          </w:p>
        </w:tc>
        <w:tc>
          <w:tcPr>
            <w:tcW w:w="1400" w:type="dxa"/>
            <w:vAlign w:val="top"/>
          </w:tcPr>
          <w:p>
            <w:pPr>
              <w:spacing w:after="0"/>
            </w:pPr>
            <w:r>
              <w:rPr>
                <w:sz w:val="18"/>
              </w:rPr>
              <w:t>Accept</w:t>
            </w:r>
          </w:p>
        </w:tc>
        <w:tc>
          <w:tcPr>
            <w:tcW w:w="1400" w:type="dxa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w="1400" w:type="dxa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w="1400" w:type="dxa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rPr>
          <w:cantSplit/>
        </w:trPr>
        <w:tc>
          <w:tcPr>
            <w:tcW w:w="1400" w:type="dxa"/>
            <w:vAlign w:val="top"/>
          </w:tcPr>
          <w:p>
            <w:pPr>
              <w:spacing w:after="0"/>
            </w:pPr>
            <w:r>
              <w:rPr>
                <w:sz w:val="18"/>
              </w:rPr>
              <w:t>E Migration</w:t>
            </w:r>
          </w:p>
        </w:tc>
        <w:tc>
          <w:tcPr>
            <w:tcW w:w="1400" w:type="dxa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w="1400" w:type="dxa"/>
            <w:vAlign w:val="top"/>
          </w:tcPr>
          <w:p>
            <w:pPr>
              <w:spacing w:after="0"/>
            </w:pPr>
            <w:r>
              <w:rPr>
                <w:sz w:val="18"/>
              </w:rPr>
              <w:t>Approval prep</w:t>
            </w:r>
          </w:p>
        </w:tc>
        <w:tc>
          <w:tcPr>
            <w:tcW w:w="1400" w:type="dxa"/>
            <w:vAlign w:val="top"/>
          </w:tcPr>
          <w:p>
            <w:pPr>
              <w:spacing w:after="0"/>
            </w:pPr>
            <w:r>
              <w:rPr>
                <w:sz w:val="18"/>
              </w:rPr>
              <w:t>Rehearsal prep</w:t>
            </w:r>
          </w:p>
        </w:tc>
        <w:tc>
          <w:tcPr>
            <w:tcW w:w="1400" w:type="dxa"/>
            <w:vAlign w:val="top"/>
          </w:tcPr>
          <w:p>
            <w:pPr>
              <w:spacing w:after="0"/>
            </w:pPr>
            <w:r>
              <w:rPr>
                <w:sz w:val="18"/>
              </w:rPr>
              <w:t>Go-live only if approved</w:t>
            </w:r>
          </w:p>
        </w:tc>
        <w:tc>
          <w:tcPr>
            <w:tcW w:w="1400" w:type="dxa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w="1400" w:type="dxa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rPr>
          <w:cantSplit/>
        </w:trPr>
        <w:tc>
          <w:tcPr>
            <w:tcW w:w="1400" w:type="dxa"/>
            <w:vAlign w:val="top"/>
          </w:tcPr>
          <w:p>
            <w:pPr>
              <w:spacing w:after="0"/>
            </w:pPr>
            <w:r>
              <w:rPr>
                <w:sz w:val="18"/>
              </w:rPr>
              <w:t>F Partner</w:t>
            </w:r>
          </w:p>
        </w:tc>
        <w:tc>
          <w:tcPr>
            <w:tcW w:w="1400" w:type="dxa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w="1400" w:type="dxa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w="1400" w:type="dxa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w="1400" w:type="dxa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w="1400" w:type="dxa"/>
            <w:vAlign w:val="top"/>
          </w:tcPr>
          <w:p>
            <w:pPr>
              <w:spacing w:after="0"/>
            </w:pPr>
            <w:r>
              <w:rPr>
                <w:sz w:val="18"/>
              </w:rPr>
              <w:t>Preview</w:t>
            </w:r>
          </w:p>
        </w:tc>
        <w:tc>
          <w:tcPr>
            <w:tcW w:w="1400" w:type="dxa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rPr>
          <w:cantSplit/>
        </w:trPr>
        <w:tc>
          <w:tcPr>
            <w:tcW w:w="1400" w:type="dxa"/>
            <w:vAlign w:val="top"/>
          </w:tcPr>
          <w:p>
            <w:pPr>
              <w:spacing w:after="0"/>
            </w:pPr>
            <w:r>
              <w:rPr>
                <w:sz w:val="18"/>
              </w:rPr>
              <w:t>G Advanced</w:t>
            </w:r>
          </w:p>
        </w:tc>
        <w:tc>
          <w:tcPr>
            <w:tcW w:w="1400" w:type="dxa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w="1400" w:type="dxa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w="1400" w:type="dxa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w="1400" w:type="dxa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</w:p>
        </w:tc>
        <w:tc>
          <w:tcPr>
            <w:tcW w:w="1400" w:type="dxa"/>
            <w:vAlign w:val="top"/>
          </w:tcPr>
          <w:p>
            <w:pPr>
              <w:spacing w:after="0"/>
            </w:pPr>
            <w:r>
              <w:rPr>
                <w:sz w:val="18"/>
              </w:rPr>
              <w:t>Plan</w:t>
            </w:r>
          </w:p>
        </w:tc>
        <w:tc>
          <w:tcPr>
            <w:tcW w:w="1400" w:type="dxa"/>
            <w:vAlign w:val="top"/>
          </w:tcPr>
          <w:p>
            <w:pPr>
              <w:spacing w:after="0"/>
            </w:pPr>
            <w:r>
              <w:rPr>
                <w:sz w:val="18"/>
              </w:rPr>
              <w:t>Build</w:t>
            </w:r>
          </w:p>
        </w:tc>
      </w:tr>
    </w:tbl>
    <w:p>
      <w:pPr>
        <w:pStyle w:val="Heading1"/>
      </w:pPr>
      <w:r>
        <w:t xml:space="preserve">11. Next steps</w:t>
      </w:r>
    </w:p>
    <w:tbl>
      <w:tblPr>
        <w:tblW w:w="9800" w:type="dxa"/>
        <w:tblBorders>
          <w:top w:val="single" w:sz="4" w:color="D9E2EA"/>
          <w:left w:val="single" w:sz="4" w:color="D9E2EA"/>
          <w:bottom w:val="single" w:sz="4" w:color="D9E2EA"/>
          <w:right w:val="single" w:sz="4" w:color="D9E2EA"/>
          <w:insideH w:val="single" w:sz="4" w:color="D9E2EA"/>
          <w:insideV w:val="single" w:sz="4" w:color="D9E2EA"/>
        </w:tblBorders>
      </w:tblPr>
      <w:tblGrid>
        <w:gridCol w:w="3266"/>
        <w:gridCol w:w="3266"/>
        <w:gridCol w:w="3266"/>
      </w:tblGrid>
      <w:tr>
        <w:trPr>
          <w:cantSplit/>
        </w:trPr>
        <w:tc>
          <w:tcPr>
            <w:shd w:fill="0B4F6C"/>
            <w:tcW w:w="3266" w:type="dxa"/>
          </w:tcPr>
          <w:p>
            <w:r>
              <w:rPr>
                <w:b/>
                <w:color w:val="FFFFFF"/>
              </w:rPr>
              <w:t xml:space="preserve">Step</w:t>
            </w:r>
          </w:p>
        </w:tc>
        <w:tc>
          <w:tcPr>
            <w:shd w:fill="0B4F6C"/>
            <w:tcW w:w="3266" w:type="dxa"/>
          </w:tcPr>
          <w:p>
            <w:r>
              <w:rPr>
                <w:b/>
                <w:color w:val="FFFFFF"/>
              </w:rPr>
              <w:t xml:space="preserve">Owner</w:t>
            </w:r>
          </w:p>
        </w:tc>
        <w:tc>
          <w:tcPr>
            <w:shd w:fill="0B4F6C"/>
            <w:tcW w:w="3266" w:type="dxa"/>
          </w:tcPr>
          <w:p>
            <w:r>
              <w:rPr>
                <w:b/>
                <w:color w:val="FFFFFF"/>
              </w:rPr>
              <w:t xml:space="preserve">Target</w:t>
            </w:r>
          </w:p>
        </w:tc>
      </w:tr>
      <w:tr>
        <w:trPr>
          <w:cantSplit/>
        </w:trPr>
        <w:tc>
          <w:tcPr>
            <w:tcW w:w="3266" w:type="dxa"/>
          </w:tcPr>
          <w:p>
            <w:r>
              <w:t xml:space="preserve">Provide final website/front-end content or approve placeholders.</w:t>
            </w:r>
          </w:p>
        </w:tc>
        <w:tc>
          <w:tcPr>
            <w:tcW w:w="3266" w:type="dxa"/>
          </w:tcPr>
          <w:p>
            <w:r>
              <w:t xml:space="preserve">Client</w:t>
            </w:r>
          </w:p>
        </w:tc>
        <w:tc>
          <w:tcPr>
            <w:tcW w:w="3266" w:type="dxa"/>
          </w:tcPr>
          <w:p>
            <w:r>
              <w:t>15 July 2026, Wednesday. Still outstanding as of 17 July 2026.</w:t>
            </w:r>
          </w:p>
        </w:tc>
      </w:tr>
      <w:tr>
        <w:trPr>
          <w:cantSplit/>
        </w:trPr>
        <w:tc>
          <w:tcPr>
            <w:tcW w:w="3266" w:type="dxa"/>
          </w:tcPr>
          <w:p>
            <w:r>
              <w:t xml:space="preserve">Confirm membership wording, billing wording and support/pay-it-forward copy.</w:t>
            </w:r>
          </w:p>
        </w:tc>
        <w:tc>
          <w:tcPr>
            <w:tcW w:w="3266" w:type="dxa"/>
          </w:tcPr>
          <w:p>
            <w:r>
              <w:t xml:space="preserve">Client + Steve</w:t>
            </w:r>
          </w:p>
        </w:tc>
        <w:tc>
          <w:tcPr>
            <w:tcW w:w="3266" w:type="dxa"/>
          </w:tcPr>
          <w:p>
            <w:r>
              <w:t>By 15 July where possible; still outstanding as of 17 July before final front-end acceptance.</w:t>
            </w:r>
          </w:p>
        </w:tc>
      </w:tr>
      <w:tr>
        <w:trPr>
          <w:cantSplit/>
        </w:trPr>
        <w:tc>
          <w:tcPr>
            <w:tcW w:w="3266" w:type="dxa"/>
          </w:tcPr>
          <w:p>
            <w:r>
              <w:t>Run the approved programme-content acceptance and release-candidate evidence sequence, then complete the remaining staging and go/no-go gates.</w:t>
            </w:r>
          </w:p>
        </w:tc>
        <w:tc>
          <w:tcPr>
            <w:tcW w:w="3266" w:type="dxa"/>
          </w:tcPr>
          <w:p>
            <w:r>
              <w:t xml:space="preserve">Steve / operator</w:t>
            </w:r>
          </w:p>
        </w:tc>
        <w:tc>
          <w:tcPr>
            <w:tcW w:w="3266" w:type="dxa"/>
          </w:tcPr>
          <w:p>
            <w:r>
              <w:t>After the client package arrives; before the final 22–24 July launch decision.</w:t>
            </w:r>
          </w:p>
        </w:tc>
      </w:tr>
      <w:tr>
        <w:trPr>
          <w:cantSplit/>
        </w:trPr>
        <w:tc>
          <w:tcPr>
            <w:tcW w:w="3266" w:type="dxa"/>
          </w:tcPr>
          <w:p>
            <w:r>
              <w:t xml:space="preserve">Run staging smoke and capture evidence.</w:t>
            </w:r>
          </w:p>
        </w:tc>
        <w:tc>
          <w:tcPr>
            <w:tcW w:w="3266" w:type="dxa"/>
          </w:tcPr>
          <w:p>
            <w:r>
              <w:t xml:space="preserve">Steve + Client</w:t>
            </w:r>
          </w:p>
        </w:tc>
        <w:tc>
          <w:tcPr>
            <w:tcW w:w="3266" w:type="dxa"/>
          </w:tcPr>
          <w:p>
            <w:r>
              <w:t xml:space="preserve">Before final 22–24 July launch decision.</w:t>
            </w:r>
          </w:p>
        </w:tc>
      </w:tr>
      <w:tr>
        <w:trPr>
          <w:cantSplit/>
        </w:trPr>
        <w:tc>
          <w:tcPr>
            <w:tcW w:w="3266" w:type="dxa"/>
          </w:tcPr>
          <w:p>
            <w:r>
              <w:t xml:space="preserve">Complete provider/email live verification evidence.</w:t>
            </w:r>
          </w:p>
        </w:tc>
        <w:tc>
          <w:tcPr>
            <w:tcW w:w="3266" w:type="dxa"/>
          </w:tcPr>
          <w:p>
            <w:r>
              <w:t xml:space="preserve">Steve + Client</w:t>
            </w:r>
          </w:p>
        </w:tc>
        <w:tc>
          <w:tcPr>
            <w:tcW w:w="3266" w:type="dxa"/>
          </w:tcPr>
          <w:p>
            <w:r>
              <w:t xml:space="preserve">Before production-facing communication acceptance.</w:t>
            </w:r>
          </w:p>
        </w:tc>
      </w:tr>
      <w:tr>
        <w:trPr>
          <w:cantSplit/>
        </w:trPr>
        <w:tc>
          <w:tcPr>
            <w:tcW w:w="3266" w:type="dxa"/>
          </w:tcPr>
          <w:p>
            <w:r>
              <w:t xml:space="preserve">Approve table-plan-to-Free mapping and account-column rename.</w:t>
            </w:r>
          </w:p>
        </w:tc>
        <w:tc>
          <w:tcPr>
            <w:tcW w:w="3266" w:type="dxa"/>
          </w:tcPr>
          <w:p>
            <w:r>
              <w:t xml:space="preserve">Client / target-environment owner</w:t>
            </w:r>
          </w:p>
        </w:tc>
        <w:tc>
          <w:tcPr>
            <w:tcW w:w="3266" w:type="dxa"/>
          </w:tcPr>
          <w:p>
            <w:r>
              <w:t xml:space="preserve">Before any migration rehearsal or execution.</w:t>
            </w:r>
          </w:p>
        </w:tc>
      </w:tr>
      <w:tr>
        <w:trPr>
          <w:cantSplit/>
        </w:trPr>
        <w:tc>
          <w:tcPr>
            <w:tcW w:w="3266" w:type="dxa"/>
          </w:tcPr>
          <w:p>
            <w:r>
              <w:t xml:space="preserve">Run migration/cutover rehearsal and rollback review.</w:t>
            </w:r>
          </w:p>
        </w:tc>
        <w:tc>
          <w:tcPr>
            <w:tcW w:w="3266" w:type="dxa"/>
          </w:tcPr>
          <w:p>
            <w:r>
              <w:t xml:space="preserve">Steve + Client</w:t>
            </w:r>
          </w:p>
        </w:tc>
        <w:tc>
          <w:tcPr>
            <w:tcW w:w="3266" w:type="dxa"/>
          </w:tcPr>
          <w:p>
            <w:r>
              <w:t xml:space="preserve">Only after written approval.</w:t>
            </w:r>
          </w:p>
        </w:tc>
      </w:tr>
      <w:tr>
        <w:trPr>
          <w:cantSplit/>
        </w:trPr>
        <w:tc>
          <w:tcPr>
            <w:tcW w:w="3266" w:type="dxa"/>
          </w:tcPr>
          <w:p>
            <w:r>
              <w:t xml:space="preserve">Frontend website go-live milestone.</w:t>
            </w:r>
          </w:p>
        </w:tc>
        <w:tc>
          <w:tcPr>
            <w:tcW w:w="3266" w:type="dxa"/>
          </w:tcPr>
          <w:p>
            <w:r>
              <w:t xml:space="preserve">Steve</w:t>
            </w:r>
          </w:p>
        </w:tc>
        <w:tc>
          <w:tcPr>
            <w:tcW w:w="3266" w:type="dxa"/>
          </w:tcPr>
          <w:p>
            <w:r>
              <w:t xml:space="preserve">22 July 2026.</w:t>
            </w:r>
          </w:p>
        </w:tc>
      </w:tr>
      <w:tr>
        <w:trPr>
          <w:cantSplit/>
        </w:trPr>
        <w:tc>
          <w:tcPr>
            <w:tcW w:w="3266" w:type="dxa"/>
          </w:tcPr>
          <w:p>
            <w:r>
              <w:t xml:space="preserve">Frontend handover buffer.</w:t>
            </w:r>
          </w:p>
        </w:tc>
        <w:tc>
          <w:tcPr>
            <w:tcW w:w="3266" w:type="dxa"/>
          </w:tcPr>
          <w:p>
            <w:r>
              <w:t xml:space="preserve">Steve + Client</w:t>
            </w:r>
          </w:p>
        </w:tc>
        <w:tc>
          <w:tcPr>
            <w:tcW w:w="3266" w:type="dxa"/>
          </w:tcPr>
          <w:p>
            <w:r>
              <w:t xml:space="preserve">23 July 2026.</w:t>
            </w:r>
          </w:p>
        </w:tc>
      </w:tr>
      <w:tr>
        <w:trPr>
          <w:cantSplit/>
        </w:trPr>
        <w:tc>
          <w:tcPr>
            <w:tcW w:w="3266" w:type="dxa"/>
          </w:tcPr>
          <w:p>
            <w:r>
              <w:t xml:space="preserve">Client required front-end finished-by date.</w:t>
            </w:r>
          </w:p>
        </w:tc>
        <w:tc>
          <w:tcPr>
            <w:tcW w:w="3266" w:type="dxa"/>
          </w:tcPr>
          <w:p>
            <w:r>
              <w:t xml:space="preserve">Client + Steve</w:t>
            </w:r>
          </w:p>
        </w:tc>
        <w:tc>
          <w:tcPr>
            <w:tcW w:w="3266" w:type="dxa"/>
          </w:tcPr>
          <w:p>
            <w:r>
              <w:t xml:space="preserve">24 July 2026.</w:t>
            </w:r>
          </w:p>
        </w:tc>
      </w:tr>
    </w:tbl>
    <w:tbl>
      <w:tblPr>
        <w:tblW w:w="9800" w:type="dxa"/>
        <w:tblBorders>
          <w:top w:val="single" w:sz="8" w:color="6BB6C9"/>
          <w:left w:val="single" w:sz="8" w:color="6BB6C9"/>
          <w:bottom w:val="single" w:sz="8" w:color="6BB6C9"/>
          <w:right w:val="single" w:sz="8" w:color="6BB6C9"/>
        </w:tblBorders>
      </w:tblPr>
      <w:tblGrid>
        <w:gridCol w:w="9800"/>
      </w:tblGrid>
      <w:tr>
        <w:trPr>
          <w:cantSplit/>
        </w:trPr>
        <w:tc>
          <w:tcPr>
            <w:shd w:fill="EAF6FB"/>
            <w:tcW w:w="9800" w:type="dxa"/>
          </w:tcPr>
          <w:p>
            <w:pPr>
              <w:pStyle w:val="BoxTitle"/>
            </w:pPr>
            <w:r>
              <w:t xml:space="preserve">Final note</w:t>
            </w:r>
          </w:p>
          <w:p>
            <w:pPr>
              <w:pStyle w:val="Normal"/>
            </w:pPr>
            <w:r>
              <w:t>Version 3.7 confirms strong core foundations and complete local release/browser validation. The programme remains preview-only until approved content is accepted; full cutover remains at risk until migration, provider/email, smoke, rollback and final approval evidence exist.</w:t>
            </w:r>
          </w:p>
        </w:tc>
      </w:tr>
    </w:tbl>
    <w:p>
      <w:pPr>
        <w:jc w:val="center"/>
      </w:pPr>
      <w:r>
        <w:rPr>
          <w:color w:val="666666"/>
          <w:sz w:val="16"/>
        </w:rPr>
        <w:t>JPV Bootcamp Platform Expansion &amp; Go-Live Plan Version 3.7 | Client review update</w:t>
      </w:r>
    </w:p>
    <w:sectPr>
      <w:headerReference xmlns:ns0="http://schemas.openxmlformats.org/officeDocument/2006/relationships" w:type="default" ns0:id="rId1"/>
      <w:headerReference xmlns:ns1="http://schemas.openxmlformats.org/officeDocument/2006/relationships" w:type="first" ns1:id="rId2"/>
      <w:headerReference xmlns:ns2="http://schemas.openxmlformats.org/officeDocument/2006/relationships" w:type="even" ns2:id="rId3"/>
      <w:footerReference xmlns:ns3="http://schemas.openxmlformats.org/officeDocument/2006/relationships" w:type="default" ns3:id="rId4"/>
      <w:footerReference xmlns:ns4="http://schemas.openxmlformats.org/officeDocument/2006/relationships" w:type="first" ns4:id="rId5"/>
      <w:footerReference xmlns:ns5="http://schemas.openxmlformats.org/officeDocument/2006/relationships" w:type="even" ns5:id="rId6"/>
      <w:pgSz w:w="12240" w:h="15840"/>
      <w:pgMar w:top="540" w:right="360" w:bottom="540" w:left="360" w:header="360" w:footer="360" w:gutter="0"/>
    </w:sectPr>
  </w:body>
</w:document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tyles.xml><?xml version="1.0" encoding="utf-8"?>
<w:styles xmlns:w="http://schemas.openxmlformats.org/wordprocessingml/2006/main">
  <w:style w:type="paragraph" w:default="1" w:styleId="Normal">
    <w:name w:val="Normal"/>
    <w:spacing w:after="80"/>
    <w:rPr>
      <w:rFonts w:ascii="Arial" w:hAnsi="Arial"/>
      <w:sz w:val="18"/>
    </w:rPr>
  </w:style>
  <w:style w:type="paragraph" w:styleId="Title">
    <w:name w:val="Title"/>
    <w:basedOn w:val="Normal"/>
    <w:pPr>
      <w:jc w:val="center"/>
    </w:pPr>
    <w:rPr>
      <w:b/>
      <w:color w:val="006775"/>
      <w:sz w:val="32"/>
    </w:rPr>
  </w:style>
  <w:style w:type="paragraph" w:styleId="Subtitle">
    <w:name w:val="Subtitle"/>
    <w:basedOn w:val="Normal"/>
    <w:pPr>
      <w:jc w:val="center"/>
    </w:pPr>
    <w:rPr>
      <w:color w:val="555555"/>
      <w:sz w:val="20"/>
    </w:rPr>
  </w:style>
  <w:style w:type="paragraph" w:styleId="BoldCenter">
    <w:name w:val="BoldCenter"/>
    <w:pPr>
      <w:jc w:val="center"/>
    </w:pPr>
    <w:rPr>
      <w:b/>
      <w:sz w:val="20"/>
    </w:rPr>
  </w:style>
  <w:style w:type="paragraph" w:styleId="SmallCenter">
    <w:name w:val="SmallCenter"/>
    <w:pPr>
      <w:jc w:val="center"/>
    </w:pPr>
    <w:rPr>
      <w:b/>
      <w:color w:val="007A3D"/>
      <w:sz w:val="18"/>
    </w:rPr>
  </w:style>
  <w:style w:type="paragraph" w:styleId="Heading1">
    <w:name w:val="heading 1"/>
    <w:basedOn w:val="Normal"/>
    <w:rPr>
      <w:b/>
      <w:color w:val="006775"/>
      <w:sz w:val="28"/>
    </w:rPr>
  </w:style>
  <w:style w:type="paragraph" w:styleId="BoxTitle">
    <w:name w:val="BoxTitle"/>
    <w:basedOn w:val="Normal"/>
    <w:rPr>
      <w:b/>
      <w:color w:val="0B4F6C"/>
      <w:sz w:val="18"/>
    </w:rPr>
  </w:style>
</w:styles>
</file>

<file path=word/_rels/document.xml.rels><?xml version='1.0' encoding='UTF-8' standalone='yes'?>
<Relationships xmlns="http://schemas.openxmlformats.org/package/2006/relationships"><Relationship Id="rIdStyles" Type="http://schemas.openxmlformats.org/officeDocument/2006/relationships/styles" Target="styles.xml"/><Relationship Id="rIdLogo" Type="http://schemas.openxmlformats.org/officeDocument/2006/relationships/image" Target="media/jpv-logo.png"/><Relationship Id="rId1" Type="http://schemas.openxmlformats.org/officeDocument/2006/relationships/header" Target="header1.xml"/><Relationship Id="rId2" Type="http://schemas.openxmlformats.org/officeDocument/2006/relationships/header" Target="header2.xml"/><Relationship Id="rId3" Type="http://schemas.openxmlformats.org/officeDocument/2006/relationships/header" Target="header3.xm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>
  <Application>JPV Bootcamp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JPV Bootcamp Platform Expansion &amp; Go-Live Plan Version 3.6</dc:title>
  <dc:creator>JPV Bootcamp delivery team</dc:creator>
  <cp:lastModifiedBy>JPV Bootcamp delivery team</cp:lastModifiedBy>
  <dcterms:created xsi:type="dcterms:W3CDTF">2026-07-09T00:00:00Z</dcterms:created>
  <dcterms:modified xsi:type="dcterms:W3CDTF">2026-07-09T00:00:00Z</dcterms:modified>
</cp:coreProperties>
</file>