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Documento de Arquitectura — Modelo C4</w:t>
      </w:r>
    </w:p>
    <w:p>
      <w:pPr>
        <w:spacing w:after="2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ServIA — Asistente de Inteligencia Artificial para el Sector Público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del proyecto: </w:t>
      </w:r>
      <w:r>
        <w:rPr>
          <w:rFonts w:ascii="Calibri" w:cs="Calibri" w:eastAsia="Calibri" w:hAnsi="Calibri"/>
          <w:sz w:val="22"/>
          <w:szCs w:val="22"/>
        </w:rPr>
        <w:t xml:space="preserve">ServIA — Asistente de Inteligencia Artificial para el Sector Público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Institución que conduce el proyecto: </w:t>
      </w:r>
      <w:r>
        <w:rPr>
          <w:rFonts w:ascii="Calibri" w:cs="Calibri" w:eastAsia="Calibri" w:hAnsi="Calibri"/>
          <w:sz w:val="22"/>
          <w:szCs w:val="22"/>
        </w:rPr>
        <w:t xml:space="preserve">MICITT — Dirección de Gobernanza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setiembre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del documento: </w:t>
      </w:r>
      <w:r>
        <w:rPr>
          <w:rFonts w:ascii="Calibri" w:cs="Calibri" w:eastAsia="Calibri" w:hAnsi="Calibri"/>
          <w:sz w:val="22"/>
          <w:szCs w:val="22"/>
        </w:rPr>
        <w:t xml:space="preserve">1.1</w:t>
      </w:r>
    </w:p>
    <w:p>
      <w:pPr>
        <w:spacing w:after="200"/>
      </w:pPr>
    </w:p>
    <w:p>
      <w:pPr>
        <w:pStyle w:val="Heading1"/>
        <w:keepNext/>
        <w:spacing w:after="180" w:before="320"/>
      </w:pPr>
      <w:r>
        <w:t xml:space="preserve">1. Introducción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modelo C4, propuesto por Simon Brown, describe la arquitectura de un sistema de software mediante cuatro niveles de abstracción que se recorren de lo general a lo particular: Contexto, Contenedores, Componentes y Código. Cada nivel amplía un elemento del nivel anterior, de modo que el lector puede detenerse en el grado de detalle que necesita.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desarrolla los tres primeros niveles para ServIA. El nivel de Código no se elabora en esta versión: el detalle de las clases se deriva del Modelo de Dominio y del código fuente, y cambia con mayor frecuencia que los niveles superiores.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el resto de la documentación del proyecto, los diagramas describen la arquitectura planificada del sistema. Toman como punto de partida la arquitectura ya implementada y señalan en amarillo los ajustes pendientes que el ERS identifica en sus párrafos «Estado actual», para que el desarrollo pueda ubicar en qué contenedor o componente corresponde implementar cada uno (sección 8).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código PlantUML de cada diagrama se encuentra en la carpeta Diagramas/Arquitectura_C4, junto a este documento. Utiliza la biblioteca C4-PlantUML que PlantUML ya incluye (instrucción !include &lt;C4/...&gt;), por lo que no requiere descargar archivos adicionales para generarse, y el motor de acomodo ELK (instrucción !pragma layout elk), que traza las relaciones con líneas rectas en ángulo recto para que los flujos se sigan con facilidad.</w:t>
      </w:r>
    </w:p>
    <w:p>
      <w:pPr>
        <w:pStyle w:val="Heading1"/>
        <w:keepNext/>
        <w:pageBreakBefore/>
        <w:spacing w:after="180" w:before="320"/>
      </w:pPr>
      <w:r>
        <w:t xml:space="preserve">2. Objetivo del documento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objetivo de este documento es ofrecer una vista común de la arquitectura de ServIA para su desarrollo y su evaluación: qué personas y sistemas interactúan con él, en qué contenedores se ejecuta, qué responsabilidades asume cada componente del servidor y cómo se comunican entre sí.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Además, relaciona cada componente con los requisitos funcionales del ERS que implementa. De esta forma complementa los casos de uso, el modelo de dominio y los procesos con la perspectiva técnica: dónde se implementa cada funcionalidad y qué tecnología la soporta.</w:t>
      </w:r>
    </w:p>
    <w:p>
      <w:pPr>
        <w:pStyle w:val="Heading1"/>
        <w:keepNext/>
        <w:spacing w:after="180" w:before="320"/>
      </w:pPr>
      <w:r>
        <w:t xml:space="preserve">3. Convenciones de los diagramas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cuatro diagramas usan la misma notación, basada en los colores del machote de referencia: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60"/>
      </w:tblGrid>
      <w:tr>
        <w:trPr>
          <w:cantSplit/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Representación</w:t>
            </w:r>
          </w:p>
        </w:tc>
        <w:tc>
          <w:tcPr>
            <w:tcW w:type="dxa" w:w="43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azul con ícono de persona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 humano que usa el sistema: Usuario Gubernamental o Administrador.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Sistema, contenedor o componente propio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morado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Elemento de ServIA que se describe en el nivel correspondiente.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de datos o almacenamiento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Cilindro celeste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Contenedor que conserva datos: base relacional, base vectorial, almacén en memoria o archivos.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Infraestructura compartida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verde agua, dentro del recuadro «Núcleo»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Componente del que dependen varios módulos del mismo contenedor (nivel 3).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 externo o contenedor fuera de foco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gris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Elemento fuera del límite del sistema o del contenedor que se describe.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Límite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Recuadro con borde discontinuo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Frontera del sistema (nivel 2) o del contenedor (nivel 3).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 planificada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 amarilla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Ajuste pendiente según el ERS.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 aclaratoria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 gris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complementaria sobre un elemento.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Relación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Flecha con texto y [tecnología]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Sale del elemento que inicia la interacción; el texto indica qué se hace y los corchetes, el protocolo o mecanismo.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80" w:before="0"/>
      </w:pPr>
      <w:r>
        <w:t xml:space="preserve">4. Nivel 1 — Diagrama de Contexto</w:t>
      </w:r>
    </w:p>
    <w:p>
      <w:pPr>
        <w:keepNext w:val="false"/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Muestra ServIA como una sola caja, junto con las personas que lo usan y el único sistema externo con el que se comunica.</w:t>
      </w:r>
    </w:p>
    <w:p>
      <w:pPr>
        <w:spacing w:after="0" w:before="60"/>
        <w:jc w:val="center"/>
      </w:pPr>
      <w:r>
        <w:drawing>
          <wp:inline distT="0" distB="0" distL="0" distR="0">
            <wp:extent cx="5895975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keepNext/>
        <w:spacing w:after="140" w:before="0"/>
      </w:pPr>
      <w:r>
        <w:t xml:space="preserve">4.1 Elementos del diagrama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06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 Gubernamental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Funcionario de una institución pública. Carga documentos, consulta al asistente, trabaja en NotebookServIA y busca temas similares.</w:t>
            </w:r>
          </w:p>
        </w:tc>
      </w:tr>
      <w:tr>
        <w:trPr>
          <w:cantSplit/>
        </w:trPr>
        <w:tc>
          <w:tcPr>
            <w:tcW w:type="dxa" w:w="22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 las cuentas de usuario y supervisa el uso del sistema con la bitácora y el dashboard de métricas.</w:t>
            </w:r>
          </w:p>
        </w:tc>
      </w:tr>
      <w:tr>
        <w:trPr>
          <w:cantSplit/>
        </w:trPr>
        <w:tc>
          <w:tcPr>
            <w:tcW w:type="dxa" w:w="22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software (en foco)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Asistente de inteligencia artificial con generación aumentada por recuperación (RAG): procesa documentos de texto, audio e imagen, responde en lenguaje natural citando la fuente y encuentra temas similares.</w:t>
            </w:r>
          </w:p>
        </w:tc>
      </w:tr>
      <w:tr>
        <w:trPr>
          <w:cantSplit/>
        </w:trPr>
        <w:tc>
          <w:tcPr>
            <w:tcW w:type="dxa" w:w="22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Servidor de correo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Cuenta de correo institucional o de desarrollo que entrega las contraseñas temporales y los códigos de recuperación.</w:t>
            </w:r>
          </w:p>
        </w:tc>
      </w:tr>
    </w:tbl>
    <w:p>
      <w:pPr>
        <w:pStyle w:val="Heading2"/>
        <w:keepNext/>
        <w:spacing w:after="140" w:before="240"/>
      </w:pPr>
      <w:r>
        <w:t xml:space="preserve">4.2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cantSplit/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Interacción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Gubernamental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ServIA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documentos, consulta al asistente, trabaja en NotebookServIA y busca temas similares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ServIA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 las cuentas de usuario y consulta la bitácora y las métricas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correo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contraseñas temporales y códigos de recuperación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 · STARTTLS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correo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Gubernamental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los correos del sistema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electrónico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correo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los correos del sistema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electrónico</w:t>
            </w:r>
          </w:p>
        </w:tc>
      </w:tr>
    </w:tbl>
    <w:p>
      <w:pPr>
        <w:keepNext w:val="false"/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diagrama refleja una decisión central del proyecto: el único sistema externo es el servidor de correo. El modelo de lenguaje, los embeddings, la transcripción de audio y el reconocimiento de texto en imagen se ejecutan dentro de ServIA (RT-02, RNF-09), por lo que no aparecen como sistemas externos. Los pesos de los modelos abiertos se descargan una única vez, durante la instalación o el primer arranque, y no forman parte del uso normal del sistema.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comunicación entre el navegador y ServIA se representa con HTTPS, el protocolo que se exige en cualquier entorno expuesto más allá del desarrollo local (RNF-08); en el entorno de desarrollo, los servicios se acceden por HTTP en el propio equipo.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80" w:before="0"/>
      </w:pPr>
      <w:r>
        <w:t xml:space="preserve">5. Nivel 2 — Diagrama de Contenedores</w:t>
      </w:r>
    </w:p>
    <w:p>
      <w:pPr>
        <w:keepNext w:val="false"/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Abre la caja de ServIA y muestra sus contenedores: cada aplicación o almacén de datos que se ejecuta por separado.</w:t>
      </w:r>
    </w:p>
    <w:p>
      <w:pPr>
        <w:spacing w:after="0" w:before="60"/>
        <w:jc w:val="center"/>
      </w:pPr>
      <w:r>
        <w:drawing>
          <wp:inline distT="0" distB="0" distL="0" distR="0">
            <wp:extent cx="9144000" cy="5438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ServIA es un monolito modular: la lógica propia se concentra en la API Backend y en el Worker de procesamiento, que comparten el mismo código fuente y se ejecutan como procesos distintos. Los ocho servicios de Docker Compose descritos en el ERS (2.1) aparecen como contenedores, junto con la Aplicación Web y el almacenamiento de archivos, un volumen local montado en ambos procesos.</w:t>
      </w:r>
    </w:p>
    <w:p>
      <w:pPr>
        <w:pStyle w:val="Heading2"/>
        <w:keepNext/>
        <w:spacing w:after="140" w:before="240"/>
      </w:pPr>
      <w:r>
        <w:t xml:space="preserve">5.1 Contenedores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3660"/>
        <w:gridCol w:w="1900"/>
      </w:tblGrid>
      <w:tr>
        <w:trPr>
          <w:cantSplit/>
          <w:tblHeader/>
        </w:trPr>
        <w:tc>
          <w:tcPr>
            <w:tcW w:type="dxa" w:w="17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Contenedor</w:t>
            </w:r>
          </w:p>
        </w:tc>
        <w:tc>
          <w:tcPr>
            <w:tcW w:type="dxa" w:w="2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Next.js 15, React 18, NextAuth, HeroUI, Chart.js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en español para ambos roles: inicio de sesión, Asistente Virtual, NotebookServIA, Ingesta de Datos, Temas Similares y administración. Controla el acceso a cada página según el rol, renueva la sesión mientras hay actividad y muestra las respuestas del asistente a medida que se generan.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Node.js (npm), puerto 3000. Cuenta con Dockerfile propio.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Python, FastAPI, Uvicorn, SQLAlchemy, LangChain, sentence-transformers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Expone la API REST protegida con JWT para todos los módulos: autenticación, usuarios, ingesta, consultas RAG en streaming, NotebookServIA, temas similares y bitácora. Genera el embedding de cada consulta y registra la auditoría de las acciones.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backend, puerto 8000. Aplica las migraciones de Alembic al iniciar.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Python, Celery, faster-whisper, sentence-transformers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Procesa en segundo plano cada archivo cargado: obtiene su texto (extracción, transcripción de audio o reconocimiento en imagen), lo fragmenta, genera los embeddings, los indexa y actualiza el estado del documento.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celery-worker. Una tarea a la vez, con un máximo de 2 horas por tarea.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Servidor de extracción de texto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Apache Tika Server, Tesseract OCR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Extrae el texto de PDF, DOC, DOCX, RTF y HTML, y aplica OCR a los PDF escaneados.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tika, puerto 9998.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Servidor de reconocimiento de texto en imagen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Python, FastAPI, docTR, TrOCR, PyTorch (GPU)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Localiza las líneas de texto de una imagen (docTR) y reconoce su contenido (TrOCR). Está orientado a texto impreso o tipeado; la escritura a mano es una limitación aceptada (RF-10).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servidor-htr, puerto 9100. Libera la GPU tras 120 s sin uso.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Motor de lenguaje local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Ollama, modelo llama3.1:8b (GPU)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 las respuestas del asistente y los resúmenes de temas similares con el modelo llama3.1:8b, sin salir de la infraestructura local.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ollama, puerto 11434. Libera la GPU tras 2 min sin uso y atiende una generación a la vez.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de datos relacional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SQL Server 2022; esquema versionado con Alembic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usuarios y roles, temas, documentos y su estado de procesamiento, notebooks y la bitácora.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sqlserver, puerto 1433, con volumen persistente.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de datos vectorial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Qdrant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los fragmentos de texto con su embedding de 1024 dimensiones y los metadatos de tema y archivo que permiten citar la fuente y acotar las búsquedas.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qdrant, puertos 6333 (REST) y 6334 (gRPC), con volumen persistente.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Almacén en memoria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 7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Funciona como cola de tareas de Celery (base 0) y almacén de sus resultados (base 1), guarda el progreso de cada tarea de ingesta y conserva el historial de conversaciones durante 30 días (base 2).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redis, puerto 6379, con un límite de 1 GB.</w:t>
            </w:r>
          </w:p>
        </w:tc>
      </w:tr>
      <w:tr>
        <w:trPr>
          <w:cantSplit/>
        </w:trPr>
        <w:tc>
          <w:tcPr>
            <w:tcW w:type="dxa" w:w="17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Almacenamiento de archivos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archivos local (carpeta uploads)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 los archivos originales cargados, organizados por tema, y las fotografías de perfil de los usuarios.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Volumen montado en los servicios backend y celery-worker.</w:t>
            </w:r>
          </w:p>
        </w:tc>
      </w:tr>
    </w:tbl>
    <w:p>
      <w:pPr>
        <w:pStyle w:val="Heading2"/>
        <w:keepNext/>
        <w:spacing w:after="140" w:before="240"/>
      </w:pPr>
      <w:r>
        <w:t xml:space="preserve">5.2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560"/>
        <w:gridCol w:w="1900"/>
      </w:tblGrid>
      <w:tr>
        <w:trPr>
          <w:cantSplit/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5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Interacción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Gubernamental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Llama a la API REST con el token JWT y recibe las respuestas del asistente en streaming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 · JSON · SSE · JWT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correo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las contraseñas temporales y los códigos de recuperación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 · STARTTLS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Motor de lenguaje local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 respuestas y resúmenes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 · streaming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Almacenamiento de archivos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los archivos cargados y los avatares; entrega y elimina los originales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archivos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relacional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 y escribe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SQLAlchemy · ODBC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Almacén en memoria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Encola una tarea por archivo, consulta su progreso y guarda las conversaciones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Celery · Redis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vectorial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los fragmentos relevantes y elimina los de un documento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Almacén en memoria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Toma las tareas de la cola y publica su progreso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Celery · Redis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relacional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el documento, su estado de procesamiento y la bitácora de la ingesta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SQLAlchemy · ODBC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vectorial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Indexa los fragmentos con sus embeddings y metadatos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extracción de texto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los documentos de texto para extraer su contenido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de procesamiento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de reconocimiento de texto en imagen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las imágenes para reconocer su texto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 · JSON</w:t>
            </w:r>
          </w:p>
        </w:tc>
      </w:tr>
    </w:tbl>
    <w:p>
      <w:pPr>
        <w:keepNext w:val="false"/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diagrama muestra dos flujos independientes. El flujo interactivo va de la Aplicación Web a la API Backend, que consulta las bases de datos y el motor de lenguaje y responde en streaming. El flujo de ingesta es asíncrono: la API guarda el archivo, encola una tarea en Redis y responde de inmediato (RNF-02); el Worker toma la tarea, obtiene el texto con Tika, con el servidor de reconocimiento de texto en imagen o con su transcriptor de audio, lo indexa en Qdrant y actualiza el estado del documento en SQL Server.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entrega de los correos a las personas se muestra en el nivel 1; en este nivel interesa qué contenedor se comunica con el servidor de correo, que es la API Backend.</w:t>
      </w:r>
    </w:p>
    <w:p>
      <w:pPr>
        <w:pStyle w:val="Heading1"/>
        <w:keepNext/>
        <w:spacing w:after="180" w:before="320"/>
      </w:pPr>
      <w:r>
        <w:t xml:space="preserve">6. Nivel 3 — Diagramas de Componentes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nivel de componentes se desarrolla para los dos contenedores que concentran la lógica propia de ServIA en el servidor: la API Backend y el Worker de procesamiento. Los demás contenedores son productos de terceros que se usan sin modificar (SQL Server, Qdrant, Redis, Ollama y Apache Tika), un servicio de una sola responsabilidad descrito en RF-09 (el servidor de reconocimiento de texto en imagen) o la capa de presentación, cuyas pantallas y comportamiento se describen en los casos de uso.</w:t>
      </w:r>
    </w:p>
    <w:p>
      <w:pPr>
        <w:keepNext w:val="false"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ambos diagramas, los componentes de infraestructura compartida se agrupan en el recuadro «Núcleo»: ningún módulo accede directamente a SQL Server, Qdrant, Ollama o al sistema de archivos, sino a través del componente correspondiente. Las rutas de la columna «Ubicación en el código» son relativas a la carpeta backend/app, salvo que se indique otra.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keepNext/>
        <w:spacing w:after="140" w:before="0"/>
      </w:pPr>
      <w:r>
        <w:t xml:space="preserve">6.1 Componentes de la API Backend</w:t>
      </w:r>
    </w:p>
    <w:p>
      <w:pPr>
        <w:keepNext w:val="false"/>
        <w:spacing w:after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módulo funcional expone sus endpoints con un router de FastAPI y delega en el núcleo el acceso a datos, a la base vectorial, al modelo de lenguaje y a los archivos.</w:t>
      </w:r>
    </w:p>
    <w:p>
      <w:pPr>
        <w:spacing w:after="0" w:before="60"/>
        <w:jc w:val="center"/>
      </w:pPr>
      <w:r>
        <w:drawing>
          <wp:inline distT="0" distB="0" distL="0" distR="0">
            <wp:extent cx="9144000" cy="5087689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tabla siguiente describe cada componente de la API Backend, su ubicación en el código y los requisitos funcionales que implementa. Seguridad JWT y roles y Auditoría no se conectan con flechas a cada módulo para no saturar el diagrama: todos los endpoints protegidos usan la primera como dependencia (RF-02, RNF-07) y todos los módulos registran sus acciones mediante la segunda (RF-21).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350"/>
        <w:gridCol w:w="4000"/>
        <w:gridCol w:w="1160"/>
      </w:tblGrid>
      <w:tr>
        <w:trPr>
          <w:cantSplit/>
          <w:tblHeader/>
        </w:trPr>
        <w:tc>
          <w:tcPr>
            <w:tcW w:type="dxa" w:w="1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3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en el código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1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FastAPI (main.py)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backend/​main.py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Punto de entrada de la API: monta los routers de cada módulo, incluida la entrega pública de avatares, configura CORS, y al iniciar carga el modelo de embeddings y verifica la conexión con Qdrant (si algo falla, la API no arranca).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Autenticación y contraseñas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routes/​auth.py · services/​auth_​service.py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y cierre de sesión, renovación del token, cambio voluntario de contraseña y recuperación por código de 6 dígitos.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RF‑01, RF‑03, RF‑04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y perfil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routes/​usuarios.py · services/​usuario_​service.py · services/​avatar_​service.py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Creación, edición y desactivación lógica de cuentas; restablecimiento de la contraseña temporal por el Administrador; carga, selección y restablecimiento del avatar.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RF‑02, RF‑03, RF‑04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Ingesta de documentos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routes/​ingesta.py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Recibe los archivos con su tema, guarda cada original, encola una tarea de procesamiento por archivo, informa el progreso de cada tarea y permite cancelarla.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RF‑05, RF‑06, 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Orquestador de consultas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routes/​rag.py · services/​RAG/​rag_​chain_​service.py · services/​RAG/​prompts/​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cada consulta según su alcance (general, tema o notebook): recupera el contexto, arma el prompt con las reglas de cita de fuente y sin invención, genera la respuesta en streaming y la agrega a la conversación.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RF‑11, RF‑12, RF‑15, RF‑16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Recuperador híbrido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services/​RAG/​retriever.py · services/​RAG/​search_​strategies.py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Recupera los fragmentos más relevantes dentro del alcance; si la pregunta menciona un tema, combina el filtro exacto por tema con la búsqueda semántica y reintenta sin filtro cuando el tema no tiene datos.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RF‑11, RF‑13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de conversaciones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services/​RAG/​session_​store.py · services/​RAG/​conversation_​history_​redis.py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las conversaciones de cada usuario, las lista, las restaura con su contexto completo y las elimina; el modelo recibe solo los mensajes más recientes.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RF‑14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NotebookServIA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routes/​notebooks.py · services/​notebook_​service.py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 y lista los notebooks del usuario, lista sus documentos, entrega el archivo original para la previsualización y elimina un documento de sus tres capas (fragmentos, archivo y registro), verificando siempre que el notebook pertenezca al usuario.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RF‑17, RF‑18, RF‑19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Temas similares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routes/​similarity.py · services/​busqueda_​similares/​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 un tema de referencia o un texto libre con la base vectorial, calcula y clasifica el porcentaje de similitud de hasta 30 resultados y genera bajo demanda el resumen con IA de un resultado.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RF‑20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Archivos de temas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routes/​archivos.py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y descarga los archivos originales de un tema, incluidos los que cita el asistente en sus respuestas.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RF‑12, RF‑20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Avatares públicos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routes/​avatares.py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solo las fotografías de perfil por GET y HEAD en /uploads/profiles/{nombre}, sin sesión y con Vary: Origin. Es una excepción deliberada a «todo endpoint exige rol» (RF-04.20, RNF-07.22); la carpeta de documentos no se publica.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RF‑04, RNF‑07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Bitácora y métricas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routes/​bitacora.py · services/​bitacora/​bitacora_​service.py · services/​bitacora/​bitacora_​stats_​service.py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la bitácora con filtros combinables, registra su exportación y calcula los indicadores y gráficos del dashboard de métricas.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RF‑22, RF‑23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 JWT y roles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auth/​jwt_​auth.py · repositories/​usuario_​repository.py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Emite y verifica el token JWT y exige el rol correspondiente en cada endpoint protegido, que la declara como dependencia. Las contraseñas se comparan contra su hash bcrypt.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RF‑01, RF‑02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Auditoría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services/​bitacora/​ (un servicio de auditoría por módulo)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de forma automática cada acción relevante en la bitácora; la invocan todos los módulos funcionales y el Worker. Si el registro falla, la acción del usuario se completa de todas formas.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RF‑21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Envío de correo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email/​ · routes/​email.py (verificación de la configuración)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Arma las plantillas de los correos y envía las contraseñas temporales y los códigos de recuperación por SMTP.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RF‑02, RF‑03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a datos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db/​ (modelos y sesión) · repositories/​ · migraciones de Alembic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Modelos, sesión y repositorios de usuarios, temas, documentos, notebooks y bitácora. Es el único punto de acceso a SQL Server.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 de embeddings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embeddings/​embeddings.py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las consultas y los textos de referencia en vectores de 1024 dimensiones, dentro del mismo proceso de la API.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RF‑08, RF‑11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Adaptador vectorial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vectorstore/​base.py · vectorstore/​qdrant_​backend.py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única hacia la base vectorial: búsqueda por vector con filtros de metadatos, obtención de los fragmentos de un documento o tema y eliminación de fragmentos.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RF‑08, RF‑13, RF‑19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del modelo de lenguaje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llm/​llm_​service.py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Invoca al modelo de lenguaje local con streaming y con los parámetros de generación configurados (temperatura, contexto y longitud de la respuesta).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RF‑11, RF‑20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archivos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services/​documentos/​file_​management_​service.py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los archivos cargados en la carpeta de su tema y los localiza, entrega y elimina cuando otro módulo lo solicita.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RF‑05, RF‑18, RF‑19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keepNext/>
        <w:spacing w:after="140" w:before="0"/>
      </w:pPr>
      <w:r>
        <w:t xml:space="preserve">6.2 Componentes del Worker de procesamiento</w:t>
      </w:r>
    </w:p>
    <w:p>
      <w:pPr>
        <w:keepNext w:val="false"/>
        <w:spacing w:after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Worker ejecuta el pipeline de ingesta de un archivo por tarea: toma la tarea de la cola, obtiene el texto según el tipo de archivo, lo fragmenta y lo indexa.</w:t>
      </w:r>
    </w:p>
    <w:p>
      <w:pPr>
        <w:spacing w:after="0" w:before="60"/>
        <w:jc w:val="center"/>
      </w:pPr>
      <w:r>
        <w:drawing>
          <wp:inline distT="0" distB="0" distL="0" distR="0">
            <wp:extent cx="6858000" cy="72199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procesador de documentos elige la vía de extracción según la extensión del archivo: el audio va al transcriptor, las imágenes al cliente de reconocimiento —antes que a Tika, que las procesaría con OCR de texto impreso— y el resto de los formatos a Tika. Los componentes del núcleo son el mismo código que usa la API Backend, lo que garantiza que documentos y consultas se vectoricen con el mismo modelo (RF-08).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350"/>
        <w:gridCol w:w="4000"/>
        <w:gridCol w:w="1160"/>
      </w:tblGrid>
      <w:tr>
        <w:trPr>
          <w:cantSplit/>
          <w:tblHeader/>
        </w:trPr>
        <w:tc>
          <w:tcPr>
            <w:tcW w:type="dxa" w:w="18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3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en el código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1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Tarea de procesamiento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celery_​app.py (raíz de backend) · services/​ingesta/​async_​processing/​celery_​tasks.py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Procesa un archivo por tarea. Antes de empezar verifica si un reintento ya lo había procesado, para no duplicarlo; revisa la cancelación durante el procesamiento y limita la duración a 2 horas.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Seguimiento del progreso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services/​ingesta/​async_​processing/​progress_​tracker.py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 el porcentaje, la etapa y el estado de cada tarea, que la API Backend consulta periódicamente para mostrarlos al usuario.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Procesador de documentos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services/​ingesta/​file_​management/​document_​processor.py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 el archivo, registra el documento como Pendiente, elige la vía de extracción según su tipo, limpia el texto, lo envía a indexar y deja el documento en Procesado o en Error con el detalle de la causa.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RF‑05, RF‑06, 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de extracción de texto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services/​ingesta/​tika_​service.py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los documentos de texto a Apache Tika, con OCR habilitado para los PDF escaneados; los archivos TXT se decodifican directamente detectando su codificación.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Transcriptor de audio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services/​ingesta/​audio_​transcription/​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Transcribe los archivos MP3, WAV, OGG y M4A dentro del proceso del Worker, de forma directa o por segmentos cuando el archivo es grande.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de reconocimiento en imagen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services/​ingesta/​htr_​service.py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Envía cada imagen al servidor de reconocimiento de texto en imagen y recibe el texto reconocido. Se usa antes que Tika para las imágenes.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RF‑09, RF‑10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Limpieza de texto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services/​ingesta/​file_​management/​text_​cleaner.py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Normaliza el texto Unicode y corrige los problemas de codificación del texto obtenido antes de indexarlo.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Fragmentación e indexación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vectorstore/​storage.py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Divide el texto en fragmentos de 7000 caracteres con un traslape de 500, agrega a cada uno los metadatos de tema y archivo, y los envía a vectorizar e indexar.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 de embeddings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embeddings/​embeddings.py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 el embedding de cada fragmento con el mismo modelo que usa la API Backend para las consultas.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Adaptador vectorial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vectorstore/​qdrant_​backend.py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Inserta los fragmentos en Qdrant con sus vectores y metadatos.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a datos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db/​ · repositories/​ · servicio de temas (conserva el nombre heredado, RT-06)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o crea el tema indicado, crea el registro del documento y actualiza su ruta y su estado de procesamiento.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RF‑06, RF‑07</w:t>
            </w:r>
          </w:p>
        </w:tc>
      </w:tr>
      <w:tr>
        <w:trPr>
          <w:cantSplit/>
        </w:trPr>
        <w:tc>
          <w:tcPr>
            <w:tcW w:type="dxa" w:w="185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Auditoría de ingesta (núcleo)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services/​bitacora/​ingesta_​audit_​service.py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en la bitácora el inicio, la finalización o el error del procesamiento de cada archivo.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RF‑21</w:t>
            </w:r>
          </w:p>
        </w:tc>
      </w:tr>
    </w:tbl>
    <w:p>
      <w:pPr>
        <w:pStyle w:val="Heading1"/>
        <w:keepNext/>
        <w:pageBreakBefore/>
        <w:spacing w:after="180" w:before="320"/>
      </w:pPr>
      <w:r>
        <w:t xml:space="preserve">7. Decisiones de arquitectura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siguientes decisiones explican la forma de los diagramas y deben mantenerse al desarrollar los ajustes planificados: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160"/>
        <w:gridCol w:w="1400"/>
      </w:tblGrid>
      <w:tr>
        <w:trPr>
          <w:cantSplit/>
          <w:tblHeader/>
        </w:trPr>
        <w:tc>
          <w:tcPr>
            <w:tcW w:type="dxa" w:w="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51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Monolito modular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único código fuente organizado por módulos (router, servicios y repositorios) es más sostenible para un equipo de un solo desarrollador que un conjunto de microservicios. La separación entre la API Backend y el Worker aporta el aislamiento necesario para el procesamiento pesado.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ERS 2.1, RA‑01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100 % local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información institucional es sensible: el modelo de lenguaje, los embeddings, la transcripción y el reconocimiento de texto en imagen se ejecutan en contenedores propios, sin servicios de IA en la nube.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RT‑02, RNF‑09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Ingesta asíncrona con cola de tareas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carga responde en segundos aunque el procesamiento tarde minutos. El Worker procesa una tarea a la vez y detecta los reintentos para no duplicar documentos.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RNF‑02, RF‑07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Respuestas en streaming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texto se muestra a medida que el modelo lo genera, lo que reduce la espera percibida; la interfaz libera el envío si pasan 30 segundos sin recibir datos.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RF‑11, RF‑16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GPU compartida con liberación por inactividad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motor de lenguaje (5,5 GB) y el reconocimiento de texto en imagen (2,1 GB) ocupan 7,6 de los 8 GB de VRAM. Cada uno libera la memoria tras 2 minutos sin uso, y el motor atiende una generación a la vez para no dividir su contexto.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RT‑03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vectorial detrás de una interfaz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módulos usan VectorStoreBackend y no Qdrant directamente; cambiar de motor vectorial requiere solo otra implementación de la interfaz.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mismo modelo de embeddings en la API y el Worker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documentos y las consultas se vectorizan con el mismo modelo, de modo que sus vectores son comparables.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RF‑08, RF‑11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DA-08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Reconocimiento de imagen en un servicio propio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Aísla del backend las dependencias pesadas (PyTorch, modelos de visión, GPU) y sigue el mismo patrón que Tika: un contenedor consumido por HTTP.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RF‑09, RT‑03</w:t>
            </w:r>
          </w:p>
        </w:tc>
      </w:tr>
    </w:tbl>
    <w:p>
      <w:pPr>
        <w:pStyle w:val="Heading1"/>
        <w:keepNext/>
        <w:pageBreakBefore/>
        <w:spacing w:after="180" w:before="320"/>
      </w:pPr>
      <w:r>
        <w:t xml:space="preserve">8. Elementos planificados</w:t>
      </w:r>
    </w:p>
    <w:p>
      <w:pPr>
        <w:keepNext/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ajustes siguientes provienen de los párrafos «Estado actual» del ERS y de las dependencias del proyecto. Se indican en amarillo en los diagramas y señalan el contenedor o componente donde corresponde implementarlos: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cantSplit/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Contenedor o componente</w:t>
            </w:r>
          </w:p>
        </w:tc>
        <w:tc>
          <w:tcPr>
            <w:tcW w:type="dxa" w:w="47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Ajuste planificado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 — Ingesta de Datos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Admitir imágenes y mostrar la advertencia sobre la escritura a mano.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RF‑05, RF‑10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 y API Backend — Ingesta de documentos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Indicar el tema por un nombre libre en lugar del identificador heredado del proyecto JusticIA.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RF‑06, RT‑06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Backend — Recuperador híbrido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Detectar el tema mencionado en la pregunta por su nombre.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RF‑13, RT‑06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Backend — Temas similares; Aplicación Web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Buscar por nombre de tema y mostrar la opción del menú como «Temas Similares».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RF‑20, RT‑06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 — NotebookServIA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Hacer efectiva la acción de reintentar en el chat del notebook.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RF‑15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 y API Backend — NotebookServIA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Solicitar confirmación antes de eliminar un documento e informar si alguna de las tres eliminaciones falla.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RF‑19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Backend — Usuarios y perfil; Envío de correo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Avisar al Administrador cuando el correo con la contraseña temporal no se entregue.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RF‑02, RF‑03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Servidor de correo (sistema externo)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Configurar la cuenta de correo institucional para las notificaciones del sistema.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RF‑03; ERS 2.5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Backend — Autenticación; Usuarios y perfil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 también en el servidor el mínimo de 8 caracteres de las contraseñas.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RNF‑08</w:t>
            </w:r>
          </w:p>
        </w:tc>
      </w:tr>
      <w:tr>
        <w:trPr>
          <w:cantSplit/>
        </w:trPr>
        <w:tc>
          <w:tcPr>
            <w:tcW w:type="dxa" w:w="30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 Web (contenedor)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Ejecutarla como un servicio más de Docker Compose.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RNF‑06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ff1bb9c332a979bee52491ccf6d24ef4215bb46.png"/><Relationship Id="rId8" Type="http://schemas.openxmlformats.org/officeDocument/2006/relationships/image" Target="media/807260f93afc0b590d3d9f4c0ad2a31eec65726c.png"/><Relationship Id="rId9" Type="http://schemas.openxmlformats.org/officeDocument/2006/relationships/image" Target="media/5d3ff0cae89363cbe24c1dfe94b772f0be545079.png"/><Relationship Id="rId10" Type="http://schemas.openxmlformats.org/officeDocument/2006/relationships/image" Target="media/0a2d397d1c75ed8ca48eaf023dcf5ecdfc78bb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2026-09-30T20:48:45.746Z</dcterms:created>
  <dcterms:modified xsi:type="dcterms:W3CDTF">2026-09-30T20:48:45.747Z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