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Modelo Relacional</w:t>
      </w:r>
    </w:p>
    <w:p>
      <w:pPr>
        <w:spacing w:after="260"/>
      </w:pPr>
      <w:r>
        <w:rPr>
          <w:rFonts w:ascii="Calibri" w:cs="Calibri" w:eastAsia="Calibri" w:hAnsi="Calibri"/>
          <w:b/>
          <w:bCs/>
          <w:sz w:val="26"/>
          <w:szCs w:val="26"/>
        </w:rPr>
        <w:t xml:space="preserve">ServIA — Asistente de Inteligencia Artificial para el Sector Público</w:t>
      </w:r>
    </w:p>
    <w:p>
      <w:pPr>
        <w:spacing w:after="80"/>
      </w:pPr>
      <w:r>
        <w:rPr>
          <w:rFonts w:ascii="Calibri" w:cs="Calibri" w:eastAsia="Calibri" w:hAnsi="Calibri"/>
          <w:b/>
          <w:bCs/>
          <w:sz w:val="22"/>
          <w:szCs w:val="22"/>
        </w:rPr>
        <w:t xml:space="preserve">Nombre del proyecto: </w:t>
      </w:r>
      <w:r>
        <w:rPr>
          <w:rFonts w:ascii="Calibri" w:cs="Calibri" w:eastAsia="Calibri" w:hAnsi="Calibri"/>
          <w:sz w:val="22"/>
          <w:szCs w:val="22"/>
        </w:rPr>
        <w:t xml:space="preserve">ServIA — Asistente de Inteligencia Artificial para el Sector Público</w:t>
      </w:r>
    </w:p>
    <w:p>
      <w:pPr>
        <w:spacing w:after="80"/>
      </w:pPr>
      <w:r>
        <w:rPr>
          <w:rFonts w:ascii="Calibri" w:cs="Calibri" w:eastAsia="Calibri" w:hAnsi="Calibri"/>
          <w:b/>
          <w:bCs/>
          <w:sz w:val="22"/>
          <w:szCs w:val="22"/>
        </w:rPr>
        <w:t xml:space="preserve">Institución que conduce el proyecto: </w:t>
      </w:r>
      <w:r>
        <w:rPr>
          <w:rFonts w:ascii="Calibri" w:cs="Calibri" w:eastAsia="Calibri" w:hAnsi="Calibri"/>
          <w:sz w:val="22"/>
          <w:szCs w:val="22"/>
        </w:rPr>
        <w:t xml:space="preserve">MICITT — Dirección de Gobernanza</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setiembre 2026</w:t>
      </w:r>
    </w:p>
    <w:p>
      <w:pPr>
        <w:spacing w:after="80"/>
      </w:pPr>
      <w:r>
        <w:rPr>
          <w:rFonts w:ascii="Calibri" w:cs="Calibri" w:eastAsia="Calibri" w:hAnsi="Calibri"/>
          <w:b/>
          <w:bCs/>
          <w:sz w:val="22"/>
          <w:szCs w:val="22"/>
        </w:rPr>
        <w:t xml:space="preserve">Versión del documento: </w:t>
      </w:r>
      <w:r>
        <w:rPr>
          <w:rFonts w:ascii="Calibri" w:cs="Calibri" w:eastAsia="Calibri" w:hAnsi="Calibri"/>
          <w:sz w:val="22"/>
          <w:szCs w:val="22"/>
        </w:rPr>
        <w:t xml:space="preserve">1.0</w:t>
      </w:r>
    </w:p>
    <w:p>
      <w:pPr>
        <w:spacing w:after="200"/>
      </w:pPr>
    </w:p>
    <w:p>
      <w:pPr>
        <w:pStyle w:val="Heading1"/>
        <w:keepNext/>
        <w:spacing w:after="180" w:before="320"/>
      </w:pPr>
      <w:r>
        <w:t xml:space="preserve">1. Introducción</w:t>
      </w:r>
    </w:p>
    <w:p>
      <w:pPr>
        <w:keepNext w:val="false"/>
        <w:spacing w:after="160" w:line="276"/>
        <w:jc w:val="both"/>
      </w:pPr>
      <w:r>
        <w:rPr>
          <w:rFonts w:ascii="Calibri" w:cs="Calibri" w:eastAsia="Calibri" w:hAnsi="Calibri"/>
          <w:b w:val="false"/>
          <w:bCs w:val="false"/>
          <w:i w:val="false"/>
          <w:iCs w:val="false"/>
          <w:sz w:val="22"/>
          <w:szCs w:val="22"/>
        </w:rPr>
        <w:t xml:space="preserve">El modelo relacional describe la estructura de la base de datos relacional de ServIA, que se ejecuta en Microsoft SQL Server 2022 y cuyo esquema se versiona con migraciones de Alembic. Está formado por 9 tablas: 5 tablas principales (usuarios, temas, notebooks, documentos y bitácora) y 4 catálogos (roles, estados de la cuenta, estados de procesamiento y tipos de acción).</w:t>
      </w:r>
    </w:p>
    <w:p>
      <w:pPr>
        <w:keepNext w:val="false"/>
        <w:spacing w:after="160" w:line="276"/>
        <w:jc w:val="both"/>
      </w:pPr>
      <w:r>
        <w:rPr>
          <w:rFonts w:ascii="Calibri" w:cs="Calibri" w:eastAsia="Calibri" w:hAnsi="Calibri"/>
          <w:b w:val="false"/>
          <w:bCs w:val="false"/>
          <w:i w:val="false"/>
          <w:iCs w:val="false"/>
          <w:sz w:val="22"/>
          <w:szCs w:val="22"/>
        </w:rPr>
        <w:t xml:space="preserve">El modelo se deriva del Modelo de Dominio y de los requisitos del ERS: cada clase que se persiste en la base relacional se convierte en una tabla, sus atributos en columnas, sus asociaciones en llaves foráneas y sus enumeraciones en catálogos. No todas las clases del dominio se guardan en SQL Server: los fragmentos de texto se guardan en la base vectorial (Qdrant) y las conversaciones en el almacén en memoria (Redis), como se detalla en la sección 8.</w:t>
      </w:r>
    </w:p>
    <w:p>
      <w:pPr>
        <w:keepNext w:val="false"/>
        <w:spacing w:after="160" w:line="276"/>
        <w:jc w:val="both"/>
      </w:pPr>
      <w:r>
        <w:rPr>
          <w:rFonts w:ascii="Calibri" w:cs="Calibri" w:eastAsia="Calibri" w:hAnsi="Calibri"/>
          <w:b w:val="false"/>
          <w:bCs w:val="false"/>
          <w:i w:val="false"/>
          <w:iCs w:val="false"/>
          <w:sz w:val="22"/>
          <w:szCs w:val="22"/>
        </w:rPr>
        <w:t xml:space="preserve">Como el resto de la documentación del proyecto, el modelo describe la base de datos planificada. Parte del esquema implementado y señala en naranja, en el diagrama y en el diccionario de datos, las columnas y tablas que difieren de él; la sección 9 reúne esos cambios con su justificación, para ejecutarlos mediante una migración de Alembic.</w:t>
      </w:r>
    </w:p>
    <w:p>
      <w:pPr>
        <w:keepNext w:val="false"/>
        <w:spacing w:after="160" w:line="276"/>
        <w:jc w:val="both"/>
      </w:pPr>
      <w:r>
        <w:rPr>
          <w:rFonts w:ascii="Calibri" w:cs="Calibri" w:eastAsia="Calibri" w:hAnsi="Calibri"/>
          <w:b w:val="false"/>
          <w:bCs w:val="false"/>
          <w:i w:val="false"/>
          <w:iCs w:val="false"/>
          <w:sz w:val="22"/>
          <w:szCs w:val="22"/>
        </w:rPr>
        <w:t xml:space="preserve">El código PlantUML del diagrama se encuentra en la carpeta Diagramas/Modelo_Relacional, junto a este documento.</w:t>
      </w:r>
    </w:p>
    <w:p>
      <w:pPr>
        <w:pStyle w:val="Heading1"/>
        <w:keepNext/>
        <w:pageBreakBefore/>
        <w:spacing w:after="180" w:before="320"/>
      </w:pPr>
      <w:r>
        <w:t xml:space="preserve">2. Convenciones</w:t>
      </w:r>
    </w:p>
    <w:p>
      <w:pPr>
        <w:keepNext/>
        <w:spacing w:after="120" w:line="276"/>
        <w:jc w:val="both"/>
      </w:pPr>
      <w:r>
        <w:rPr>
          <w:rFonts w:ascii="Calibri" w:cs="Calibri" w:eastAsia="Calibri" w:hAnsi="Calibri"/>
          <w:b w:val="false"/>
          <w:bCs w:val="false"/>
          <w:i w:val="false"/>
          <w:iCs w:val="false"/>
          <w:sz w:val="22"/>
          <w:szCs w:val="22"/>
        </w:rPr>
        <w:t xml:space="preserve">Los nombres siguen la convención del esquema existente: el prefijo indica si se trata de una tabla o del tipo de dato de la columna.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260"/>
        <w:gridCol w:w="2800"/>
      </w:tblGrid>
      <w:tr>
        <w:trPr>
          <w:cantSplit/>
          <w:tblHeader/>
        </w:trPr>
        <w:tc>
          <w:tcPr>
            <w:tcW w:type="dxa" w:w="13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Prefijo</w:t>
            </w:r>
          </w:p>
        </w:tc>
        <w:tc>
          <w:tcPr>
            <w:tcW w:type="dxa" w:w="52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Significado</w:t>
            </w:r>
          </w:p>
        </w:tc>
        <w:tc>
          <w:tcPr>
            <w:tcW w:type="dxa" w:w="28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Ejemplo</w:t>
            </w:r>
          </w:p>
        </w:tc>
      </w:tr>
      <w:tr>
        <w:trPr>
          <w:cantSplit/>
        </w:trPr>
        <w:tc>
          <w:tcPr>
            <w:tcW w:type="dxa" w:w="13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T_</w:t>
            </w:r>
          </w:p>
        </w:tc>
        <w:tc>
          <w:tcPr>
            <w:tcW w:type="dxa" w:w="52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Tabla</w:t>
            </w:r>
          </w:p>
        </w:tc>
        <w:tc>
          <w:tcPr>
            <w:tcW w:type="dxa" w:w="28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T_Documento</w:t>
            </w:r>
          </w:p>
        </w:tc>
      </w:tr>
      <w:tr>
        <w:trPr>
          <w:cantSplit/>
        </w:trPr>
        <w:tc>
          <w:tcPr>
            <w:tcW w:type="dxa" w:w="13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CN_</w:t>
            </w:r>
          </w:p>
        </w:tc>
        <w:tc>
          <w:tcPr>
            <w:tcW w:type="dxa" w:w="52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Columna numérica o identificador (la cédula, aunque se guarda como texto, conserva el prefijo por ser identificador)</w:t>
            </w:r>
          </w:p>
        </w:tc>
        <w:tc>
          <w:tcPr>
            <w:tcW w:type="dxa" w:w="28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CN_Id_documento, CN_Tamanno_bytes</w:t>
            </w:r>
          </w:p>
        </w:tc>
      </w:tr>
      <w:tr>
        <w:trPr>
          <w:cantSplit/>
        </w:trPr>
        <w:tc>
          <w:tcPr>
            <w:tcW w:type="dxa" w:w="13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CT_</w:t>
            </w:r>
          </w:p>
        </w:tc>
        <w:tc>
          <w:tcPr>
            <w:tcW w:type="dxa" w:w="52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Columna de texto</w:t>
            </w:r>
          </w:p>
        </w:tc>
        <w:tc>
          <w:tcPr>
            <w:tcW w:type="dxa" w:w="28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CT_Nombre_archivo</w:t>
            </w:r>
          </w:p>
        </w:tc>
      </w:tr>
      <w:tr>
        <w:trPr>
          <w:cantSplit/>
        </w:trPr>
        <w:tc>
          <w:tcPr>
            <w:tcW w:type="dxa" w:w="13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CF_</w:t>
            </w:r>
          </w:p>
        </w:tc>
        <w:tc>
          <w:tcPr>
            <w:tcW w:type="dxa" w:w="52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Columna de fecha y hora</w:t>
            </w:r>
          </w:p>
        </w:tc>
        <w:tc>
          <w:tcPr>
            <w:tcW w:type="dxa" w:w="28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CF_Fecha_carga</w:t>
            </w:r>
          </w:p>
        </w:tc>
      </w:tr>
    </w:tbl>
    <w:p>
      <w:pPr>
        <w:keepNext w:val="false"/>
        <w:spacing w:after="80" w:line="276"/>
        <w:jc w:val="both"/>
      </w:pPr>
      <w:r>
        <w:rPr>
          <w:rFonts w:ascii="Calibri" w:cs="Calibri" w:eastAsia="Calibri" w:hAnsi="Calibri"/>
          <w:b w:val="false"/>
          <w:bCs w:val="false"/>
          <w:i w:val="false"/>
          <w:iCs w:val="false"/>
          <w:sz w:val="22"/>
          <w:szCs w:val="22"/>
        </w:rPr>
        <w:t xml:space="preserve"/>
      </w:r>
    </w:p>
    <w:p>
      <w:pPr>
        <w:keepNext/>
        <w:spacing w:after="120" w:line="276"/>
        <w:jc w:val="both"/>
      </w:pPr>
      <w:r>
        <w:rPr>
          <w:rFonts w:ascii="Calibri" w:cs="Calibri" w:eastAsia="Calibri" w:hAnsi="Calibri"/>
          <w:b w:val="false"/>
          <w:bCs w:val="false"/>
          <w:i w:val="false"/>
          <w:iCs w:val="false"/>
          <w:sz w:val="22"/>
          <w:szCs w:val="22"/>
        </w:rPr>
        <w:t xml:space="preserve">En el diagrama y en el diccionario de datos se usa la siguiente notación: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Símbolo</w:t>
            </w:r>
          </w:p>
        </w:tc>
        <w:tc>
          <w:tcPr>
            <w:tcW w:type="dxa" w:w="67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Significado</w:t>
            </w:r>
          </w:p>
        </w:tc>
      </w:tr>
      <w:tr>
        <w:trPr>
          <w:cantSplit/>
        </w:trPr>
        <w:tc>
          <w:tcPr>
            <w:tcW w:type="dxa" w:w="26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Llave y «PK»</w:t>
            </w:r>
          </w:p>
        </w:tc>
        <w:tc>
          <w:tcPr>
            <w:tcW w:type="dxa" w:w="67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Llave primaria. Las llaves numéricas son autoincrementales (IDENTITY), salvo la cédula del usuario y los tipos de acción, cuyos identificadores son fijos.</w:t>
            </w:r>
          </w:p>
        </w:tc>
      </w:tr>
      <w:tr>
        <w:trPr>
          <w:cantSplit/>
        </w:trPr>
        <w:tc>
          <w:tcPr>
            <w:tcW w:type="dxa" w:w="26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«FK»</w:t>
            </w:r>
          </w:p>
        </w:tc>
        <w:tc>
          <w:tcPr>
            <w:tcW w:type="dxa" w:w="67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Llave foránea: referencia la llave primaria de otra tabla.</w:t>
            </w:r>
          </w:p>
        </w:tc>
      </w:tr>
      <w:tr>
        <w:trPr>
          <w:cantSplit/>
        </w:trPr>
        <w:tc>
          <w:tcPr>
            <w:tcW w:type="dxa" w:w="26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«UK»</w:t>
            </w:r>
          </w:p>
        </w:tc>
        <w:tc>
          <w:tcPr>
            <w:tcW w:type="dxa" w:w="67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Restricción de valor único.</w:t>
            </w:r>
          </w:p>
        </w:tc>
      </w:tr>
      <w:tr>
        <w:trPr>
          <w:cantSplit/>
        </w:trPr>
        <w:tc>
          <w:tcPr>
            <w:tcW w:type="dxa" w:w="26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Punto (•)</w:t>
            </w:r>
          </w:p>
        </w:tc>
        <w:tc>
          <w:tcPr>
            <w:tcW w:type="dxa" w:w="67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Columna obligatoria (NOT NULL). Una columna sin punto admite nulos.</w:t>
            </w:r>
          </w:p>
        </w:tc>
      </w:tr>
      <w:tr>
        <w:trPr>
          <w:cantSplit/>
        </w:trPr>
        <w:tc>
          <w:tcPr>
            <w:tcW w:type="dxa" w:w="26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Recuadro gris «catálogo»</w:t>
            </w:r>
          </w:p>
        </w:tc>
        <w:tc>
          <w:tcPr>
            <w:tcW w:type="dxa" w:w="67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Tabla de valores fijos que convierte una enumeración del dominio en datos.</w:t>
            </w:r>
          </w:p>
        </w:tc>
      </w:tr>
      <w:tr>
        <w:trPr>
          <w:cantSplit/>
        </w:trPr>
        <w:tc>
          <w:tcPr>
            <w:tcW w:type="dxa" w:w="26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Texto naranja</w:t>
            </w:r>
          </w:p>
        </w:tc>
        <w:tc>
          <w:tcPr>
            <w:tcW w:type="dxa" w:w="67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Tabla o columna planificada que difiere del esquema actual (sección 9).</w:t>
            </w:r>
          </w:p>
        </w:tc>
      </w:tr>
      <w:tr>
        <w:trPr>
          <w:cantSplit/>
        </w:trPr>
        <w:tc>
          <w:tcPr>
            <w:tcW w:type="dxa" w:w="26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 y ||</w:t>
            </w:r>
          </w:p>
        </w:tc>
        <w:tc>
          <w:tcPr>
            <w:tcW w:type="dxa" w:w="67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Cardinalidad uno (obligatoria).</w:t>
            </w:r>
          </w:p>
        </w:tc>
      </w:tr>
      <w:tr>
        <w:trPr>
          <w:cantSplit/>
        </w:trPr>
        <w:tc>
          <w:tcPr>
            <w:tcW w:type="dxa" w:w="26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o|</w:t>
            </w:r>
          </w:p>
        </w:tc>
        <w:tc>
          <w:tcPr>
            <w:tcW w:type="dxa" w:w="67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Cardinalidad cero o uno.</w:t>
            </w:r>
          </w:p>
        </w:tc>
      </w:tr>
      <w:tr>
        <w:trPr>
          <w:cantSplit/>
        </w:trPr>
        <w:tc>
          <w:tcPr>
            <w:tcW w:type="dxa" w:w="26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o{</w:t>
            </w:r>
          </w:p>
        </w:tc>
        <w:tc>
          <w:tcPr>
            <w:tcW w:type="dxa" w:w="67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Cardinalidad cero o muchos. Por ejemplo, ||--o{ se lee «uno a cero o muchos».</w:t>
            </w:r>
          </w:p>
        </w:tc>
      </w:tr>
    </w:tbl>
    <w:p>
      <w:pPr>
        <w:sectPr>
          <w:pgSz w:w="12240" w:h="15840" w:orient="portrait"/>
          <w:pgMar w:top="1440" w:right="1440" w:bottom="1440" w:left="1440" w:header="708" w:footer="708" w:gutter="0"/>
          <w:pgNumType/>
          <w:docGrid w:linePitch="360"/>
        </w:sectPr>
      </w:pPr>
    </w:p>
    <w:p>
      <w:pPr>
        <w:pStyle w:val="Heading1"/>
        <w:keepNext/>
        <w:spacing w:after="180" w:before="0"/>
      </w:pPr>
      <w:r>
        <w:t xml:space="preserve">3. Diagrama del modelo relacional</w:t>
      </w:r>
    </w:p>
    <w:p>
      <w:pPr>
        <w:keepNext w:val="false"/>
        <w:spacing w:after="60" w:line="276"/>
        <w:jc w:val="both"/>
      </w:pPr>
      <w:r>
        <w:rPr>
          <w:rFonts w:ascii="Calibri" w:cs="Calibri" w:eastAsia="Calibri" w:hAnsi="Calibri"/>
          <w:b w:val="false"/>
          <w:bCs w:val="false"/>
          <w:i w:val="false"/>
          <w:iCs w:val="false"/>
          <w:sz w:val="22"/>
          <w:szCs w:val="22"/>
        </w:rPr>
        <w:t xml:space="preserve">Tablas, columnas, llaves y relaciones de la base de datos relacional. Las líneas unen cada llave foránea con la tabla que referencia; el texto de cada relación se lee desde la tabla del lado uno.</w:t>
      </w:r>
    </w:p>
    <w:p>
      <w:pPr>
        <w:spacing w:after="0" w:before="60"/>
        <w:jc w:val="center"/>
      </w:pPr>
      <w:r>
        <w:drawing>
          <wp:inline distT="0" distB="0" distL="0" distR="0">
            <wp:extent cx="9144000" cy="564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144000" cy="5648325"/>
                    </a:xfrm>
                    <a:prstGeom prst="rect">
                      <a:avLst/>
                    </a:prstGeom>
                  </pic:spPr>
                </pic:pic>
              </a:graphicData>
            </a:graphic>
          </wp:inline>
        </w:drawing>
      </w:r>
    </w:p>
    <w:p>
      <w:pPr>
        <w:sectPr>
          <w:pgSz w:w="15840" w:h="12240" w:orient="landscape"/>
          <w:pgMar w:top="720" w:right="720" w:bottom="720" w:left="720" w:header="708" w:footer="708" w:gutter="0"/>
          <w:pgNumType/>
          <w:docGrid w:linePitch="360"/>
        </w:sectPr>
      </w:pPr>
    </w:p>
    <w:p>
      <w:pPr>
        <w:pStyle w:val="Heading1"/>
        <w:keepNext/>
        <w:spacing w:after="180" w:before="320"/>
      </w:pPr>
      <w:r>
        <w:t xml:space="preserve">4. Diccionario de datos</w:t>
      </w:r>
    </w:p>
    <w:p>
      <w:pPr>
        <w:pStyle w:val="Heading2"/>
        <w:keepNext/>
        <w:spacing w:after="120" w:before="120"/>
      </w:pPr>
      <w:r>
        <w:t xml:space="preserve">4.1 T_Rol (catálogo)</w:t>
      </w:r>
    </w:p>
    <w:p>
      <w:pPr>
        <w:keepNext/>
        <w:spacing w:after="100" w:line="276"/>
        <w:jc w:val="both"/>
      </w:pPr>
      <w:r>
        <w:rPr>
          <w:rFonts w:ascii="Calibri" w:cs="Calibri" w:eastAsia="Calibri" w:hAnsi="Calibri"/>
          <w:b w:val="false"/>
          <w:bCs w:val="false"/>
          <w:i w:val="false"/>
          <w:iCs w:val="false"/>
          <w:sz w:val="22"/>
          <w:szCs w:val="22"/>
        </w:rPr>
        <w:t xml:space="preserve">Catálogo de los roles del sistema. Cada cuenta tiene exactamente un rol, y el rol determina las funciones y páginas disponibles (RF-02).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500"/>
        <w:gridCol w:w="650"/>
        <w:gridCol w:w="1500"/>
        <w:gridCol w:w="3460"/>
      </w:tblGrid>
      <w:tr>
        <w:trPr>
          <w:cantSplit/>
          <w:tblHeader/>
        </w:trPr>
        <w:tc>
          <w:tcPr>
            <w:tcW w:type="dxa" w:w="22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Columna</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Tipo</w:t>
            </w:r>
          </w:p>
        </w:tc>
        <w:tc>
          <w:tcPr>
            <w:tcW w:type="dxa" w:w="6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Nulo</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Clave</w:t>
            </w:r>
          </w:p>
        </w:tc>
        <w:tc>
          <w:tcPr>
            <w:tcW w:type="dxa" w:w="34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Descripción</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CN_​Id_​rol</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INT IDENTITY</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PK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Identificador del rol.</w:t>
            </w:r>
          </w:p>
        </w:tc>
      </w:tr>
      <w:tr>
        <w:trPr>
          <w:cantSplit/>
        </w:trPr>
        <w:tc>
          <w:tcPr>
            <w:tcW w:type="dxa" w:w="2250"/>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CT_​Nombre_​rol</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VARCHAR(50)</w:t>
            </w:r>
          </w:p>
        </w:tc>
        <w:tc>
          <w:tcPr>
            <w:tcW w:type="dxa" w:w="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UK</w:t>
            </w:r>
          </w:p>
        </w:tc>
        <w:tc>
          <w:tcPr>
            <w:tcW w:type="dxa" w:w="34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Nombre del rol: Administrador o Usuario Gubernamental.</w:t>
            </w:r>
          </w:p>
        </w:tc>
      </w:tr>
    </w:tbl>
    <w:p>
      <w:pPr>
        <w:pStyle w:val="Heading2"/>
        <w:keepNext/>
        <w:spacing w:after="120" w:before="240"/>
      </w:pPr>
      <w:r>
        <w:t xml:space="preserve">4.2 T_Estado (catálogo)</w:t>
      </w:r>
    </w:p>
    <w:p>
      <w:pPr>
        <w:keepNext/>
        <w:spacing w:after="100" w:line="276"/>
        <w:jc w:val="both"/>
      </w:pPr>
      <w:r>
        <w:rPr>
          <w:rFonts w:ascii="Calibri" w:cs="Calibri" w:eastAsia="Calibri" w:hAnsi="Calibri"/>
          <w:b w:val="false"/>
          <w:bCs w:val="false"/>
          <w:i w:val="false"/>
          <w:iCs w:val="false"/>
          <w:sz w:val="22"/>
          <w:szCs w:val="22"/>
        </w:rPr>
        <w:t xml:space="preserve">Catálogo de los estados de una cuenta de usuario. Las cuentas no se eliminan: se desactivan cambiando su estado (RF-02, RN-01).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500"/>
        <w:gridCol w:w="650"/>
        <w:gridCol w:w="1500"/>
        <w:gridCol w:w="3460"/>
      </w:tblGrid>
      <w:tr>
        <w:trPr>
          <w:cantSplit/>
          <w:tblHeader/>
        </w:trPr>
        <w:tc>
          <w:tcPr>
            <w:tcW w:type="dxa" w:w="22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Columna</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Tipo</w:t>
            </w:r>
          </w:p>
        </w:tc>
        <w:tc>
          <w:tcPr>
            <w:tcW w:type="dxa" w:w="6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Nulo</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Clave</w:t>
            </w:r>
          </w:p>
        </w:tc>
        <w:tc>
          <w:tcPr>
            <w:tcW w:type="dxa" w:w="34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Descripción</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CN_​Id_​estado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INT IDENTITY</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PK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Identificador del estado.</w:t>
            </w:r>
          </w:p>
        </w:tc>
      </w:tr>
      <w:tr>
        <w:trPr>
          <w:cantSplit/>
        </w:trPr>
        <w:tc>
          <w:tcPr>
            <w:tcW w:type="dxa" w:w="2250"/>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CT_​Nombre_​estado</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VARCHAR(50)</w:t>
            </w:r>
          </w:p>
        </w:tc>
        <w:tc>
          <w:tcPr>
            <w:tcW w:type="dxa" w:w="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UK</w:t>
            </w:r>
          </w:p>
        </w:tc>
        <w:tc>
          <w:tcPr>
            <w:tcW w:type="dxa" w:w="34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Nombre del estado: Activo o Inactivo.</w:t>
            </w:r>
          </w:p>
        </w:tc>
      </w:tr>
    </w:tbl>
    <w:p>
      <w:pPr>
        <w:pStyle w:val="Heading2"/>
        <w:keepNext/>
        <w:spacing w:after="120" w:before="240"/>
      </w:pPr>
      <w:r>
        <w:t xml:space="preserve">4.3 T_Estado_procesamiento (catálogo)</w:t>
      </w:r>
    </w:p>
    <w:p>
      <w:pPr>
        <w:keepNext/>
        <w:spacing w:after="100" w:line="276"/>
        <w:jc w:val="both"/>
      </w:pPr>
      <w:r>
        <w:rPr>
          <w:rFonts w:ascii="Calibri" w:cs="Calibri" w:eastAsia="Calibri" w:hAnsi="Calibri"/>
          <w:b w:val="false"/>
          <w:bCs w:val="false"/>
          <w:i w:val="false"/>
          <w:iCs w:val="false"/>
          <w:sz w:val="22"/>
          <w:szCs w:val="22"/>
        </w:rPr>
        <w:t xml:space="preserve">Catálogo de los estados por los que pasa un documento mientras se procesa (RF-07).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500"/>
        <w:gridCol w:w="650"/>
        <w:gridCol w:w="1500"/>
        <w:gridCol w:w="3460"/>
      </w:tblGrid>
      <w:tr>
        <w:trPr>
          <w:cantSplit/>
          <w:tblHeader/>
        </w:trPr>
        <w:tc>
          <w:tcPr>
            <w:tcW w:type="dxa" w:w="22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Columna</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Tipo</w:t>
            </w:r>
          </w:p>
        </w:tc>
        <w:tc>
          <w:tcPr>
            <w:tcW w:type="dxa" w:w="6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Nulo</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Clave</w:t>
            </w:r>
          </w:p>
        </w:tc>
        <w:tc>
          <w:tcPr>
            <w:tcW w:type="dxa" w:w="34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Descripción</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CN_​Id_​estado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INT IDENTITY</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PK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Identificador del estado.</w:t>
            </w:r>
          </w:p>
        </w:tc>
      </w:tr>
      <w:tr>
        <w:trPr>
          <w:cantSplit/>
        </w:trPr>
        <w:tc>
          <w:tcPr>
            <w:tcW w:type="dxa" w:w="2250"/>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CT_​Nombre_​estado</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VARCHAR(50)</w:t>
            </w:r>
          </w:p>
        </w:tc>
        <w:tc>
          <w:tcPr>
            <w:tcW w:type="dxa" w:w="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UK</w:t>
            </w:r>
          </w:p>
        </w:tc>
        <w:tc>
          <w:tcPr>
            <w:tcW w:type="dxa" w:w="34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Nombre del estado: Pendiente, Procesado o Error.</w:t>
            </w:r>
          </w:p>
        </w:tc>
      </w:tr>
    </w:tbl>
    <w:p>
      <w:pPr>
        <w:pStyle w:val="Heading2"/>
        <w:keepNext/>
        <w:spacing w:after="120" w:before="240"/>
      </w:pPr>
      <w:r>
        <w:t xml:space="preserve">4.4 T_Tipo_accion (catálogo)</w:t>
      </w:r>
    </w:p>
    <w:p>
      <w:pPr>
        <w:keepNext/>
        <w:spacing w:after="100" w:line="276"/>
        <w:jc w:val="both"/>
      </w:pPr>
      <w:r>
        <w:rPr>
          <w:rFonts w:ascii="Calibri" w:cs="Calibri" w:eastAsia="Calibri" w:hAnsi="Calibri"/>
          <w:b w:val="false"/>
          <w:bCs w:val="false"/>
          <w:i w:val="false"/>
          <w:iCs w:val="false"/>
          <w:sz w:val="22"/>
          <w:szCs w:val="22"/>
        </w:rPr>
        <w:t xml:space="preserve">Catálogo de los tipos de acción que registra la bitácora. Sus identificadores son fijos porque el código los referencia por número (RF-21, RF-22).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500"/>
        <w:gridCol w:w="650"/>
        <w:gridCol w:w="1500"/>
        <w:gridCol w:w="3460"/>
      </w:tblGrid>
      <w:tr>
        <w:trPr>
          <w:cantSplit/>
          <w:tblHeader/>
        </w:trPr>
        <w:tc>
          <w:tcPr>
            <w:tcW w:type="dxa" w:w="22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Columna</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Tipo</w:t>
            </w:r>
          </w:p>
        </w:tc>
        <w:tc>
          <w:tcPr>
            <w:tcW w:type="dxa" w:w="6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Nulo</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Clave</w:t>
            </w:r>
          </w:p>
        </w:tc>
        <w:tc>
          <w:tcPr>
            <w:tcW w:type="dxa" w:w="34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Descripción</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CN_​Id_​tipo_​accion</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INT</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PK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Identificador fijo del tipo de acción (1 a 15).</w:t>
            </w:r>
          </w:p>
        </w:tc>
      </w:tr>
      <w:tr>
        <w:trPr>
          <w:cantSplit/>
        </w:trPr>
        <w:tc>
          <w:tcPr>
            <w:tcW w:type="dxa" w:w="2250"/>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CT_​Nombre_​tipo_​accion</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VARCHAR(50)</w:t>
            </w:r>
          </w:p>
        </w:tc>
        <w:tc>
          <w:tcPr>
            <w:tcW w:type="dxa" w:w="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UK</w:t>
            </w:r>
          </w:p>
        </w:tc>
        <w:tc>
          <w:tcPr>
            <w:tcW w:type="dxa" w:w="34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Nombre del tipo de acción que se muestra en la bitácora y en sus filtros.</w:t>
            </w:r>
          </w:p>
        </w:tc>
      </w:tr>
    </w:tbl>
    <w:p>
      <w:pPr>
        <w:pStyle w:val="Heading2"/>
        <w:keepNext/>
        <w:spacing w:after="120" w:before="240"/>
      </w:pPr>
      <w:r>
        <w:t xml:space="preserve">4.5 T_Usuario</w:t>
      </w:r>
    </w:p>
    <w:p>
      <w:pPr>
        <w:keepNext/>
        <w:spacing w:after="100" w:line="276"/>
        <w:jc w:val="both"/>
      </w:pPr>
      <w:r>
        <w:rPr>
          <w:rFonts w:ascii="Calibri" w:cs="Calibri" w:eastAsia="Calibri" w:hAnsi="Calibri"/>
          <w:b w:val="false"/>
          <w:bCs w:val="false"/>
          <w:i w:val="false"/>
          <w:iCs w:val="false"/>
          <w:sz w:val="22"/>
          <w:szCs w:val="22"/>
        </w:rPr>
        <w:t xml:space="preserve">Cuentas de usuario de ambos roles, con sus datos personales, credenciales y preferencias de perfil (RF-01 a RF-04).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500"/>
        <w:gridCol w:w="650"/>
        <w:gridCol w:w="1500"/>
        <w:gridCol w:w="3460"/>
      </w:tblGrid>
      <w:tr>
        <w:trPr>
          <w:cantSplit/>
          <w:tblHeader/>
        </w:trPr>
        <w:tc>
          <w:tcPr>
            <w:tcW w:type="dxa" w:w="22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Columna</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Tipo</w:t>
            </w:r>
          </w:p>
        </w:tc>
        <w:tc>
          <w:tcPr>
            <w:tcW w:type="dxa" w:w="6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Nulo</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Clave</w:t>
            </w:r>
          </w:p>
        </w:tc>
        <w:tc>
          <w:tcPr>
            <w:tcW w:type="dxa" w:w="34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Descripción</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CN_​Id_​usuario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VARCHAR(20)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PK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Cédula del usuario: solo números, de 8 a 15 dígitos (RF‑02).</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CN_​Id_​rol</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INT</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FK → T_​Rol</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Rol de la cuenta; exactamente uno (RF‑02). </w:t>
            </w:r>
            <w:r>
              <w:rPr>
                <w:rFonts w:ascii="Calibri" w:cs="Calibri" w:eastAsia="Calibri" w:hAnsi="Calibri"/>
                <w:b w:val="false"/>
                <w:bCs w:val="false"/>
                <w:i/>
                <w:iCs/>
                <w:color w:val="E67700"/>
                <w:sz w:val="19"/>
                <w:szCs w:val="19"/>
              </w:rPr>
              <w:t xml:space="preserve">Estado actual: admite nulos.</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CN_​Id_​estado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INT</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FK → T_​Estado</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Estado de la cuenta; una cuenta Inactiva no puede iniciar sesión (RF‑01, RF‑02). </w:t>
            </w:r>
            <w:r>
              <w:rPr>
                <w:rFonts w:ascii="Calibri" w:cs="Calibri" w:eastAsia="Calibri" w:hAnsi="Calibri"/>
                <w:b w:val="false"/>
                <w:bCs w:val="false"/>
                <w:i/>
                <w:iCs/>
                <w:color w:val="E67700"/>
                <w:sz w:val="19"/>
                <w:szCs w:val="19"/>
              </w:rPr>
              <w:t xml:space="preserve">Estado actual: admite nulos.</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CT_​Nombre_​usuario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VARCHAR(50)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UK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Nombre de usuario único de la cuenta.</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CT_​Nombre</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VARCHAR(100)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Nombre de la persona.</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CT_​Apellido_​uno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VARCHAR(100)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Primer apellido.</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CT_​Apellido_​dos</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VARCHAR(100)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Segundo apellido; obligatorio al crear la cuenta (RF‑02). </w:t>
            </w:r>
            <w:r>
              <w:rPr>
                <w:rFonts w:ascii="Calibri" w:cs="Calibri" w:eastAsia="Calibri" w:hAnsi="Calibri"/>
                <w:b w:val="false"/>
                <w:bCs w:val="false"/>
                <w:i/>
                <w:iCs/>
                <w:color w:val="E67700"/>
                <w:sz w:val="19"/>
                <w:szCs w:val="19"/>
              </w:rPr>
              <w:t xml:space="preserve">Estado actual: admite nulos.</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CT_​Correo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VARCHAR(100)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UK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Correo electrónico; es el usuario con el que se inicia sesión y el destino de las notificaciones (RF‑01, RF‑03).</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CT_​Contrasenna</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VARCHAR(255)</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Hash bcrypt con sal de la contraseña; nunca se guarda en texto plano (RNF‑08).</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CT_​Avatar_​ruta</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VARCHAR(255)</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Sí</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Ruta relativa de la fotografía de perfil (carpeta uploads/profiles); nula si el usuario no cargó una fotografía (RF‑04).</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CT_​Avatar_​tipo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VARCHAR(50)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Sí</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Avatar predefinido elegido (hombre o mujer); nulo cuando se usa la fotografía propia o las iniciales (RF‑04).</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CF_​Ultimo_​acceso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DATETIME</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Sí</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Fecha del último acceso. Es nula en una cuenta nueva o con la contraseña restablecida por el Administrador, lo que obliga a cambiar la contraseña temporal al iniciar sesión (RF‑01, RF‑03).</w:t>
            </w:r>
          </w:p>
        </w:tc>
      </w:tr>
      <w:tr>
        <w:trPr>
          <w:cantSplit/>
        </w:trPr>
        <w:tc>
          <w:tcPr>
            <w:tcW w:type="dxa" w:w="2250"/>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CF_​Fecha_​creacion</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DATETIME</w:t>
            </w:r>
          </w:p>
        </w:tc>
        <w:tc>
          <w:tcPr>
            <w:tcW w:type="dxa" w:w="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Fecha de creación de la cuenta; valor por defecto: la fecha del servidor.</w:t>
            </w:r>
          </w:p>
        </w:tc>
      </w:tr>
    </w:tbl>
    <w:p>
      <w:pPr>
        <w:pStyle w:val="Heading2"/>
        <w:keepNext/>
        <w:spacing w:after="120" w:before="240"/>
      </w:pPr>
      <w:r>
        <w:t xml:space="preserve">4.6 T_Tema</w:t>
      </w:r>
    </w:p>
    <w:p>
      <w:pPr>
        <w:keepNext/>
        <w:spacing w:after="100" w:line="276"/>
        <w:jc w:val="both"/>
      </w:pPr>
      <w:r>
        <w:rPr>
          <w:rFonts w:ascii="Calibri" w:cs="Calibri" w:eastAsia="Calibri" w:hAnsi="Calibri"/>
          <w:b w:val="false"/>
          <w:bCs w:val="false"/>
          <w:i w:val="false"/>
          <w:iCs w:val="false"/>
          <w:sz w:val="22"/>
          <w:szCs w:val="22"/>
        </w:rPr>
        <w:t xml:space="preserve">Temas que agrupan los documentos cargados, incluidos los temas de los notebooks. Es la unidad con la que se acotan las consultas, la búsqueda híbrida y la búsqueda de temas similares (RF-06, RF-11, RF-13, RF-20). Estado actual: se llama T_Expediente, nombre heredado del proyecto JusticIA (RT-06).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500"/>
        <w:gridCol w:w="650"/>
        <w:gridCol w:w="1500"/>
        <w:gridCol w:w="3460"/>
      </w:tblGrid>
      <w:tr>
        <w:trPr>
          <w:cantSplit/>
          <w:tblHeader/>
        </w:trPr>
        <w:tc>
          <w:tcPr>
            <w:tcW w:type="dxa" w:w="22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Columna</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Tipo</w:t>
            </w:r>
          </w:p>
        </w:tc>
        <w:tc>
          <w:tcPr>
            <w:tcW w:type="dxa" w:w="6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Nulo</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Clave</w:t>
            </w:r>
          </w:p>
        </w:tc>
        <w:tc>
          <w:tcPr>
            <w:tcW w:type="dxa" w:w="34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Descripción</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CN_​Id_​tema</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BIGINT IDENTITY</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PK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Identificador del tema. </w:t>
            </w:r>
            <w:r>
              <w:rPr>
                <w:rFonts w:ascii="Calibri" w:cs="Calibri" w:eastAsia="Calibri" w:hAnsi="Calibri"/>
                <w:b w:val="false"/>
                <w:bCs w:val="false"/>
                <w:i/>
                <w:iCs/>
                <w:color w:val="E67700"/>
                <w:sz w:val="19"/>
                <w:szCs w:val="19"/>
              </w:rPr>
              <w:t xml:space="preserve">Estado actual: se llama CN_Id_expediente.</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CT_​Nombre</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VARCHAR(150)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UK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Nombre libre del tema que indica el usuario al cargar (RF‑06). En el tema de un notebook guarda su clave interna (NB-&lt;número&gt;), que no se muestra al usuario. </w:t>
            </w:r>
            <w:r>
              <w:rPr>
                <w:rFonts w:ascii="Calibri" w:cs="Calibri" w:eastAsia="Calibri" w:hAnsi="Calibri"/>
                <w:b w:val="false"/>
                <w:bCs w:val="false"/>
                <w:i/>
                <w:iCs/>
                <w:color w:val="E67700"/>
                <w:sz w:val="19"/>
                <w:szCs w:val="19"/>
              </w:rPr>
              <w:t xml:space="preserve">Estado actual: se llama CT_Num_expediente y admite 60 caracteres.</w:t>
            </w:r>
          </w:p>
        </w:tc>
      </w:tr>
      <w:tr>
        <w:trPr>
          <w:cantSplit/>
        </w:trPr>
        <w:tc>
          <w:tcPr>
            <w:tcW w:type="dxa" w:w="2250"/>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CF_​Fecha_​creacion</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DATETIME</w:t>
            </w:r>
          </w:p>
        </w:tc>
        <w:tc>
          <w:tcPr>
            <w:tcW w:type="dxa" w:w="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Fecha en que se creó el tema: al cargar su primer archivo o al crear el notebook.</w:t>
            </w:r>
          </w:p>
        </w:tc>
      </w:tr>
    </w:tbl>
    <w:p>
      <w:pPr>
        <w:pStyle w:val="Heading2"/>
        <w:keepNext/>
        <w:spacing w:after="120" w:before="240"/>
      </w:pPr>
      <w:r>
        <w:t xml:space="preserve">4.7 T_Notebook</w:t>
      </w:r>
    </w:p>
    <w:p>
      <w:pPr>
        <w:keepNext/>
        <w:spacing w:after="100" w:line="276"/>
        <w:jc w:val="both"/>
      </w:pPr>
      <w:r>
        <w:rPr>
          <w:rFonts w:ascii="Calibri" w:cs="Calibri" w:eastAsia="Calibri" w:hAnsi="Calibri"/>
          <w:b w:val="false"/>
          <w:bCs w:val="false"/>
          <w:i w:val="false"/>
          <w:iCs w:val="false"/>
          <w:sz w:val="22"/>
          <w:szCs w:val="22"/>
        </w:rPr>
        <w:t xml:space="preserve">Notebooks de NotebookServIA: colecciones de documentos con propietario y nombre visible. Cada notebook tiene su propio tema, que agrupa sus documentos (RF-17 a RF-19).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500"/>
        <w:gridCol w:w="650"/>
        <w:gridCol w:w="1500"/>
        <w:gridCol w:w="3460"/>
      </w:tblGrid>
      <w:tr>
        <w:trPr>
          <w:cantSplit/>
          <w:tblHeader/>
        </w:trPr>
        <w:tc>
          <w:tcPr>
            <w:tcW w:type="dxa" w:w="22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Columna</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Tipo</w:t>
            </w:r>
          </w:p>
        </w:tc>
        <w:tc>
          <w:tcPr>
            <w:tcW w:type="dxa" w:w="6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Nulo</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Clave</w:t>
            </w:r>
          </w:p>
        </w:tc>
        <w:tc>
          <w:tcPr>
            <w:tcW w:type="dxa" w:w="34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Descripción</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CN_​Id_​notebook</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BIGINT IDENTITY</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PK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Identificador del notebook; forma la clave interna NB-&lt;número&gt;.</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CN_​Id_​tema</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BIGINT</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FK, UK → T_​Tema</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Tema que agrupa los documentos del notebook; relación uno a uno. </w:t>
            </w:r>
            <w:r>
              <w:rPr>
                <w:rFonts w:ascii="Calibri" w:cs="Calibri" w:eastAsia="Calibri" w:hAnsi="Calibri"/>
                <w:b w:val="false"/>
                <w:bCs w:val="false"/>
                <w:i/>
                <w:iCs/>
                <w:color w:val="E67700"/>
                <w:sz w:val="19"/>
                <w:szCs w:val="19"/>
              </w:rPr>
              <w:t xml:space="preserve">Estado actual: no existe; el notebook se enlaza con su tema solo por la clave interna.</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CN_​Id_​usuario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VARCHAR(20)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FK → T_​Usuario</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Propietario del notebook; solo él puede verlo, consultarlo y modificarlo (RF‑17, RF‑18).</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CT_​Nombre</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VARCHAR(150)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Nombre que el usuario le da al notebook; no puede estar vacío (RF‑17).</w:t>
            </w:r>
          </w:p>
        </w:tc>
      </w:tr>
      <w:tr>
        <w:trPr>
          <w:cantSplit/>
        </w:trPr>
        <w:tc>
          <w:tcPr>
            <w:tcW w:type="dxa" w:w="2250"/>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CF_​Fecha_​creacion</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DATETIME</w:t>
            </w:r>
          </w:p>
        </w:tc>
        <w:tc>
          <w:tcPr>
            <w:tcW w:type="dxa" w:w="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Fecha de creación del notebook.</w:t>
            </w:r>
          </w:p>
        </w:tc>
      </w:tr>
    </w:tbl>
    <w:p>
      <w:pPr>
        <w:pStyle w:val="Heading2"/>
        <w:keepNext/>
        <w:spacing w:after="120" w:before="240"/>
      </w:pPr>
      <w:r>
        <w:t xml:space="preserve">4.8 T_Documento</w:t>
      </w:r>
    </w:p>
    <w:p>
      <w:pPr>
        <w:keepNext/>
        <w:spacing w:after="100" w:line="276"/>
        <w:jc w:val="both"/>
      </w:pPr>
      <w:r>
        <w:rPr>
          <w:rFonts w:ascii="Calibri" w:cs="Calibri" w:eastAsia="Calibri" w:hAnsi="Calibri"/>
          <w:b w:val="false"/>
          <w:bCs w:val="false"/>
          <w:i w:val="false"/>
          <w:iCs w:val="false"/>
          <w:sz w:val="22"/>
          <w:szCs w:val="22"/>
        </w:rPr>
        <w:t xml:space="preserve">Archivos cargados, con su tema, su estado de procesamiento y la ubicación del archivo original (RF-05 a RF-09, RF-18, RF-19).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500"/>
        <w:gridCol w:w="650"/>
        <w:gridCol w:w="1500"/>
        <w:gridCol w:w="3460"/>
      </w:tblGrid>
      <w:tr>
        <w:trPr>
          <w:cantSplit/>
          <w:tblHeader/>
        </w:trPr>
        <w:tc>
          <w:tcPr>
            <w:tcW w:type="dxa" w:w="22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Columna</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Tipo</w:t>
            </w:r>
          </w:p>
        </w:tc>
        <w:tc>
          <w:tcPr>
            <w:tcW w:type="dxa" w:w="6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Nulo</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Clave</w:t>
            </w:r>
          </w:p>
        </w:tc>
        <w:tc>
          <w:tcPr>
            <w:tcW w:type="dxa" w:w="34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Descripción</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CN_​Id_​documento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BIGINT IDENTITY</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PK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Identificador del documento; también se guarda en los metadatos de sus fragmentos en Qdrant (RF‑08).</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CN_​Id_​tema</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BIGINT</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FK → T_​Tema</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Tema al que pertenece el documento; obligatorio y permanente (RF‑06, RN‑02). </w:t>
            </w:r>
            <w:r>
              <w:rPr>
                <w:rFonts w:ascii="Calibri" w:cs="Calibri" w:eastAsia="Calibri" w:hAnsi="Calibri"/>
                <w:b w:val="false"/>
                <w:bCs w:val="false"/>
                <w:i/>
                <w:iCs/>
                <w:color w:val="E67700"/>
                <w:sz w:val="19"/>
                <w:szCs w:val="19"/>
              </w:rPr>
              <w:t xml:space="preserve">Estado actual: no existe; la relación se guarda en una tabla intermedia.</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CN_​Id_​usuario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VARCHAR(20)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FK → T_​Usuario</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Usuario que cargó el archivo. </w:t>
            </w:r>
            <w:r>
              <w:rPr>
                <w:rFonts w:ascii="Calibri" w:cs="Calibri" w:eastAsia="Calibri" w:hAnsi="Calibri"/>
                <w:b w:val="false"/>
                <w:bCs w:val="false"/>
                <w:i/>
                <w:iCs/>
                <w:color w:val="E67700"/>
                <w:sz w:val="19"/>
                <w:szCs w:val="19"/>
              </w:rPr>
              <w:t xml:space="preserve">Estado actual: no existe; el usuario solo queda en la bitácora.</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CN_​Id_​estado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INT</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FK → T_​Estado_​procesamiento</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Estado del procesamiento: Pendiente, Procesado o Error (RF‑07). </w:t>
            </w:r>
            <w:r>
              <w:rPr>
                <w:rFonts w:ascii="Calibri" w:cs="Calibri" w:eastAsia="Calibri" w:hAnsi="Calibri"/>
                <w:b w:val="false"/>
                <w:bCs w:val="false"/>
                <w:i/>
                <w:iCs/>
                <w:color w:val="E67700"/>
                <w:sz w:val="19"/>
                <w:szCs w:val="19"/>
              </w:rPr>
              <w:t xml:space="preserve">Estado actual: admite nulos.</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CT_​Nombre_​archivo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VARCHAR(255)</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Nombre del archivo tal como se cargó.</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CT_​Tipo_​archivo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VARCHAR(50)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Extensión del archivo (pdf, docx, mp3, png, etc.); determina la vía de extracción del texto (RF‑05, RF‑07).</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CN_​Tamanno_​bytes</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BIGINT</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Tamaño del archivo en bytes; como máximo 1 GB (RF‑05). </w:t>
            </w:r>
            <w:r>
              <w:rPr>
                <w:rFonts w:ascii="Calibri" w:cs="Calibri" w:eastAsia="Calibri" w:hAnsi="Calibri"/>
                <w:b w:val="false"/>
                <w:bCs w:val="false"/>
                <w:i/>
                <w:iCs/>
                <w:color w:val="E67700"/>
                <w:sz w:val="19"/>
                <w:szCs w:val="19"/>
              </w:rPr>
              <w:t xml:space="preserve">Estado actual: no existe.</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CT_​Ruta_​archivo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VARCHAR(500)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Sí</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Ruta relativa del archivo original (uploads/&lt;tema&gt;/&lt;archivo&gt;); se completa al guardar el archivo en disco (RF‑18).</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CT_​Mensaje_​error</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VARCHAR(1000)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Sí</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Causa del error cuando el estado es Error o el procesamiento fue cancelado (RF‑07). </w:t>
            </w:r>
            <w:r>
              <w:rPr>
                <w:rFonts w:ascii="Calibri" w:cs="Calibri" w:eastAsia="Calibri" w:hAnsi="Calibri"/>
                <w:b w:val="false"/>
                <w:bCs w:val="false"/>
                <w:i/>
                <w:iCs/>
                <w:color w:val="E67700"/>
                <w:sz w:val="19"/>
                <w:szCs w:val="19"/>
              </w:rPr>
              <w:t xml:space="preserve">Estado actual: no existe; la causa solo queda en el seguimiento temporal de la tarea.</w:t>
            </w:r>
          </w:p>
        </w:tc>
      </w:tr>
      <w:tr>
        <w:trPr>
          <w:cantSplit/>
        </w:trPr>
        <w:tc>
          <w:tcPr>
            <w:tcW w:type="dxa" w:w="2250"/>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CF_​Fecha_​carga</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DATETIME</w:t>
            </w:r>
          </w:p>
        </w:tc>
        <w:tc>
          <w:tcPr>
            <w:tcW w:type="dxa" w:w="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Fecha y hora de la carga.</w:t>
            </w:r>
          </w:p>
        </w:tc>
      </w:tr>
    </w:tbl>
    <w:p>
      <w:pPr>
        <w:pStyle w:val="Heading2"/>
        <w:keepNext/>
        <w:spacing w:after="120" w:before="240"/>
      </w:pPr>
      <w:r>
        <w:t xml:space="preserve">4.9 T_Bitacora</w:t>
      </w:r>
    </w:p>
    <w:p>
      <w:pPr>
        <w:keepNext/>
        <w:spacing w:after="100" w:line="276"/>
        <w:jc w:val="both"/>
      </w:pPr>
      <w:r>
        <w:rPr>
          <w:rFonts w:ascii="Calibri" w:cs="Calibri" w:eastAsia="Calibri" w:hAnsi="Calibri"/>
          <w:b w:val="false"/>
          <w:bCs w:val="false"/>
          <w:i w:val="false"/>
          <w:iCs w:val="false"/>
          <w:sz w:val="22"/>
          <w:szCs w:val="22"/>
        </w:rPr>
        <w:t xml:space="preserve">Registro inmutable de las acciones relevantes de los usuarios. No admite ediciones ni eliminaciones, y alimenta la consulta de la bitácora y el dashboard de métricas (RF-21 a RF-23).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1500"/>
        <w:gridCol w:w="650"/>
        <w:gridCol w:w="1500"/>
        <w:gridCol w:w="3460"/>
      </w:tblGrid>
      <w:tr>
        <w:trPr>
          <w:cantSplit/>
          <w:tblHeader/>
        </w:trPr>
        <w:tc>
          <w:tcPr>
            <w:tcW w:type="dxa" w:w="22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Columna</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Tipo</w:t>
            </w:r>
          </w:p>
        </w:tc>
        <w:tc>
          <w:tcPr>
            <w:tcW w:type="dxa" w:w="6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Nulo</w:t>
            </w:r>
          </w:p>
        </w:tc>
        <w:tc>
          <w:tcPr>
            <w:tcW w:type="dxa" w:w="1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Clave</w:t>
            </w:r>
          </w:p>
        </w:tc>
        <w:tc>
          <w:tcPr>
            <w:tcW w:type="dxa" w:w="34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Descripción</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CN_​Id_​bitacora</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BIGINT IDENTITY</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PK</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Identificador del registro.</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CN_​Id_​tipo_​accion</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INT</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FK → T_​Tipo_​accion</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Tipo de acción registrada. </w:t>
            </w:r>
            <w:r>
              <w:rPr>
                <w:rFonts w:ascii="Calibri" w:cs="Calibri" w:eastAsia="Calibri" w:hAnsi="Calibri"/>
                <w:b w:val="false"/>
                <w:bCs w:val="false"/>
                <w:i/>
                <w:iCs/>
                <w:color w:val="E67700"/>
                <w:sz w:val="19"/>
                <w:szCs w:val="19"/>
              </w:rPr>
              <w:t xml:space="preserve">Estado actual: admite nulos.</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CN_​Id_​usuario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VARCHAR(20)</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Sí</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FK → T_​Usuario</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Usuario que ejecutó la acción; nulo en un inicio de sesión fallido con un correo que no existe.</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color w:val="E67700"/>
                <w:sz w:val="19"/>
                <w:szCs w:val="19"/>
              </w:rPr>
              <w:t xml:space="preserve">CN_​Id_​tema</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BIGINT</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Sí</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FK → T_​Tema</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Tema asociado a la acción, cuando aplica (RF‑21). </w:t>
            </w:r>
            <w:r>
              <w:rPr>
                <w:rFonts w:ascii="Calibri" w:cs="Calibri" w:eastAsia="Calibri" w:hAnsi="Calibri"/>
                <w:b w:val="false"/>
                <w:bCs w:val="false"/>
                <w:i/>
                <w:iCs/>
                <w:color w:val="E67700"/>
                <w:sz w:val="19"/>
                <w:szCs w:val="19"/>
              </w:rPr>
              <w:t xml:space="preserve">Estado actual: se llama CN_Id_expediente.</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CF_​Fecha_​hora</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DATETIME</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Fecha y hora exacta de la acción.</w:t>
            </w:r>
          </w:p>
        </w:tc>
      </w:tr>
      <w:tr>
        <w:trPr>
          <w:cantSplit/>
        </w:trPr>
        <w:tc>
          <w:tcPr>
            <w:tcW w:type="dxa" w:w="2250"/>
            <w:tcMar>
              <w:top w:type="dxa" w:w="60"/>
              <w:left w:type="dxa" w:w="90"/>
              <w:bottom w:type="dxa" w:w="60"/>
              <w:right w:type="dxa" w:w="90"/>
            </w:tcMar>
          </w:tcPr>
          <w:p>
            <w:pPr>
              <w:keepNext/>
              <w:spacing w:after="0"/>
            </w:pPr>
            <w:r>
              <w:rPr>
                <w:rFonts w:ascii="Calibri" w:cs="Calibri" w:eastAsia="Calibri" w:hAnsi="Calibri"/>
                <w:b/>
                <w:bCs/>
                <w:i w:val="false"/>
                <w:iCs w:val="false"/>
                <w:sz w:val="19"/>
                <w:szCs w:val="19"/>
              </w:rPr>
              <w:t xml:space="preserve">CT_​Texto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VARCHAR(MAX)</w:t>
            </w:r>
          </w:p>
        </w:tc>
        <w:tc>
          <w:tcPr>
            <w:tcW w:type="dxa" w:w="65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No</w:t>
            </w:r>
          </w:p>
        </w:tc>
        <w:tc>
          <w:tcPr>
            <w:tcW w:type="dxa" w:w="150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spacing w:after="0"/>
            </w:pPr>
            <w:r>
              <w:rPr>
                <w:rFonts w:ascii="Calibri" w:cs="Calibri" w:eastAsia="Calibri" w:hAnsi="Calibri"/>
                <w:b w:val="false"/>
                <w:bCs w:val="false"/>
                <w:i w:val="false"/>
                <w:iCs w:val="false"/>
                <w:sz w:val="19"/>
                <w:szCs w:val="19"/>
              </w:rPr>
              <w:t xml:space="preserve">Descripción legible de la acción.</w:t>
            </w:r>
          </w:p>
        </w:tc>
      </w:tr>
      <w:tr>
        <w:trPr>
          <w:cantSplit/>
        </w:trPr>
        <w:tc>
          <w:tcPr>
            <w:tcW w:type="dxa" w:w="2250"/>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CT_​Informacion_​adicional</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VARCHAR(MAX)</w:t>
            </w:r>
          </w:p>
        </w:tc>
        <w:tc>
          <w:tcPr>
            <w:tcW w:type="dxa" w:w="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Sí</w:t>
            </w:r>
          </w:p>
        </w:tc>
        <w:tc>
          <w:tcPr>
            <w:tcW w:type="dxa" w:w="1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c>
          <w:tcPr>
            <w:tcW w:type="dxa" w:w="34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Detalle propio de cada tipo de acción en formato JSON; por ejemplo, el motivo de un inicio de sesión fallido, los campos modificados de una cuenta, los fragmentos generados por un documento o el modo y el criterio de una búsqueda (RF‑21).</w:t>
            </w:r>
          </w:p>
        </w:tc>
      </w:tr>
    </w:tbl>
    <w:p>
      <w:pPr>
        <w:pStyle w:val="Heading1"/>
        <w:keepNext/>
        <w:pageBreakBefore/>
        <w:spacing w:after="180" w:before="320"/>
      </w:pPr>
      <w:r>
        <w:t xml:space="preserve">5. Relaciones e integridad referencial</w:t>
      </w:r>
    </w:p>
    <w:p>
      <w:pPr>
        <w:keepNext/>
        <w:spacing w:after="120" w:line="276"/>
        <w:jc w:val="both"/>
      </w:pPr>
      <w:r>
        <w:rPr>
          <w:rFonts w:ascii="Calibri" w:cs="Calibri" w:eastAsia="Calibri" w:hAnsi="Calibri"/>
          <w:b w:val="false"/>
          <w:bCs w:val="false"/>
          <w:i w:val="false"/>
          <w:iCs w:val="false"/>
          <w:sz w:val="22"/>
          <w:szCs w:val="22"/>
        </w:rPr>
        <w:t xml:space="preserve">Cada relación une una llave foránea de la tabla hija con la llave primaria de la tabla padre: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450"/>
        <w:gridCol w:w="1750"/>
        <w:gridCol w:w="1400"/>
        <w:gridCol w:w="3110"/>
      </w:tblGrid>
      <w:tr>
        <w:trPr>
          <w:cantSplit/>
          <w:tblHeader/>
        </w:trPr>
        <w:tc>
          <w:tcPr>
            <w:tcW w:type="dxa" w:w="16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Tabla padre</w:t>
            </w:r>
          </w:p>
        </w:tc>
        <w:tc>
          <w:tcPr>
            <w:tcW w:type="dxa" w:w="14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Tabla hija</w:t>
            </w:r>
          </w:p>
        </w:tc>
        <w:tc>
          <w:tcPr>
            <w:tcW w:type="dxa" w:w="17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Llave foránea</w:t>
            </w:r>
          </w:p>
        </w:tc>
        <w:tc>
          <w:tcPr>
            <w:tcW w:type="dxa" w:w="14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Cardinalidad</w:t>
            </w:r>
          </w:p>
        </w:tc>
        <w:tc>
          <w:tcPr>
            <w:tcW w:type="dxa" w:w="311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Descripción</w:t>
            </w:r>
          </w:p>
        </w:tc>
      </w:tr>
      <w:tr>
        <w:trPr>
          <w:cantSplit/>
        </w:trPr>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T_​Rol</w:t>
            </w:r>
          </w:p>
        </w:tc>
        <w:tc>
          <w:tcPr>
            <w:tcW w:type="dxa" w:w="14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T_​Usuario</w:t>
            </w:r>
          </w:p>
        </w:tc>
        <w:tc>
          <w:tcPr>
            <w:tcW w:type="dxa" w:w="17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CN_​Id_​rol</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 a 0..*</w:t>
            </w:r>
          </w:p>
        </w:tc>
        <w:tc>
          <w:tcPr>
            <w:tcW w:type="dxa" w:w="31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Cada cuenta tiene exactamente un rol; un rol puede tener muchas cuentas.</w:t>
            </w:r>
          </w:p>
        </w:tc>
      </w:tr>
      <w:tr>
        <w:trPr>
          <w:cantSplit/>
        </w:trPr>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T_​Estado</w:t>
            </w:r>
          </w:p>
        </w:tc>
        <w:tc>
          <w:tcPr>
            <w:tcW w:type="dxa" w:w="14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T_​Usuario</w:t>
            </w:r>
          </w:p>
        </w:tc>
        <w:tc>
          <w:tcPr>
            <w:tcW w:type="dxa" w:w="17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CN_​Id_​estado</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 a 0..*</w:t>
            </w:r>
          </w:p>
        </w:tc>
        <w:tc>
          <w:tcPr>
            <w:tcW w:type="dxa" w:w="31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Cada cuenta está en un único estado: Activo o Inactivo.</w:t>
            </w:r>
          </w:p>
        </w:tc>
      </w:tr>
      <w:tr>
        <w:trPr>
          <w:cantSplit/>
        </w:trPr>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T_​Usuario</w:t>
            </w:r>
          </w:p>
        </w:tc>
        <w:tc>
          <w:tcPr>
            <w:tcW w:type="dxa" w:w="14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T_​Notebook</w:t>
            </w:r>
          </w:p>
        </w:tc>
        <w:tc>
          <w:tcPr>
            <w:tcW w:type="dxa" w:w="17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CN_​Id_​usuario</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 a 0..*</w:t>
            </w:r>
          </w:p>
        </w:tc>
        <w:tc>
          <w:tcPr>
            <w:tcW w:type="dxa" w:w="31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Un usuario puede crear muchos notebooks; cada notebook tiene un único propietario.</w:t>
            </w:r>
          </w:p>
        </w:tc>
      </w:tr>
      <w:tr>
        <w:trPr>
          <w:cantSplit/>
        </w:trPr>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T_​Tema</w:t>
            </w:r>
          </w:p>
        </w:tc>
        <w:tc>
          <w:tcPr>
            <w:tcW w:type="dxa" w:w="14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T_​Notebook</w:t>
            </w:r>
          </w:p>
        </w:tc>
        <w:tc>
          <w:tcPr>
            <w:tcW w:type="dxa" w:w="17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CN_​Id_​tema</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 a 0..1</w:t>
            </w:r>
          </w:p>
        </w:tc>
        <w:tc>
          <w:tcPr>
            <w:tcW w:type="dxa" w:w="31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Cada notebook tiene su propio tema; un tema corresponde como máximo a un notebook.</w:t>
            </w:r>
          </w:p>
        </w:tc>
      </w:tr>
      <w:tr>
        <w:trPr>
          <w:cantSplit/>
        </w:trPr>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T_​Tema</w:t>
            </w:r>
          </w:p>
        </w:tc>
        <w:tc>
          <w:tcPr>
            <w:tcW w:type="dxa" w:w="14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T_​Documento</w:t>
            </w:r>
          </w:p>
        </w:tc>
        <w:tc>
          <w:tcPr>
            <w:tcW w:type="dxa" w:w="17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CN_​Id_​tema</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 a 0..*</w:t>
            </w:r>
          </w:p>
        </w:tc>
        <w:tc>
          <w:tcPr>
            <w:tcW w:type="dxa" w:w="31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Un tema agrupa muchos documentos; cada documento pertenece a un único tema, de forma permanente.</w:t>
            </w:r>
          </w:p>
        </w:tc>
      </w:tr>
      <w:tr>
        <w:trPr>
          <w:cantSplit/>
        </w:trPr>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T_​Usuario</w:t>
            </w:r>
          </w:p>
        </w:tc>
        <w:tc>
          <w:tcPr>
            <w:tcW w:type="dxa" w:w="14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T_​Documento</w:t>
            </w:r>
          </w:p>
        </w:tc>
        <w:tc>
          <w:tcPr>
            <w:tcW w:type="dxa" w:w="17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CN_​Id_​usuario</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 a 0..*</w:t>
            </w:r>
          </w:p>
        </w:tc>
        <w:tc>
          <w:tcPr>
            <w:tcW w:type="dxa" w:w="31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Un usuario puede cargar muchos documentos; cada documento registra quién lo cargó.</w:t>
            </w:r>
          </w:p>
        </w:tc>
      </w:tr>
      <w:tr>
        <w:trPr>
          <w:cantSplit/>
        </w:trPr>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T_​Estado_​procesamiento</w:t>
            </w:r>
          </w:p>
        </w:tc>
        <w:tc>
          <w:tcPr>
            <w:tcW w:type="dxa" w:w="14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T_​Documento</w:t>
            </w:r>
          </w:p>
        </w:tc>
        <w:tc>
          <w:tcPr>
            <w:tcW w:type="dxa" w:w="17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CN_​Id_​estado</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 a 0..*</w:t>
            </w:r>
          </w:p>
        </w:tc>
        <w:tc>
          <w:tcPr>
            <w:tcW w:type="dxa" w:w="31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Cada documento está en un único estado de procesamiento.</w:t>
            </w:r>
          </w:p>
        </w:tc>
      </w:tr>
      <w:tr>
        <w:trPr>
          <w:cantSplit/>
        </w:trPr>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T_​Usuario</w:t>
            </w:r>
          </w:p>
        </w:tc>
        <w:tc>
          <w:tcPr>
            <w:tcW w:type="dxa" w:w="14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T_​Bitacora</w:t>
            </w:r>
          </w:p>
        </w:tc>
        <w:tc>
          <w:tcPr>
            <w:tcW w:type="dxa" w:w="17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CN_​Id_​usuario</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0..1 a 0..*</w:t>
            </w:r>
          </w:p>
        </w:tc>
        <w:tc>
          <w:tcPr>
            <w:tcW w:type="dxa" w:w="31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Un usuario genera muchos registros; un registro puede no tener usuario (inicio de sesión fallido con un correo inexistente).</w:t>
            </w:r>
          </w:p>
        </w:tc>
      </w:tr>
      <w:tr>
        <w:trPr>
          <w:cantSplit/>
        </w:trPr>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14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T_​Bitacora</w:t>
            </w:r>
          </w:p>
        </w:tc>
        <w:tc>
          <w:tcPr>
            <w:tcW w:type="dxa" w:w="17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CN_​Id_​tipo_​accion</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 a 0..*</w:t>
            </w:r>
          </w:p>
        </w:tc>
        <w:tc>
          <w:tcPr>
            <w:tcW w:type="dxa" w:w="31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Cada registro tiene exactamente un tipo de acción.</w:t>
            </w:r>
          </w:p>
        </w:tc>
      </w:tr>
      <w:tr>
        <w:trPr>
          <w:cantSplit/>
        </w:trPr>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T_​Tema</w:t>
            </w:r>
          </w:p>
        </w:tc>
        <w:tc>
          <w:tcPr>
            <w:tcW w:type="dxa" w:w="14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T_​Bitacora</w:t>
            </w:r>
          </w:p>
        </w:tc>
        <w:tc>
          <w:tcPr>
            <w:tcW w:type="dxa" w:w="17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CN_​Id_​tema</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0..1 a 0..*</w:t>
            </w:r>
          </w:p>
        </w:tc>
        <w:tc>
          <w:tcPr>
            <w:tcW w:type="dxa" w:w="31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Un registro puede asociarse a un tema, cuando la acción se refiere a uno.</w:t>
            </w:r>
          </w:p>
        </w:tc>
      </w:tr>
    </w:tbl>
    <w:p>
      <w:pPr>
        <w:keepNext w:val="false"/>
        <w:spacing w:after="80" w:line="276"/>
        <w:jc w:val="both"/>
      </w:pPr>
      <w:r>
        <w:rPr>
          <w:rFonts w:ascii="Calibri" w:cs="Calibri" w:eastAsia="Calibri" w:hAnsi="Calibri"/>
          <w:b w:val="false"/>
          <w:bCs w:val="false"/>
          <w:i w:val="false"/>
          <w:iCs w:val="false"/>
          <w:sz w:val="22"/>
          <w:szCs w:val="22"/>
        </w:rPr>
        <w:t xml:space="preserve"/>
      </w:r>
    </w:p>
    <w:p>
      <w:pPr>
        <w:keepNext w:val="false"/>
        <w:spacing w:after="160" w:line="276"/>
        <w:jc w:val="both"/>
      </w:pPr>
      <w:r>
        <w:rPr>
          <w:rFonts w:ascii="Calibri" w:cs="Calibri" w:eastAsia="Calibri" w:hAnsi="Calibri"/>
          <w:b w:val="false"/>
          <w:bCs w:val="false"/>
          <w:i w:val="false"/>
          <w:iCs w:val="false"/>
          <w:sz w:val="22"/>
          <w:szCs w:val="22"/>
        </w:rPr>
        <w:t xml:space="preserve">Todas las llaves foráneas usan la regla NO ACTION al eliminar y al actualizar: la base de datos rechaza cualquier eliminación que deje registros sin su referencia. Esto es coherente con la conservación de la información: las cuentas, los temas y la bitácora no se eliminan físicamente, sino que se gestionan mediante cambios de estado (RN-01, RNF-10).</w:t>
      </w:r>
    </w:p>
    <w:p>
      <w:pPr>
        <w:keepNext w:val="false"/>
        <w:spacing w:after="160" w:line="276"/>
        <w:jc w:val="both"/>
      </w:pPr>
      <w:r>
        <w:rPr>
          <w:rFonts w:ascii="Calibri" w:cs="Calibri" w:eastAsia="Calibri" w:hAnsi="Calibri"/>
          <w:b w:val="false"/>
          <w:bCs w:val="false"/>
          <w:i w:val="false"/>
          <w:iCs w:val="false"/>
          <w:sz w:val="22"/>
          <w:szCs w:val="22"/>
        </w:rPr>
        <w:t xml:space="preserve">La única eliminación física permitida es la de un documento de un notebook (RF-19). Como ninguna tabla referencia a T_Documento, esa eliminación no requiere borrados en cascada: el sistema elimina primero los fragmentos del documento en Qdrant y su archivo en disco, y después su fila en T_Documento.</w:t>
      </w:r>
    </w:p>
    <w:p>
      <w:pPr>
        <w:pStyle w:val="Heading1"/>
        <w:keepNext/>
        <w:spacing w:after="180" w:before="320"/>
      </w:pPr>
      <w:r>
        <w:t xml:space="preserve">6. Índices y restricciones</w:t>
      </w:r>
    </w:p>
    <w:p>
      <w:pPr>
        <w:keepNext/>
        <w:spacing w:after="120" w:line="276"/>
        <w:jc w:val="both"/>
      </w:pPr>
      <w:r>
        <w:rPr>
          <w:rFonts w:ascii="Calibri" w:cs="Calibri" w:eastAsia="Calibri" w:hAnsi="Calibri"/>
          <w:b w:val="false"/>
          <w:bCs w:val="false"/>
          <w:i w:val="false"/>
          <w:iCs w:val="false"/>
          <w:sz w:val="22"/>
          <w:szCs w:val="22"/>
        </w:rPr>
        <w:t xml:space="preserve">Además de las llaves primarias, el modelo define las siguientes restricciones e índices. Los índices planificados aceleran los listados y los filtros de la bitácora, que crecen con cada acción de los usuarios (RNF-01):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1650"/>
        <w:gridCol w:w="1300"/>
        <w:gridCol w:w="2510"/>
      </w:tblGrid>
      <w:tr>
        <w:trPr>
          <w:cantSplit/>
          <w:tblHeader/>
        </w:trPr>
        <w:tc>
          <w:tcPr>
            <w:tcW w:type="dxa" w:w="2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Nombre</w:t>
            </w:r>
          </w:p>
        </w:tc>
        <w:tc>
          <w:tcPr>
            <w:tcW w:type="dxa" w:w="14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Tabla</w:t>
            </w:r>
          </w:p>
        </w:tc>
        <w:tc>
          <w:tcPr>
            <w:tcW w:type="dxa" w:w="165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Columna</w:t>
            </w:r>
          </w:p>
        </w:tc>
        <w:tc>
          <w:tcPr>
            <w:tcW w:type="dxa" w:w="13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Tipo</w:t>
            </w:r>
          </w:p>
        </w:tc>
        <w:tc>
          <w:tcPr>
            <w:tcW w:type="dxa" w:w="251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Propósito</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UQ_​T_​Usuario_​CT_​Correo</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T_​Usuario</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CT_​Correo</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Único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Un correo por cuenta; es el usuario de inicio de sesión (RF‑01).</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UQ_​T_​Usuario_​CT_​Nombre_​usuario</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T_​Usuario</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CT_​Nombre_​usuario</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Único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Un nombre de usuario por cuenta.</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UQ_​T_​Tema_​CT_​Nombre</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T_​Tema</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CT_​Nombre</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Único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Un tema por nombre: cargar en un tema existente agrega el archivo a ese tema (RF‑06).</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UQ_​T_​Notebook_​CN_​Id_​tema</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T_​Notebook</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CN_​Id_​tema</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Único (planificado)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Garantiza la relación uno a uno entre notebook y tema.</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IX_​T_​Notebook_​CN_​Id_​usuario</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T_​Notebook</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CN_​Id_​usuario</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 único (planificado)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Lista de notebooks de un usuario (RF‑17).</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IX_​T_​Documento_​CN_​Id_​tema</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T_​Documento</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CN_​Id_​tema</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 único (planificado)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Documentos de un tema o de un notebook (RF‑18, RF‑20).</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IX_​T_​Bitacora_​CF_​Fecha_​hora</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T_​Bitacora</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CF_​Fecha_​hora</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 único (planificado)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Filtro por rango de fechas e indicadores del dashboard (RF‑22, RF‑23).</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IX_​T_​Bitacora_​CN_​Id_​usuario</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T_​Bitacora</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CN_​Id_​usuario</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 único (planificado)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Filtro por usuario y usuarios más activos (RF‑22, RF‑23).</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IX_​T_​Bitacora_​CN_​Id_​tipo_​accion</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T_​Bitacora</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CN_​Id_​tipo_​accion</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 único (planificado)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Filtro por tipo de acción y distribución de acciones (RF‑22, RF‑23).</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IX_​T_​Bitacora_​CN_​Id_​tema</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T_​Bitacora</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CN_​Id_​tema</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 único (planificado)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Filtro por tema y temas más consultados (RF‑22, RF‑23).</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CK_​T_​Usuario_​Cedula</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T_​Usuario</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CN_​Id_​usuario</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CHECK (planificado)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Solo dígitos y entre 8 y 15 caracteres (RF‑02).</w:t>
            </w:r>
          </w:p>
        </w:tc>
      </w:tr>
      <w:tr>
        <w:trPr>
          <w:cantSplit/>
        </w:trPr>
        <w:tc>
          <w:tcPr>
            <w:tcW w:type="dxa" w:w="2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CK_​T_​Documento_​Tamanno</w:t>
            </w:r>
          </w:p>
        </w:tc>
        <w:tc>
          <w:tcPr>
            <w:tcW w:type="dxa" w:w="14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T_​Documento</w:t>
            </w:r>
          </w:p>
        </w:tc>
        <w:tc>
          <w:tcPr>
            <w:tcW w:type="dxa" w:w="165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CN_​Tamanno_​bytes</w:t>
            </w:r>
          </w:p>
        </w:tc>
        <w:tc>
          <w:tcPr>
            <w:tcW w:type="dxa" w:w="1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CHECK (planificado)</w:t>
            </w:r>
          </w:p>
        </w:tc>
        <w:tc>
          <w:tcPr>
            <w:tcW w:type="dxa" w:w="251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Entre 0 y 1 073 741 824 bytes (1 GB) (RF‑05).</w:t>
            </w:r>
          </w:p>
        </w:tc>
      </w:tr>
    </w:tbl>
    <w:p>
      <w:pPr>
        <w:pStyle w:val="Heading1"/>
        <w:keepNext/>
        <w:pageBreakBefore/>
        <w:spacing w:after="180" w:before="320"/>
      </w:pPr>
      <w:r>
        <w:t xml:space="preserve">7. Datos iniciales de los catálogos</w:t>
      </w:r>
    </w:p>
    <w:p>
      <w:pPr>
        <w:keepNext/>
        <w:spacing w:after="120" w:line="276"/>
        <w:jc w:val="both"/>
      </w:pPr>
      <w:r>
        <w:rPr>
          <w:rFonts w:ascii="Calibri" w:cs="Calibri" w:eastAsia="Calibri" w:hAnsi="Calibri"/>
          <w:b w:val="false"/>
          <w:bCs w:val="false"/>
          <w:i w:val="false"/>
          <w:iCs w:val="false"/>
          <w:sz w:val="22"/>
          <w:szCs w:val="22"/>
        </w:rPr>
        <w:t xml:space="preserve">La migración inicial carga los valores de los catálogos, junto con la cuenta del primer Administrador, cuyos datos se toman de las variables de entorno. Los valores con nota cambian de nombre respecto del esquema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600"/>
        <w:gridCol w:w="2600"/>
        <w:gridCol w:w="3860"/>
      </w:tblGrid>
      <w:tr>
        <w:trPr>
          <w:cantSplit/>
          <w:tblHeader/>
        </w:trPr>
        <w:tc>
          <w:tcPr>
            <w:tcW w:type="dxa" w:w="23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Catálogo</w:t>
            </w:r>
          </w:p>
        </w:tc>
        <w:tc>
          <w:tcPr>
            <w:tcW w:type="dxa" w:w="6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Id</w:t>
            </w:r>
          </w:p>
        </w:tc>
        <w:tc>
          <w:tcPr>
            <w:tcW w:type="dxa" w:w="26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Valor</w:t>
            </w:r>
          </w:p>
        </w:tc>
        <w:tc>
          <w:tcPr>
            <w:tcW w:type="dxa" w:w="38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Nota</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T_​Rol</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Administrador</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T_​Rol</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2</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color w:val="E67700"/>
                <w:sz w:val="19"/>
                <w:szCs w:val="19"/>
              </w:rPr>
              <w:t xml:space="preserve">Usuario Gubernamental</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Hoy se llama «Usuario Judicial», nombre heredado del proyecto JusticIA.</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T_​Estado</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Activo</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T_​Estado</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2</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Inactivo</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T_​Estado_​procesamiento</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Pendiente</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T_​Estado_​procesamiento</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2</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Procesado</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T_​Estado_​procesamiento</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3</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Error</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color w:val="E67700"/>
                <w:sz w:val="19"/>
                <w:szCs w:val="19"/>
              </w:rPr>
              <w:t xml:space="preserve">Búsqueda de Temas Similares</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Hoy se llama «Búsqueda de Casos Similares».</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2</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Carga de Documentos</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3</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color w:val="E67700"/>
                <w:sz w:val="19"/>
                <w:szCs w:val="19"/>
              </w:rPr>
              <w:t xml:space="preserve">Inicio de Sesión</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Hoy se llama «Login».</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4</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color w:val="E67700"/>
                <w:sz w:val="19"/>
                <w:szCs w:val="19"/>
              </w:rPr>
              <w:t xml:space="preserve">Cierre de Sesión</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Hoy se llama «Logout».</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5</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Cambio de Contraseña</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6</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Recuperación de Contraseña</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7</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Crear Usuario</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8</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Editar Usuario</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9</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Consultar Usuarios</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10</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Descargar Archivo</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11</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Listar Archivos</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12</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color w:val="E67700"/>
                <w:sz w:val="19"/>
                <w:szCs w:val="19"/>
              </w:rPr>
              <w:t xml:space="preserve">Consulta al Asistente</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Hoy se llama «Consulta RAG».</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13</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Generar Resumen</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14</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Consultar Bitácora</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r>
        <w:trPr>
          <w:cantSplit/>
        </w:trPr>
        <w:tc>
          <w:tcPr>
            <w:tcW w:type="dxa" w:w="2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15</w:t>
            </w:r>
          </w:p>
        </w:tc>
        <w:tc>
          <w:tcPr>
            <w:tcW w:type="dxa" w:w="26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Exportar Bitácora</w:t>
            </w:r>
          </w:p>
        </w:tc>
        <w:tc>
          <w:tcPr>
            <w:tcW w:type="dxa" w:w="38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w:t>
            </w:r>
          </w:p>
        </w:tc>
      </w:tr>
    </w:tbl>
    <w:p>
      <w:pPr>
        <w:pStyle w:val="Heading1"/>
        <w:keepNext/>
        <w:pageBreakBefore/>
        <w:spacing w:after="180" w:before="320"/>
      </w:pPr>
      <w:r>
        <w:t xml:space="preserve">8. Correspondencia con el modelo de dominio</w:t>
      </w:r>
    </w:p>
    <w:p>
      <w:pPr>
        <w:keepNext/>
        <w:spacing w:after="120" w:line="276"/>
        <w:jc w:val="both"/>
      </w:pPr>
      <w:r>
        <w:rPr>
          <w:rFonts w:ascii="Calibri" w:cs="Calibri" w:eastAsia="Calibri" w:hAnsi="Calibri"/>
          <w:b w:val="false"/>
          <w:bCs w:val="false"/>
          <w:i w:val="false"/>
          <w:iCs w:val="false"/>
          <w:sz w:val="22"/>
          <w:szCs w:val="22"/>
        </w:rPr>
        <w:t xml:space="preserve">La tabla siguiente indica dónde se almacena cada clase del Modelo de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4660"/>
      </w:tblGrid>
      <w:tr>
        <w:trPr>
          <w:cantSplit/>
          <w:tblHeader/>
        </w:trPr>
        <w:tc>
          <w:tcPr>
            <w:tcW w:type="dxa" w:w="27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Clase del dominio</w:t>
            </w:r>
          </w:p>
        </w:tc>
        <w:tc>
          <w:tcPr>
            <w:tcW w:type="dxa" w:w="20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Se almacena en</w:t>
            </w:r>
          </w:p>
        </w:tc>
        <w:tc>
          <w:tcPr>
            <w:tcW w:type="dxa" w:w="46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Detalle</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Usuario, UsuarioGubernamental y Administrador</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T_Usuario</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La especialización se representa con el rol (CN_Id_rol → T_Rol): una sola tabla guarda la jerarquía completa, porque ambos roles comparten todos los atributos.</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EstadoCuenta</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T_Estado</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Enumeración convertida en catálogo.</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CodigoRecuperacion</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 se almacena</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El código viaja cifrado dentro de un token firmado que vence a los 15 minutos; tras verificarlo, un segundo token da 10 minutos para definir la nueva contraseña (RF‑03).</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Tema</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T_Tema</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El nombre del tema es único.</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Notebook</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T_Notebook + T_Tema</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La herencia de Tema se representa con una relación uno a uno: el notebook guarda su propietario y su nombre visible, y su tema agrupa los documentos.</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Documento</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T_Documento</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El progreso en porcentaje no se guarda en la tabla: se consulta mientras dura la tarea, en el seguimiento que mantiene Redis (RF‑07).</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EstadoProcesamiento</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T_Estado_procesamiento</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Enumeración convertida en catálogo.</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TipoArchivo</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Columna CT_Tipo_archivo</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Se guarda la extensión; el tipo (texto, audio o imagen) se deriva de ella.</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Fragmento</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Qdrant (base vectorial)</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Cada fragmento se guarda con su vector y sus metadatos: identificador del documento, tema, nombre del archivo y número de fragmento (RF‑08).</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Conversacion, Mensaje, AlcanceConsulta y EmisorMensaje</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Redis (almacén en memoria)</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Las conversaciones se guardan por usuario durante 30 días (RF‑14).</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BusquedaSimilitud, ResultadoSimilitud, ResumenIA, ModoBusqueda y NivelSimilitud</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No se almacenan</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Se calculan en cada solicitud; cada búsqueda queda registrada en la bitácora con su modo, su criterio, el total de resultados y el tiempo empleado (RF‑20, RF‑21).</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RegistroBitacora</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T_Bitacora</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Registro inmutable (RF‑21).</w:t>
            </w:r>
          </w:p>
        </w:tc>
      </w:tr>
      <w:tr>
        <w:trPr>
          <w:cantSplit/>
        </w:trPr>
        <w:tc>
          <w:tcPr>
            <w:tcW w:type="dxa" w:w="2700"/>
            <w:shd w:fill="EAF1F8" w:val="clear"/>
            <w:tcMar>
              <w:top w:type="dxa" w:w="60"/>
              <w:left w:type="dxa" w:w="90"/>
              <w:bottom w:type="dxa" w:w="60"/>
              <w:right w:type="dxa" w:w="90"/>
            </w:tcMar>
          </w:tcPr>
          <w:p>
            <w:pPr>
              <w:keepNext w:val="false"/>
              <w:spacing w:after="0"/>
            </w:pPr>
            <w:r>
              <w:rPr>
                <w:rFonts w:ascii="Calibri" w:cs="Calibri" w:eastAsia="Calibri" w:hAnsi="Calibri"/>
                <w:b/>
                <w:bCs/>
                <w:i w:val="false"/>
                <w:iCs w:val="false"/>
                <w:sz w:val="19"/>
                <w:szCs w:val="19"/>
              </w:rPr>
              <w:t xml:space="preserve">TipoAccion</w:t>
            </w:r>
          </w:p>
        </w:tc>
        <w:tc>
          <w:tcPr>
            <w:tcW w:type="dxa" w:w="2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T_Tipo_accion</w:t>
            </w:r>
          </w:p>
        </w:tc>
        <w:tc>
          <w:tcPr>
            <w:tcW w:type="dxa" w:w="46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Enumeración convertida en catálogo con identificadores fijos.</w:t>
            </w:r>
          </w:p>
        </w:tc>
      </w:tr>
    </w:tbl>
    <w:p>
      <w:pPr>
        <w:pStyle w:val="Heading1"/>
        <w:keepNext/>
        <w:pageBreakBefore/>
        <w:spacing w:after="180" w:before="320"/>
      </w:pPr>
      <w:r>
        <w:t xml:space="preserve">9. Cambios planificados respecto del esquema actual</w:t>
      </w:r>
    </w:p>
    <w:p>
      <w:pPr>
        <w:keepNext/>
        <w:spacing w:after="120" w:line="276"/>
        <w:jc w:val="both"/>
      </w:pPr>
      <w:r>
        <w:rPr>
          <w:rFonts w:ascii="Calibri" w:cs="Calibri" w:eastAsia="Calibri" w:hAnsi="Calibri"/>
          <w:b w:val="false"/>
          <w:bCs w:val="false"/>
          <w:i w:val="false"/>
          <w:iCs w:val="false"/>
          <w:sz w:val="22"/>
          <w:szCs w:val="22"/>
        </w:rPr>
        <w:t xml:space="preserve">El esquema implementado conserva la estructura heredada del proyecto JusticIA (RT-06). Los cambios siguientes lo llevan al modelo planificado y se aplican con una migración de Alembic que conserva los datos existentes: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000"/>
        <w:gridCol w:w="3300"/>
        <w:gridCol w:w="1560"/>
      </w:tblGrid>
      <w:tr>
        <w:trPr>
          <w:cantSplit/>
          <w:tblHeader/>
        </w:trPr>
        <w:tc>
          <w:tcPr>
            <w:tcW w:type="dxa" w:w="5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w:t>
            </w:r>
          </w:p>
        </w:tc>
        <w:tc>
          <w:tcPr>
            <w:tcW w:type="dxa" w:w="40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Cambio planificado</w:t>
            </w:r>
          </w:p>
        </w:tc>
        <w:tc>
          <w:tcPr>
            <w:tcW w:type="dxa" w:w="330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Esquema actual</w:t>
            </w:r>
          </w:p>
        </w:tc>
        <w:tc>
          <w:tcPr>
            <w:tcW w:type="dxa" w:w="1560"/>
            <w:shd w:fill="1F4E79" w:val="clear"/>
            <w:tcMar>
              <w:top w:type="dxa" w:w="60"/>
              <w:left w:type="dxa" w:w="90"/>
              <w:bottom w:type="dxa" w:w="60"/>
              <w:right w:type="dxa" w:w="90"/>
            </w:tcMar>
          </w:tcPr>
          <w:p>
            <w:pPr>
              <w:keepNext/>
              <w:spacing w:after="0"/>
            </w:pPr>
            <w:r>
              <w:rPr>
                <w:rFonts w:ascii="Calibri" w:cs="Calibri" w:eastAsia="Calibri" w:hAnsi="Calibri"/>
                <w:b/>
                <w:bCs/>
                <w:i w:val="false"/>
                <w:iCs w:val="false"/>
                <w:color w:val="FFFFFF"/>
                <w:sz w:val="19"/>
                <w:szCs w:val="19"/>
              </w:rPr>
              <w:t xml:space="preserve">Justificación</w:t>
            </w:r>
          </w:p>
        </w:tc>
      </w:tr>
      <w:tr>
        <w:trPr>
          <w:cantSplit/>
        </w:trPr>
        <w:tc>
          <w:tcPr>
            <w:tcW w:type="dxa" w:w="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1</w:t>
            </w:r>
          </w:p>
        </w:tc>
        <w:tc>
          <w:tcPr>
            <w:tcW w:type="dxa" w:w="4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Renombrar la tabla de temas a T_Tema, su llave a CN_Id_tema y su nombre a CT_Nombre, con 150 caracteres.</w:t>
            </w:r>
          </w:p>
        </w:tc>
        <w:tc>
          <w:tcPr>
            <w:tcW w:type="dxa" w:w="3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T_Expediente, CN_Id_expediente y CT_Num_expediente (60 caracteres).</w:t>
            </w:r>
          </w:p>
        </w:tc>
        <w:tc>
          <w:tcPr>
            <w:tcW w:type="dxa" w:w="15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RT‑06, RF‑06</w:t>
            </w:r>
          </w:p>
        </w:tc>
      </w:tr>
      <w:tr>
        <w:trPr>
          <w:cantSplit/>
        </w:trPr>
        <w:tc>
          <w:tcPr>
            <w:tcW w:type="dxa" w:w="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2</w:t>
            </w:r>
          </w:p>
        </w:tc>
        <w:tc>
          <w:tcPr>
            <w:tcW w:type="dxa" w:w="4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Relacionar cada documento con su tema mediante la llave foránea obligatoria T_Documento.CN_Id_tema y eliminar la tabla intermedia.</w:t>
            </w:r>
          </w:p>
        </w:tc>
        <w:tc>
          <w:tcPr>
            <w:tcW w:type="dxa" w:w="3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Tabla intermedia T_Expediente_Documento, que admite documentos sin tema o con varios temas.</w:t>
            </w:r>
          </w:p>
        </w:tc>
        <w:tc>
          <w:tcPr>
            <w:tcW w:type="dxa" w:w="15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RF‑06, RN‑02</w:t>
            </w:r>
          </w:p>
        </w:tc>
      </w:tr>
      <w:tr>
        <w:trPr>
          <w:cantSplit/>
        </w:trPr>
        <w:tc>
          <w:tcPr>
            <w:tcW w:type="dxa" w:w="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3</w:t>
            </w:r>
          </w:p>
        </w:tc>
        <w:tc>
          <w:tcPr>
            <w:tcW w:type="dxa" w:w="4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Enlazar cada notebook con su tema mediante la llave foránea única T_Notebook.CN_Id_tema.</w:t>
            </w:r>
          </w:p>
        </w:tc>
        <w:tc>
          <w:tcPr>
            <w:tcW w:type="dxa" w:w="3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El notebook y su tema se relacionan solo porque el nombre del tema es la clave interna NB-&lt;número&gt;.</w:t>
            </w:r>
          </w:p>
        </w:tc>
        <w:tc>
          <w:tcPr>
            <w:tcW w:type="dxa" w:w="15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RF‑17, RF‑19</w:t>
            </w:r>
          </w:p>
        </w:tc>
      </w:tr>
      <w:tr>
        <w:trPr>
          <w:cantSplit/>
        </w:trPr>
        <w:tc>
          <w:tcPr>
            <w:tcW w:type="dxa" w:w="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4</w:t>
            </w:r>
          </w:p>
        </w:tc>
        <w:tc>
          <w:tcPr>
            <w:tcW w:type="dxa" w:w="4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Agregar a T_Documento el usuario que cargó el archivo, su tamaño y el mensaje de error.</w:t>
            </w:r>
          </w:p>
        </w:tc>
        <w:tc>
          <w:tcPr>
            <w:tcW w:type="dxa" w:w="3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Esas columnas no existen: el usuario solo queda en la bitácora y la causa del error solo en el seguimiento temporal de la tarea.</w:t>
            </w:r>
          </w:p>
        </w:tc>
        <w:tc>
          <w:tcPr>
            <w:tcW w:type="dxa" w:w="15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RF‑05, RF‑07</w:t>
            </w:r>
          </w:p>
        </w:tc>
      </w:tr>
      <w:tr>
        <w:trPr>
          <w:cantSplit/>
        </w:trPr>
        <w:tc>
          <w:tcPr>
            <w:tcW w:type="dxa" w:w="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5</w:t>
            </w:r>
          </w:p>
        </w:tc>
        <w:tc>
          <w:tcPr>
            <w:tcW w:type="dxa" w:w="4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Volver obligatorias las llaves foráneas que siempre deben tener valor: rol y estado de la cuenta, estado del documento y tipo de acción de la bitácora; y el segundo apellido.</w:t>
            </w:r>
          </w:p>
        </w:tc>
        <w:tc>
          <w:tcPr>
            <w:tcW w:type="dxa" w:w="3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Admiten nulos.</w:t>
            </w:r>
          </w:p>
        </w:tc>
        <w:tc>
          <w:tcPr>
            <w:tcW w:type="dxa" w:w="15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RF‑02, RF‑07, RF‑21</w:t>
            </w:r>
          </w:p>
        </w:tc>
      </w:tr>
      <w:tr>
        <w:trPr>
          <w:cantSplit/>
        </w:trPr>
        <w:tc>
          <w:tcPr>
            <w:tcW w:type="dxa" w:w="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6</w:t>
            </w:r>
          </w:p>
        </w:tc>
        <w:tc>
          <w:tcPr>
            <w:tcW w:type="dxa" w:w="4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Renombrar T_Bitacora.CN_Id_expediente a CN_Id_tema.</w:t>
            </w:r>
          </w:p>
        </w:tc>
        <w:tc>
          <w:tcPr>
            <w:tcW w:type="dxa" w:w="3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CN_Id_expediente.</w:t>
            </w:r>
          </w:p>
        </w:tc>
        <w:tc>
          <w:tcPr>
            <w:tcW w:type="dxa" w:w="15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RT‑06</w:t>
            </w:r>
          </w:p>
        </w:tc>
      </w:tr>
      <w:tr>
        <w:trPr>
          <w:cantSplit/>
        </w:trPr>
        <w:tc>
          <w:tcPr>
            <w:tcW w:type="dxa" w:w="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7</w:t>
            </w:r>
          </w:p>
        </w:tc>
        <w:tc>
          <w:tcPr>
            <w:tcW w:type="dxa" w:w="4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Actualizar los valores de los catálogos: el rol «Usuario Gubernamental» y los tipos de acción en español (sección 7).</w:t>
            </w:r>
          </w:p>
        </w:tc>
        <w:tc>
          <w:tcPr>
            <w:tcW w:type="dxa" w:w="3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«Usuario Judicial», «Login», «Logout», «Consulta RAG» y «Búsqueda de Casos Similares».</w:t>
            </w:r>
          </w:p>
        </w:tc>
        <w:tc>
          <w:tcPr>
            <w:tcW w:type="dxa" w:w="15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RF‑02, RT‑06, RT‑07</w:t>
            </w:r>
          </w:p>
        </w:tc>
      </w:tr>
      <w:tr>
        <w:trPr>
          <w:cantSplit/>
        </w:trPr>
        <w:tc>
          <w:tcPr>
            <w:tcW w:type="dxa" w:w="5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8</w:t>
            </w:r>
          </w:p>
        </w:tc>
        <w:tc>
          <w:tcPr>
            <w:tcW w:type="dxa" w:w="40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Crear los índices para los listados y los filtros de la bitácora, y las restricciones CHECK de la cédula y del tamaño de archivo (sección 6).</w:t>
            </w:r>
          </w:p>
        </w:tc>
        <w:tc>
          <w:tcPr>
            <w:tcW w:type="dxa" w:w="330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Solo existen las llaves primarias y las restricciones de valor único.</w:t>
            </w:r>
          </w:p>
        </w:tc>
        <w:tc>
          <w:tcPr>
            <w:tcW w:type="dxa" w:w="1560"/>
            <w:tcMar>
              <w:top w:type="dxa" w:w="60"/>
              <w:left w:type="dxa" w:w="90"/>
              <w:bottom w:type="dxa" w:w="60"/>
              <w:right w:type="dxa" w:w="90"/>
            </w:tcMar>
          </w:tcPr>
          <w:p>
            <w:pPr>
              <w:keepNext w:val="false"/>
              <w:spacing w:after="0"/>
            </w:pPr>
            <w:r>
              <w:rPr>
                <w:rFonts w:ascii="Calibri" w:cs="Calibri" w:eastAsia="Calibri" w:hAnsi="Calibri"/>
                <w:b w:val="false"/>
                <w:bCs w:val="false"/>
                <w:i w:val="false"/>
                <w:iCs w:val="false"/>
                <w:sz w:val="19"/>
                <w:szCs w:val="19"/>
              </w:rPr>
              <w:t xml:space="preserve">RF‑02, RF‑05, RF‑22, RF‑23, RNF‑01</w:t>
            </w:r>
          </w:p>
        </w:tc>
      </w:tr>
    </w:tbl>
    <w:p>
      <w:pPr>
        <w:keepNext w:val="false"/>
        <w:spacing w:after="80" w:line="276"/>
        <w:jc w:val="both"/>
      </w:pPr>
      <w:r>
        <w:rPr>
          <w:rFonts w:ascii="Calibri" w:cs="Calibri" w:eastAsia="Calibri" w:hAnsi="Calibri"/>
          <w:b w:val="false"/>
          <w:bCs w:val="false"/>
          <w:i w:val="false"/>
          <w:iCs w:val="false"/>
          <w:sz w:val="22"/>
          <w:szCs w:val="22"/>
        </w:rPr>
        <w:t xml:space="preserve"/>
      </w:r>
    </w:p>
    <w:p>
      <w:pPr>
        <w:keepNext w:val="false"/>
        <w:spacing w:after="160" w:line="276"/>
        <w:jc w:val="both"/>
      </w:pPr>
      <w:r>
        <w:rPr>
          <w:rFonts w:ascii="Calibri" w:cs="Calibri" w:eastAsia="Calibri" w:hAnsi="Calibri"/>
          <w:b w:val="false"/>
          <w:bCs w:val="false"/>
          <w:i w:val="false"/>
          <w:iCs w:val="false"/>
          <w:sz w:val="22"/>
          <w:szCs w:val="22"/>
        </w:rPr>
        <w:t xml:space="preserve">Renombrar el esquema implica actualizar también el código que lo usa: los modelos y repositorios, las rutas y los servicios, y las claves de los metadatos de los fragmentos en Qdrant que hoy guardan el tema con la denominación heredada.</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4E79"/>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e867b0bc772016273b63096c4773d0fdec0c3e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2026-09-30T21:30:49.199Z</dcterms:created>
  <dcterms:modified xsi:type="dcterms:W3CDTF">2026-09-30T21:30:49.200Z</dcterms:modified>
</cp:coreProperties>
</file>

<file path=docProps/custom.xml><?xml version="1.0" encoding="utf-8"?>
<Properties xmlns="http://schemas.openxmlformats.org/officeDocument/2006/custom-properties" xmlns:vt="http://schemas.openxmlformats.org/officeDocument/2006/docPropsVTypes"/>
</file>