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8FD5" w14:textId="77777777" w:rsidR="00182870" w:rsidRDefault="00000000">
      <w:pPr>
        <w:spacing w:after="120"/>
      </w:pPr>
      <w:r>
        <w:rPr>
          <w:b/>
          <w:bCs/>
          <w:color w:val="1F4E79"/>
          <w:sz w:val="36"/>
          <w:szCs w:val="36"/>
        </w:rPr>
        <w:t xml:space="preserve">Documento de </w:t>
      </w:r>
      <w:proofErr w:type="spellStart"/>
      <w:r>
        <w:rPr>
          <w:b/>
          <w:bCs/>
          <w:color w:val="1F4E79"/>
          <w:sz w:val="36"/>
          <w:szCs w:val="36"/>
        </w:rPr>
        <w:t>Stakeholders</w:t>
      </w:r>
      <w:proofErr w:type="spellEnd"/>
    </w:p>
    <w:p w14:paraId="4CCC9E71" w14:textId="77777777" w:rsidR="00182870" w:rsidRDefault="00000000">
      <w:pPr>
        <w:spacing w:after="260"/>
      </w:pPr>
      <w:proofErr w:type="spellStart"/>
      <w:r>
        <w:rPr>
          <w:b/>
          <w:bCs/>
          <w:sz w:val="26"/>
          <w:szCs w:val="26"/>
        </w:rPr>
        <w:t>ServIA</w:t>
      </w:r>
      <w:proofErr w:type="spellEnd"/>
      <w:r>
        <w:rPr>
          <w:b/>
          <w:bCs/>
          <w:sz w:val="26"/>
          <w:szCs w:val="26"/>
        </w:rPr>
        <w:t xml:space="preserve"> — Asistente de Inteligencia Artificial para el Sector Público</w:t>
      </w:r>
    </w:p>
    <w:p w14:paraId="60E73A81" w14:textId="77777777" w:rsidR="00182870" w:rsidRDefault="00000000">
      <w:pPr>
        <w:spacing w:after="80"/>
      </w:pPr>
      <w:r>
        <w:rPr>
          <w:b/>
          <w:bCs/>
        </w:rPr>
        <w:t xml:space="preserve">Nombre del proyecto: </w:t>
      </w:r>
      <w:proofErr w:type="spellStart"/>
      <w:r>
        <w:t>ServIA</w:t>
      </w:r>
      <w:proofErr w:type="spellEnd"/>
      <w:r>
        <w:t xml:space="preserve"> — Asistente de Inteligencia Artificial para el Sector Público</w:t>
      </w:r>
    </w:p>
    <w:p w14:paraId="21BC3E75" w14:textId="77777777" w:rsidR="00182870" w:rsidRDefault="00000000">
      <w:pPr>
        <w:spacing w:after="80"/>
      </w:pPr>
      <w:r>
        <w:rPr>
          <w:b/>
          <w:bCs/>
        </w:rPr>
        <w:t xml:space="preserve">Institución que conduce el proyecto: </w:t>
      </w:r>
      <w:r>
        <w:t>MICITT — Dirección de Gobernanza</w:t>
      </w:r>
    </w:p>
    <w:p w14:paraId="4DB4CEF1" w14:textId="77777777" w:rsidR="00182870" w:rsidRDefault="00000000">
      <w:pPr>
        <w:spacing w:after="80"/>
      </w:pPr>
      <w:r>
        <w:rPr>
          <w:b/>
          <w:bCs/>
        </w:rPr>
        <w:t xml:space="preserve">Fecha: </w:t>
      </w:r>
      <w:r>
        <w:t>setiembre 2026</w:t>
      </w:r>
    </w:p>
    <w:p w14:paraId="2C73D57C" w14:textId="77777777" w:rsidR="00182870" w:rsidRDefault="00000000">
      <w:pPr>
        <w:spacing w:after="80"/>
      </w:pPr>
      <w:proofErr w:type="spellStart"/>
      <w:r>
        <w:rPr>
          <w:b/>
          <w:bCs/>
        </w:rPr>
        <w:t>Stakeholder</w:t>
      </w:r>
      <w:proofErr w:type="spellEnd"/>
      <w:r>
        <w:rPr>
          <w:b/>
          <w:bCs/>
        </w:rPr>
        <w:t xml:space="preserve"> principal: </w:t>
      </w:r>
      <w:r>
        <w:t xml:space="preserve">Carlos Morales Castro — </w:t>
      </w:r>
      <w:proofErr w:type="gramStart"/>
      <w:r>
        <w:t>Director</w:t>
      </w:r>
      <w:proofErr w:type="gramEnd"/>
      <w:r>
        <w:t xml:space="preserve"> de Gobernanza, MICITT</w:t>
      </w:r>
    </w:p>
    <w:p w14:paraId="72D1B908" w14:textId="77777777" w:rsidR="00182870" w:rsidRDefault="00000000">
      <w:pPr>
        <w:spacing w:after="80"/>
      </w:pPr>
      <w:r>
        <w:rPr>
          <w:b/>
          <w:bCs/>
        </w:rPr>
        <w:t xml:space="preserve">Versión del documento: </w:t>
      </w:r>
      <w:r>
        <w:t>1.0</w:t>
      </w:r>
    </w:p>
    <w:p w14:paraId="72B45094" w14:textId="77777777" w:rsidR="00182870" w:rsidRDefault="00182870">
      <w:pPr>
        <w:spacing w:after="200"/>
      </w:pPr>
    </w:p>
    <w:p w14:paraId="0A843488" w14:textId="77777777" w:rsidR="00182870" w:rsidRDefault="00000000">
      <w:pPr>
        <w:pStyle w:val="Heading1"/>
      </w:pPr>
      <w:r>
        <w:t>1. Información general del proyecto</w:t>
      </w:r>
    </w:p>
    <w:p w14:paraId="0CDFF524" w14:textId="77777777" w:rsidR="00182870" w:rsidRDefault="00000000">
      <w:pPr>
        <w:spacing w:after="200" w:line="276" w:lineRule="auto"/>
        <w:jc w:val="both"/>
      </w:pPr>
      <w:proofErr w:type="spellStart"/>
      <w:r>
        <w:t>ServIA</w:t>
      </w:r>
      <w:proofErr w:type="spellEnd"/>
      <w:r>
        <w:t xml:space="preserve"> es un asistente de inteligencia artificial gubernamental de propósito general, conducido por la Dirección de Gobernanza del MICITT. Permite a cualquier institución del Sector Público de Costa Rica cargar documentos, extraer su contenido (texto impreso o tipeado capturado por imagen), buscarlos semánticamente y conversar con ellos mediante un asistente que responde citando siempre su fuente, ejecutándose en infraestructura 100% local.</w:t>
      </w:r>
    </w:p>
    <w:p w14:paraId="06CC0E3E" w14:textId="77777777" w:rsidR="00182870" w:rsidRDefault="00000000">
      <w:pPr>
        <w:spacing w:after="200" w:line="276" w:lineRule="auto"/>
        <w:jc w:val="both"/>
      </w:pPr>
      <w:r>
        <w:t xml:space="preserve">El sistema nació como </w:t>
      </w:r>
      <w:proofErr w:type="spellStart"/>
      <w:r>
        <w:t>JusticIA</w:t>
      </w:r>
      <w:proofErr w:type="spellEnd"/>
      <w:r>
        <w:t xml:space="preserve">, orientado exclusivamente a la consulta de expedientes judiciales del Poder Judicial de Costa Rica. Ese caso de uso se mantiene como el corpus con el que el sistema fue validado inicialmente, pero el alcance actual del proyecto es gubernamental amplio: cualquier institución pública del país —no únicamente el Poder Judicial ni el MICITT— puede usar la misma plataforma sobre sus propios documentos, mediante </w:t>
      </w:r>
      <w:proofErr w:type="spellStart"/>
      <w:r>
        <w:t>NotebookServIA</w:t>
      </w:r>
      <w:proofErr w:type="spellEnd"/>
      <w:r>
        <w:t>.</w:t>
      </w:r>
    </w:p>
    <w:p w14:paraId="5D4B21C9" w14:textId="77777777" w:rsidR="00182870" w:rsidRDefault="00000000">
      <w:pPr>
        <w:spacing w:after="200" w:line="276" w:lineRule="auto"/>
        <w:jc w:val="both"/>
      </w:pPr>
      <w:r>
        <w:t xml:space="preserve">El </w:t>
      </w:r>
      <w:proofErr w:type="spellStart"/>
      <w:r>
        <w:t>stakeholder</w:t>
      </w:r>
      <w:proofErr w:type="spellEnd"/>
      <w:r>
        <w:t xml:space="preserve"> principal del proyecto es Carlos Morales Castro, </w:t>
      </w:r>
      <w:proofErr w:type="gramStart"/>
      <w:r>
        <w:t>Director</w:t>
      </w:r>
      <w:proofErr w:type="gramEnd"/>
      <w:r>
        <w:t xml:space="preserve"> de Gobernanza del MICITT, quien define el alcance institucional, valida las decisiones técnicas y autoriza las fuentes de datos del sistema.</w:t>
      </w:r>
    </w:p>
    <w:p w14:paraId="265BFDE1" w14:textId="77777777" w:rsidR="00182870" w:rsidRDefault="00000000">
      <w:pPr>
        <w:pStyle w:val="Heading1"/>
      </w:pPr>
      <w:r>
        <w:t>2. Objetivo del documento</w:t>
      </w:r>
    </w:p>
    <w:p w14:paraId="32275CC2" w14:textId="77777777" w:rsidR="00182870" w:rsidRDefault="00000000">
      <w:pPr>
        <w:spacing w:after="200" w:line="276" w:lineRule="auto"/>
        <w:jc w:val="both"/>
      </w:pPr>
      <w:r>
        <w:t xml:space="preserve">El objetivo de este documento es identificar a las personas, instituciones y servicios que tienen relación con el proyecto </w:t>
      </w:r>
      <w:proofErr w:type="spellStart"/>
      <w:r>
        <w:t>ServIA</w:t>
      </w:r>
      <w:proofErr w:type="spellEnd"/>
      <w:r>
        <w:t xml:space="preserve">, ya sea porque participan en su desarrollo, lo utilizarán directamente o influyen en su funcionamiento. También permite reconocer qué espera cada </w:t>
      </w:r>
      <w:proofErr w:type="spellStart"/>
      <w:r>
        <w:t>stakeholder</w:t>
      </w:r>
      <w:proofErr w:type="spellEnd"/>
      <w:r>
        <w:t xml:space="preserve"> del sistema y cómo debe gestionarse la comunicación con ellos.</w:t>
      </w:r>
    </w:p>
    <w:p w14:paraId="2B1E44E9" w14:textId="77777777" w:rsidR="00182870" w:rsidRDefault="00000000">
      <w:pPr>
        <w:pStyle w:val="Heading1"/>
      </w:pPr>
      <w:r>
        <w:t xml:space="preserve">3. </w:t>
      </w:r>
      <w:proofErr w:type="spellStart"/>
      <w:r>
        <w:t>Stakeholders</w:t>
      </w:r>
      <w:proofErr w:type="spellEnd"/>
      <w:r>
        <w:t xml:space="preserve"> identificados</w:t>
      </w:r>
    </w:p>
    <w:p w14:paraId="43466E98" w14:textId="77777777" w:rsidR="00182870" w:rsidRDefault="00000000">
      <w:pPr>
        <w:spacing w:after="200" w:line="276" w:lineRule="auto"/>
        <w:jc w:val="both"/>
      </w:pPr>
      <w:r>
        <w:t xml:space="preserve">Los </w:t>
      </w:r>
      <w:proofErr w:type="spellStart"/>
      <w:r>
        <w:t>stakeholders</w:t>
      </w:r>
      <w:proofErr w:type="spellEnd"/>
      <w:r>
        <w:t xml:space="preserve"> del proyecto se dividen en internos y externos, según su relación directa con la conducción, el desarrollo o el uso del sistema.</w:t>
      </w:r>
    </w:p>
    <w:p w14:paraId="000D8FCB" w14:textId="77777777" w:rsidR="00182870" w:rsidRDefault="00000000">
      <w:pPr>
        <w:pStyle w:val="Heading2"/>
      </w:pPr>
      <w:r>
        <w:t xml:space="preserve">3.1 </w:t>
      </w:r>
      <w:proofErr w:type="spellStart"/>
      <w:r>
        <w:t>Stakeholders</w:t>
      </w:r>
      <w:proofErr w:type="spellEnd"/>
      <w:r>
        <w:t xml:space="preserve"> internos</w:t>
      </w:r>
    </w:p>
    <w:p w14:paraId="235218AB" w14:textId="77777777" w:rsidR="00182870" w:rsidRDefault="00000000">
      <w:pPr>
        <w:spacing w:after="200" w:line="276" w:lineRule="auto"/>
        <w:jc w:val="both"/>
      </w:pPr>
      <w:r>
        <w:rPr>
          <w:b/>
          <w:bCs/>
        </w:rPr>
        <w:lastRenderedPageBreak/>
        <w:t xml:space="preserve">Carlos Morales Castro: </w:t>
      </w:r>
      <w:proofErr w:type="gramStart"/>
      <w:r>
        <w:t>Director</w:t>
      </w:r>
      <w:proofErr w:type="gramEnd"/>
      <w:r>
        <w:t xml:space="preserve"> de Gobernanza del MICITT y </w:t>
      </w:r>
      <w:proofErr w:type="spellStart"/>
      <w:r>
        <w:t>stakeholder</w:t>
      </w:r>
      <w:proofErr w:type="spellEnd"/>
      <w:r>
        <w:t xml:space="preserve"> principal del proyecto. Define el alcance institucional, valida los requerimientos, autoriza las fuentes de datos (por ejemplo, </w:t>
      </w:r>
      <w:proofErr w:type="spellStart"/>
      <w:r>
        <w:t>Nexus.PJ</w:t>
      </w:r>
      <w:proofErr w:type="spellEnd"/>
      <w:r>
        <w:t>) y aprueba las decisiones técnicas relevantes.</w:t>
      </w:r>
    </w:p>
    <w:p w14:paraId="1F891B43" w14:textId="77777777" w:rsidR="00182870" w:rsidRDefault="00000000">
      <w:pPr>
        <w:spacing w:after="200" w:line="276" w:lineRule="auto"/>
        <w:jc w:val="both"/>
      </w:pPr>
      <w:r>
        <w:rPr>
          <w:b/>
          <w:bCs/>
        </w:rPr>
        <w:t xml:space="preserve">MICITT — Dirección de Gobernanza: </w:t>
      </w:r>
      <w:r>
        <w:t xml:space="preserve">Institución que conduce el proyecto </w:t>
      </w:r>
      <w:proofErr w:type="spellStart"/>
      <w:r>
        <w:t>ServIA</w:t>
      </w:r>
      <w:proofErr w:type="spellEnd"/>
      <w:r>
        <w:t>. Establece el mandato de que el sistema sirva a cualquier institución del Sector Público, no solo a una.</w:t>
      </w:r>
    </w:p>
    <w:p w14:paraId="69E790DC" w14:textId="77777777" w:rsidR="00182870" w:rsidRDefault="00000000">
      <w:pPr>
        <w:spacing w:after="200" w:line="276" w:lineRule="auto"/>
        <w:jc w:val="both"/>
      </w:pPr>
      <w:r>
        <w:rPr>
          <w:b/>
          <w:bCs/>
        </w:rPr>
        <w:t xml:space="preserve">Andrés Josué Araya Agüero: </w:t>
      </w:r>
      <w:r>
        <w:t>Estudiante de la Universidad de Costa Rica, actual practicante y, en la práctica, la totalidad del equipo de desarrollo actual del proyecto. Es responsable de diseñar, desarrollar, probar y documentar el sistema, así como de realizar la investigación técnica necesaria, dentro del período académico de su Práctica Profesional Supervisada.</w:t>
      </w:r>
    </w:p>
    <w:p w14:paraId="73AD389C" w14:textId="77777777" w:rsidR="00182870" w:rsidRDefault="00000000">
      <w:pPr>
        <w:spacing w:after="200" w:line="276" w:lineRule="auto"/>
        <w:jc w:val="both"/>
      </w:pPr>
      <w:r>
        <w:rPr>
          <w:b/>
          <w:bCs/>
        </w:rPr>
        <w:t>Equipo de desarrollo original (</w:t>
      </w:r>
      <w:proofErr w:type="spellStart"/>
      <w:r>
        <w:rPr>
          <w:b/>
          <w:bCs/>
        </w:rPr>
        <w:t>JusticIA</w:t>
      </w:r>
      <w:proofErr w:type="spellEnd"/>
      <w:r>
        <w:rPr>
          <w:b/>
          <w:bCs/>
        </w:rPr>
        <w:t xml:space="preserve">): </w:t>
      </w:r>
      <w:r>
        <w:t xml:space="preserve">Yeslin Chinchilla Ruiz y Roger Calderón Urbina, pasantes de la Universidad de Costa Rica que construyeron el sistema </w:t>
      </w:r>
      <w:proofErr w:type="spellStart"/>
      <w:r>
        <w:t>JusticIA</w:t>
      </w:r>
      <w:proofErr w:type="spellEnd"/>
      <w:r>
        <w:t xml:space="preserve"> durante el año anterior (2025). Ya no son parte activa del proyecto; su trabajo —el </w:t>
      </w:r>
      <w:proofErr w:type="spellStart"/>
      <w:r>
        <w:t>backend</w:t>
      </w:r>
      <w:proofErr w:type="spellEnd"/>
      <w:r>
        <w:t xml:space="preserve"> y </w:t>
      </w:r>
      <w:proofErr w:type="spellStart"/>
      <w:r>
        <w:t>frontend</w:t>
      </w:r>
      <w:proofErr w:type="spellEnd"/>
      <w:r>
        <w:t xml:space="preserve"> inicial, los módulos de seguridad, ingesta, asistente de consulta y búsqueda de casos similares— es la base sobre la que se construye </w:t>
      </w:r>
      <w:proofErr w:type="spellStart"/>
      <w:r>
        <w:t>ServIA</w:t>
      </w:r>
      <w:proofErr w:type="spellEnd"/>
      <w:r>
        <w:t>.</w:t>
      </w:r>
    </w:p>
    <w:p w14:paraId="5761C011" w14:textId="77777777" w:rsidR="00182870" w:rsidRDefault="00000000">
      <w:pPr>
        <w:pStyle w:val="Heading2"/>
      </w:pPr>
      <w:r>
        <w:t xml:space="preserve">3.2 </w:t>
      </w:r>
      <w:proofErr w:type="spellStart"/>
      <w:r>
        <w:t>Stakeholders</w:t>
      </w:r>
      <w:proofErr w:type="spellEnd"/>
      <w:r>
        <w:t xml:space="preserve"> externos</w:t>
      </w:r>
    </w:p>
    <w:p w14:paraId="5C122EB5" w14:textId="77777777" w:rsidR="00182870" w:rsidRDefault="00000000">
      <w:pPr>
        <w:spacing w:after="200" w:line="276" w:lineRule="auto"/>
        <w:jc w:val="both"/>
      </w:pPr>
      <w:r>
        <w:rPr>
          <w:b/>
          <w:bCs/>
        </w:rPr>
        <w:t xml:space="preserve">Usuario Gubernamental: </w:t>
      </w:r>
      <w:proofErr w:type="gramStart"/>
      <w:r>
        <w:t>Funcionario</w:t>
      </w:r>
      <w:proofErr w:type="gramEnd"/>
      <w:r>
        <w:t xml:space="preserve"> público de cualquier institución del Sector Público de Costa Rica que utiliza el sistema para consultar, analizar y organizar documentos institucionales. No se limita a una sola institución: el Poder Judicial es hoy el segmento con el que el sistema fue validado, pero el sistema está pensado para que cualquier entidad de gobierno —el Poder Judicial, el MICITT u otra— pueda usarlo sobre sus propios documentos.</w:t>
      </w:r>
    </w:p>
    <w:p w14:paraId="4096AA20" w14:textId="77777777" w:rsidR="00182870" w:rsidRDefault="00000000">
      <w:pPr>
        <w:spacing w:after="200" w:line="276" w:lineRule="auto"/>
        <w:jc w:val="both"/>
      </w:pPr>
      <w:r>
        <w:rPr>
          <w:b/>
          <w:bCs/>
        </w:rPr>
        <w:t xml:space="preserve">Poder Judicial de Costa Rica: </w:t>
      </w:r>
      <w:r>
        <w:t xml:space="preserve">Institución de origen del proyecto, como </w:t>
      </w:r>
      <w:proofErr w:type="spellStart"/>
      <w:r>
        <w:t>JusticIA</w:t>
      </w:r>
      <w:proofErr w:type="spellEnd"/>
      <w:r>
        <w:t xml:space="preserve"> (2025). Su corpus de expedientes judiciales sigue siendo la base con la que el sistema fue validado inicialmente, pero ya no es cliente ni parte interesada activa del proyecto; su papel hoy es histórico.</w:t>
      </w:r>
    </w:p>
    <w:p w14:paraId="6F095554" w14:textId="77777777" w:rsidR="00182870" w:rsidRDefault="00000000">
      <w:pPr>
        <w:spacing w:after="200" w:line="276" w:lineRule="auto"/>
        <w:jc w:val="both"/>
      </w:pPr>
      <w:proofErr w:type="spellStart"/>
      <w:r>
        <w:rPr>
          <w:b/>
          <w:bCs/>
        </w:rPr>
        <w:t>Nexus.PJ</w:t>
      </w:r>
      <w:proofErr w:type="spellEnd"/>
      <w:r>
        <w:rPr>
          <w:b/>
          <w:bCs/>
        </w:rPr>
        <w:t xml:space="preserve">: </w:t>
      </w:r>
      <w:r>
        <w:t>Sistema de búsqueda de jurisprudencia, actas, circulares y avisos del Poder Judicial. Fuente de datos externa propuesta para ampliar el corpus del sistema hacia documentos de interés general para el país; se envió una solicitud formal al tutor el 25 de setiembre de 2026, cuya respuesta está pendiente.</w:t>
      </w:r>
    </w:p>
    <w:p w14:paraId="541B7133" w14:textId="77777777" w:rsidR="00182870" w:rsidRDefault="00000000">
      <w:pPr>
        <w:spacing w:after="200" w:line="276" w:lineRule="auto"/>
        <w:jc w:val="both"/>
      </w:pPr>
      <w:r>
        <w:rPr>
          <w:b/>
          <w:bCs/>
        </w:rPr>
        <w:t>Institución universitaria del corpus SPA-</w:t>
      </w:r>
      <w:proofErr w:type="spellStart"/>
      <w:r>
        <w:rPr>
          <w:b/>
          <w:bCs/>
        </w:rPr>
        <w:t>Sentences</w:t>
      </w:r>
      <w:proofErr w:type="spellEnd"/>
      <w:r>
        <w:rPr>
          <w:b/>
          <w:bCs/>
        </w:rPr>
        <w:t xml:space="preserve">: </w:t>
      </w:r>
      <w:r>
        <w:t>Fuente potencial de un corpus de manuscrito en español. El reconocimiento de escritura a mano ya está documentado como una limitación fijada y aceptada del sistema, no como parte de su enfoque actual; si se recibe una respuesta favorable a la solicitud enviada, el uso de este corpus se consideraría un valor agregado adicional al proyecto, sin cambiar dicho enfoque. Solicitud enviada, respuesta pendiente.</w:t>
      </w:r>
    </w:p>
    <w:p w14:paraId="3BD28AC4" w14:textId="77777777" w:rsidR="00182870" w:rsidRDefault="00000000">
      <w:pPr>
        <w:pStyle w:val="Heading1"/>
      </w:pPr>
      <w:r>
        <w:t xml:space="preserve">4. Necesidades principales de los </w:t>
      </w:r>
      <w:proofErr w:type="spellStart"/>
      <w:r>
        <w:t>stakeholders</w:t>
      </w:r>
      <w:proofErr w:type="spellEnd"/>
    </w:p>
    <w:p w14:paraId="172267DC" w14:textId="77777777" w:rsidR="00182870" w:rsidRDefault="00000000">
      <w:pPr>
        <w:spacing w:after="200" w:line="276" w:lineRule="auto"/>
        <w:jc w:val="both"/>
      </w:pPr>
      <w:r>
        <w:t>Carlos Morales Castro y el MICITT necesitan que el sistema demuestre ser una herramienta viable para cualquier institución de gobierno, lo que requiere ampliar su corpus de documentos más allá de lo estrictamente judicial y generalizar el vocabulario del sistema hacia un enfoque neutro.</w:t>
      </w:r>
    </w:p>
    <w:p w14:paraId="1DF7108E" w14:textId="77777777" w:rsidR="00182870" w:rsidRDefault="00000000">
      <w:pPr>
        <w:spacing w:after="200" w:line="276" w:lineRule="auto"/>
        <w:jc w:val="both"/>
      </w:pPr>
      <w:r>
        <w:lastRenderedPageBreak/>
        <w:t>El Usuario Gubernamental necesita consultar y analizar los documentos de su institución de forma rápida y confiable, con respuestas verificables y sin que su información salga de la infraestructura local.</w:t>
      </w:r>
    </w:p>
    <w:p w14:paraId="2A42E2D1" w14:textId="77777777" w:rsidR="00182870" w:rsidRDefault="00000000">
      <w:pPr>
        <w:spacing w:after="200" w:line="276" w:lineRule="auto"/>
        <w:jc w:val="both"/>
      </w:pPr>
      <w:r>
        <w:t>Andrés Araya Agüero, como único desarrollador del proyecto, necesita requerimientos claros y estables por parte del tutor, dado que cualquier ambigüedad o cambio de alcance tiene un impacto directo y no puede repartirse entre varias personas.</w:t>
      </w:r>
    </w:p>
    <w:p w14:paraId="63042D7C" w14:textId="77777777" w:rsidR="00182870" w:rsidRDefault="00000000">
      <w:pPr>
        <w:spacing w:after="200" w:line="276" w:lineRule="auto"/>
        <w:jc w:val="both"/>
      </w:pPr>
      <w:r>
        <w:t xml:space="preserve">El Poder Judicial, aunque ya no es un </w:t>
      </w:r>
      <w:proofErr w:type="spellStart"/>
      <w:r>
        <w:t>stakeholder</w:t>
      </w:r>
      <w:proofErr w:type="spellEnd"/>
      <w:r>
        <w:t xml:space="preserve"> activo, sigue siendo el origen del corpus con el que el sistema opera hoy; su necesidad histórica —contar con un asistente de consulta de expedientes— quedó cubierta desde </w:t>
      </w:r>
      <w:proofErr w:type="spellStart"/>
      <w:r>
        <w:t>JusticIA</w:t>
      </w:r>
      <w:proofErr w:type="spellEnd"/>
      <w:r>
        <w:t>.</w:t>
      </w:r>
    </w:p>
    <w:p w14:paraId="3251EBC7" w14:textId="77777777" w:rsidR="00182870" w:rsidRDefault="00000000">
      <w:pPr>
        <w:spacing w:after="200" w:line="276" w:lineRule="auto"/>
        <w:jc w:val="both"/>
      </w:pPr>
      <w:proofErr w:type="spellStart"/>
      <w:r>
        <w:t>Nexus.PJ</w:t>
      </w:r>
      <w:proofErr w:type="spellEnd"/>
      <w:r>
        <w:t xml:space="preserve"> y la institución universitaria del corpus SPA-</w:t>
      </w:r>
      <w:proofErr w:type="spellStart"/>
      <w:r>
        <w:t>Sentences</w:t>
      </w:r>
      <w:proofErr w:type="spellEnd"/>
      <w:r>
        <w:t xml:space="preserve"> necesitan que, de autorizarse su uso, este se mantenga dentro de los términos que cada una defina.</w:t>
      </w:r>
    </w:p>
    <w:p w14:paraId="0BCF0331" w14:textId="77777777" w:rsidR="00182870" w:rsidRDefault="00000000">
      <w:pPr>
        <w:pStyle w:val="Heading1"/>
      </w:pPr>
      <w:r>
        <w:t xml:space="preserve">5. Nivel de importancia de los </w:t>
      </w:r>
      <w:proofErr w:type="spellStart"/>
      <w:r>
        <w:t>stakeholders</w:t>
      </w:r>
      <w:proofErr w:type="spellEnd"/>
    </w:p>
    <w:p w14:paraId="1FBA36BC" w14:textId="77777777" w:rsidR="00182870" w:rsidRDefault="00000000">
      <w:pPr>
        <w:spacing w:after="200" w:line="276" w:lineRule="auto"/>
        <w:jc w:val="both"/>
      </w:pPr>
      <w:r>
        <w:t xml:space="preserve">Los </w:t>
      </w:r>
      <w:proofErr w:type="spellStart"/>
      <w:r>
        <w:t>stakeholders</w:t>
      </w:r>
      <w:proofErr w:type="spellEnd"/>
      <w:r>
        <w:t xml:space="preserve"> más determinantes para el proyecto son Carlos Morales Castro, el Usuario Gubernamental y Andrés Araya Agüero, por su relación directa con el éxito del sistema.</w:t>
      </w:r>
    </w:p>
    <w:p w14:paraId="45D28C29" w14:textId="77777777" w:rsidR="00182870" w:rsidRDefault="00000000">
      <w:pPr>
        <w:spacing w:after="200" w:line="276" w:lineRule="auto"/>
        <w:jc w:val="both"/>
      </w:pPr>
      <w:r>
        <w:t>Carlos Morales Castro tiene alta influencia porque define el alcance institucional y autoriza las decisiones clave del proyecto (fuentes de datos, generalización del modelo de datos, prioridades). El Usuario Gubernamental tiene alto interés porque es quien usará la herramienta en su trabajo diario. Andrés Araya Agüero tiene alta influencia porque, al ser la totalidad del equipo de desarrollo, toda decisión técnica del proyecto pasa por él.</w:t>
      </w:r>
    </w:p>
    <w:p w14:paraId="3957CDC6" w14:textId="77777777" w:rsidR="00182870" w:rsidRDefault="00000000">
      <w:pPr>
        <w:spacing w:after="200" w:line="276" w:lineRule="auto"/>
        <w:jc w:val="both"/>
      </w:pPr>
      <w:r>
        <w:t xml:space="preserve">El Poder Judicial mantiene una importancia relevante pero decreciente: su corpus sigue siendo la base operativa del sistema hoy, aunque su influencia sobre las decisiones del proyecto ya no es activa. </w:t>
      </w:r>
      <w:proofErr w:type="spellStart"/>
      <w:r>
        <w:t>Nexus.PJ</w:t>
      </w:r>
      <w:proofErr w:type="spellEnd"/>
      <w:r>
        <w:t xml:space="preserve"> es importante por ser la fuente de datos de la que depende ampliar el corpus del sistema hacia un alcance gubernamental más amplio. La institución universitaria del corpus de manuscrito tiene una importancia baja: de responder favorablemente, representaría un valor agregado adicional, no un cambio en el enfoque ya definido del proyecto.</w:t>
      </w:r>
    </w:p>
    <w:p w14:paraId="787DE657" w14:textId="77777777" w:rsidR="00182870" w:rsidRDefault="00000000">
      <w:pPr>
        <w:pStyle w:val="Heading1"/>
      </w:pPr>
      <w:r>
        <w:t xml:space="preserve">6. Comunicación con los </w:t>
      </w:r>
      <w:proofErr w:type="spellStart"/>
      <w:r>
        <w:t>stakeholders</w:t>
      </w:r>
      <w:proofErr w:type="spellEnd"/>
    </w:p>
    <w:p w14:paraId="10FA8767" w14:textId="77777777" w:rsidR="00182870" w:rsidRDefault="00000000">
      <w:pPr>
        <w:spacing w:after="200" w:line="276" w:lineRule="auto"/>
        <w:jc w:val="both"/>
      </w:pPr>
      <w:r>
        <w:t>La comunicación con Carlos Morales Castro se realiza mediante reuniones periódicas y correo, para validar avances, resolver dudas técnicas e institucionales, y confirmar decisiones importantes (como el uso de una fuente de datos o un cambio de alcance).</w:t>
      </w:r>
    </w:p>
    <w:p w14:paraId="76292E31" w14:textId="2DB6A888" w:rsidR="00182870" w:rsidRDefault="00000000">
      <w:pPr>
        <w:spacing w:after="200" w:line="276" w:lineRule="auto"/>
        <w:jc w:val="both"/>
      </w:pPr>
      <w:r>
        <w:t>El avance técnico del proyecto queda registrado de forma continua en la documentación interna que sirve como bitácora de trabajo consultable por el tutor en cualquier momento, además de los reportes de avance semanal.</w:t>
      </w:r>
    </w:p>
    <w:p w14:paraId="24DDFB59" w14:textId="77777777" w:rsidR="00182870" w:rsidRDefault="00000000">
      <w:pPr>
        <w:spacing w:after="200" w:line="276" w:lineRule="auto"/>
        <w:jc w:val="both"/>
      </w:pPr>
      <w:r>
        <w:t>La comunicación con otras instituciones del Sector Público, más allá del Poder Judicial, todavía no está formalizada; se espera que sea coordinada directamente por la Dirección de Gobernanza del MICITT conforme el proyecto amplíe su corpus y su base de usuarios.</w:t>
      </w:r>
    </w:p>
    <w:p w14:paraId="73004E62" w14:textId="77777777" w:rsidR="00182870" w:rsidRDefault="00000000">
      <w:pPr>
        <w:spacing w:after="200" w:line="276" w:lineRule="auto"/>
        <w:jc w:val="both"/>
      </w:pPr>
      <w:r>
        <w:lastRenderedPageBreak/>
        <w:t>La comunicación con fuentes de datos externas (</w:t>
      </w:r>
      <w:proofErr w:type="spellStart"/>
      <w:r>
        <w:t>Nexus.PJ</w:t>
      </w:r>
      <w:proofErr w:type="spellEnd"/>
      <w:r>
        <w:t>, la institución universitaria del corpus SPA-</w:t>
      </w:r>
      <w:proofErr w:type="spellStart"/>
      <w:r>
        <w:t>Sentences</w:t>
      </w:r>
      <w:proofErr w:type="spellEnd"/>
      <w:r>
        <w:t>) se realiza por correo institucional, dejando constancia escrita de cada solicitud enviada y de la respuesta que se reciba.</w:t>
      </w:r>
    </w:p>
    <w:p w14:paraId="6DCC099F" w14:textId="77777777" w:rsidR="00182870" w:rsidRDefault="00000000">
      <w:pPr>
        <w:pStyle w:val="Heading1"/>
      </w:pPr>
      <w:r>
        <w:t>7. Responsabilidades principales</w:t>
      </w:r>
    </w:p>
    <w:p w14:paraId="479A1B10" w14:textId="77777777" w:rsidR="00182870" w:rsidRDefault="00000000">
      <w:pPr>
        <w:spacing w:after="200" w:line="276" w:lineRule="auto"/>
        <w:jc w:val="both"/>
      </w:pPr>
      <w:r>
        <w:t>Carlos Morales Castro debe definir el alcance institucional, validar los requerimientos, autorizar el uso de fuentes de datos y aprobar las decisiones técnicas relevantes del proyecto.</w:t>
      </w:r>
    </w:p>
    <w:p w14:paraId="7E0D09DA" w14:textId="77777777" w:rsidR="00182870" w:rsidRDefault="00000000">
      <w:pPr>
        <w:spacing w:after="200" w:line="276" w:lineRule="auto"/>
        <w:jc w:val="both"/>
      </w:pPr>
      <w:r>
        <w:t>Andrés Araya Agüero debe diseñar, desarrollar, probar y documentar el sistema, investigar las soluciones técnicas necesarias, y mantener informado al tutor sobre el avance y los hallazgos relevantes.</w:t>
      </w:r>
    </w:p>
    <w:p w14:paraId="553FF69E" w14:textId="77777777" w:rsidR="00182870" w:rsidRDefault="00000000">
      <w:pPr>
        <w:spacing w:after="200" w:line="276" w:lineRule="auto"/>
        <w:jc w:val="both"/>
      </w:pPr>
      <w:r>
        <w:t>El Usuario Gubernamental debe utilizar el sistema para consultar y analizar documentos de su institución, y brindar retroalimentación sobre su funcionamiento cuando corresponda.</w:t>
      </w:r>
    </w:p>
    <w:p w14:paraId="11E4E025" w14:textId="77777777" w:rsidR="00182870" w:rsidRDefault="00000000">
      <w:pPr>
        <w:spacing w:after="200" w:line="276" w:lineRule="auto"/>
        <w:jc w:val="both"/>
      </w:pPr>
      <w:r>
        <w:t>El Poder Judicial no tiene responsabilidades activas sobre el proyecto; su papel se limita a haber sido el origen del corpus con el que el sistema fue validado.</w:t>
      </w:r>
    </w:p>
    <w:p w14:paraId="1477AFA1" w14:textId="77777777" w:rsidR="00182870" w:rsidRDefault="00000000">
      <w:pPr>
        <w:spacing w:after="200" w:line="276" w:lineRule="auto"/>
        <w:jc w:val="both"/>
      </w:pPr>
      <w:proofErr w:type="spellStart"/>
      <w:r>
        <w:t>Nexus.PJ</w:t>
      </w:r>
      <w:proofErr w:type="spellEnd"/>
      <w:r>
        <w:t xml:space="preserve"> y la institución universitaria del corpus de manuscrito deben mantener disponible y actualizada la información que autoricen compartir con el proyecto, dentro de los términos acordados.</w:t>
      </w:r>
    </w:p>
    <w:p w14:paraId="4E997234" w14:textId="77777777" w:rsidR="00182870" w:rsidRDefault="00000000">
      <w:pPr>
        <w:pStyle w:val="Heading1"/>
      </w:pPr>
      <w:r>
        <w:t xml:space="preserve">8. Riesgos relacionados con </w:t>
      </w:r>
      <w:proofErr w:type="spellStart"/>
      <w:r>
        <w:t>stakeholders</w:t>
      </w:r>
      <w:proofErr w:type="spellEnd"/>
    </w:p>
    <w:p w14:paraId="6FBF1000" w14:textId="77777777" w:rsidR="00182870" w:rsidRDefault="00000000">
      <w:pPr>
        <w:spacing w:after="200" w:line="276" w:lineRule="auto"/>
        <w:jc w:val="both"/>
      </w:pPr>
      <w:r>
        <w:t xml:space="preserve">El principal riesgo es que el corpus del sistema siga siendo predominantemente judicial y el proyecto no logre demostrar, a tiempo para su presentación final, un alcance gubernamental realmente amplio. Reducirlo depende en parte de la solicitud de uso de </w:t>
      </w:r>
      <w:proofErr w:type="spellStart"/>
      <w:r>
        <w:t>Nexus.PJ</w:t>
      </w:r>
      <w:proofErr w:type="spellEnd"/>
      <w:r>
        <w:t>, enviada al tutor el 25 de setiembre de 2026 y aún sin respuesta.</w:t>
      </w:r>
    </w:p>
    <w:p w14:paraId="0FD5CB69" w14:textId="77777777" w:rsidR="00182870" w:rsidRDefault="00000000">
      <w:pPr>
        <w:spacing w:after="200" w:line="276" w:lineRule="auto"/>
        <w:jc w:val="both"/>
      </w:pPr>
      <w:r>
        <w:t>Otro riesgo real es que, al ser un equipo de desarrollo compuesto por una sola persona, cualquier imprevisto (de salud, de tiempo o de prioridades) afecte de forma directa el avance del proyecto, sin posibilidad de redistribuir el trabajo entre más personas.</w:t>
      </w:r>
    </w:p>
    <w:p w14:paraId="17E934EB" w14:textId="77777777" w:rsidR="00182870" w:rsidRDefault="00000000">
      <w:pPr>
        <w:spacing w:after="200" w:line="276" w:lineRule="auto"/>
        <w:jc w:val="both"/>
      </w:pPr>
      <w:r>
        <w:t>También existe el riesgo de que, al no existir todavía una suite de pruebas automatizadas, errores de configuración lleguen a pasar desapercibidos durante un tiempo antes de detectarse manualmente, como ya ocurrió más de una vez durante el desarrollo.</w:t>
      </w:r>
    </w:p>
    <w:p w14:paraId="689FD091" w14:textId="77777777" w:rsidR="00182870" w:rsidRDefault="00000000">
      <w:pPr>
        <w:spacing w:after="200" w:line="276" w:lineRule="auto"/>
        <w:jc w:val="both"/>
      </w:pPr>
      <w:r>
        <w:t>Existe además el riesgo de que la cuenta de correo de desarrollo no quede configurada a tiempo, dejando sin efecto real la recuperación de contraseña para usuarios reales del sistema.</w:t>
      </w:r>
    </w:p>
    <w:sectPr w:rsidR="001828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715F8"/>
    <w:multiLevelType w:val="hybridMultilevel"/>
    <w:tmpl w:val="0B2AA1A2"/>
    <w:lvl w:ilvl="0" w:tplc="5466419C" w:tentative="1">
      <w:start w:val="1"/>
      <w:numFmt w:val="bullet"/>
      <w:lvlText w:val="●"/>
      <w:lvlJc w:val="left"/>
      <w:pPr>
        <w:ind w:left="720" w:hanging="360"/>
      </w:pPr>
    </w:lvl>
    <w:lvl w:ilvl="1" w:tplc="928697E4" w:tentative="1">
      <w:start w:val="1"/>
      <w:numFmt w:val="bullet"/>
      <w:lvlText w:val="○"/>
      <w:lvlJc w:val="left"/>
      <w:pPr>
        <w:ind w:left="1440" w:hanging="360"/>
      </w:pPr>
    </w:lvl>
    <w:lvl w:ilvl="2" w:tplc="7DAC9266" w:tentative="1">
      <w:start w:val="1"/>
      <w:numFmt w:val="bullet"/>
      <w:lvlText w:val="■"/>
      <w:lvlJc w:val="left"/>
      <w:pPr>
        <w:ind w:left="2160" w:hanging="360"/>
      </w:pPr>
    </w:lvl>
    <w:lvl w:ilvl="3" w:tplc="C11615A8" w:tentative="1">
      <w:start w:val="1"/>
      <w:numFmt w:val="bullet"/>
      <w:lvlText w:val="●"/>
      <w:lvlJc w:val="left"/>
      <w:pPr>
        <w:ind w:left="2880" w:hanging="360"/>
      </w:pPr>
    </w:lvl>
    <w:lvl w:ilvl="4" w:tplc="378C78C6" w:tentative="1">
      <w:start w:val="1"/>
      <w:numFmt w:val="bullet"/>
      <w:lvlText w:val="○"/>
      <w:lvlJc w:val="left"/>
      <w:pPr>
        <w:ind w:left="3600" w:hanging="360"/>
      </w:pPr>
    </w:lvl>
    <w:lvl w:ilvl="5" w:tplc="C592EF4C" w:tentative="1">
      <w:start w:val="1"/>
      <w:numFmt w:val="bullet"/>
      <w:lvlText w:val="■"/>
      <w:lvlJc w:val="left"/>
      <w:pPr>
        <w:ind w:left="4320" w:hanging="360"/>
      </w:pPr>
    </w:lvl>
    <w:lvl w:ilvl="6" w:tplc="B888D29C" w:tentative="1">
      <w:start w:val="1"/>
      <w:numFmt w:val="bullet"/>
      <w:lvlText w:val="●"/>
      <w:lvlJc w:val="left"/>
      <w:pPr>
        <w:ind w:left="5040" w:hanging="360"/>
      </w:pPr>
    </w:lvl>
    <w:lvl w:ilvl="7" w:tplc="2B7EC4CA" w:tentative="1">
      <w:start w:val="1"/>
      <w:numFmt w:val="bullet"/>
      <w:lvlText w:val="●"/>
      <w:lvlJc w:val="left"/>
      <w:pPr>
        <w:ind w:left="5760" w:hanging="360"/>
      </w:pPr>
    </w:lvl>
    <w:lvl w:ilvl="8" w:tplc="FCA012E6" w:tentative="1">
      <w:start w:val="1"/>
      <w:numFmt w:val="bullet"/>
      <w:lvlText w:val="●"/>
      <w:lvlJc w:val="left"/>
      <w:pPr>
        <w:ind w:left="6480" w:hanging="360"/>
      </w:pPr>
    </w:lvl>
  </w:abstractNum>
  <w:num w:numId="1" w16cid:durableId="932931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870"/>
    <w:rsid w:val="00182870"/>
    <w:rsid w:val="005633DD"/>
    <w:rsid w:val="00EB16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F38E2"/>
  <w15:docId w15:val="{EDF58A04-C858-4E9E-B012-3BF67B216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80"/>
      <w:outlineLvl w:val="0"/>
    </w:pPr>
    <w:rPr>
      <w:b/>
      <w:bCs/>
      <w:color w:val="1F4E79"/>
      <w:sz w:val="28"/>
      <w:szCs w:val="28"/>
    </w:rPr>
  </w:style>
  <w:style w:type="paragraph" w:styleId="Heading2">
    <w:name w:val="heading 2"/>
    <w:basedOn w:val="Normal"/>
    <w:next w:val="Normal"/>
    <w:uiPriority w:val="9"/>
    <w:unhideWhenUsed/>
    <w:qFormat/>
    <w:pPr>
      <w:spacing w:before="240" w:after="120"/>
      <w:outlineLvl w:val="1"/>
    </w:pPr>
    <w:rPr>
      <w:b/>
      <w:bCs/>
      <w:color w:val="1F4E79"/>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1581</Words>
  <Characters>8697</Characters>
  <Application>Microsoft Office Word</Application>
  <DocSecurity>0</DocSecurity>
  <Lines>72</Lines>
  <Paragraphs>20</Paragraphs>
  <ScaleCrop>false</ScaleCrop>
  <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Araya</cp:lastModifiedBy>
  <cp:revision>2</cp:revision>
  <dcterms:created xsi:type="dcterms:W3CDTF">2026-09-29T21:19:00Z</dcterms:created>
  <dcterms:modified xsi:type="dcterms:W3CDTF">2026-09-29T22:07:00Z</dcterms:modified>
</cp:coreProperties>
</file>