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A8875" w14:textId="77777777" w:rsidR="00345F67" w:rsidRPr="00345F67" w:rsidRDefault="00345F67" w:rsidP="00345F67">
      <w:pPr>
        <w:rPr>
          <w:b/>
          <w:bCs/>
        </w:rPr>
      </w:pPr>
      <w:r w:rsidRPr="00345F67">
        <w:rPr>
          <w:b/>
          <w:bCs/>
        </w:rPr>
        <w:t>Continuación del Caso</w:t>
      </w:r>
    </w:p>
    <w:p w14:paraId="4B11D1E9" w14:textId="77777777" w:rsidR="00345F67" w:rsidRPr="00345F67" w:rsidRDefault="00345F67" w:rsidP="00345F67">
      <w:r w:rsidRPr="00345F67">
        <w:rPr>
          <w:b/>
          <w:bCs/>
        </w:rPr>
        <w:t>Expediente:</w:t>
      </w:r>
      <w:r w:rsidRPr="00345F67">
        <w:t xml:space="preserve"> 2022-875137-6050-CO</w:t>
      </w:r>
      <w:r w:rsidRPr="00345F67">
        <w:br/>
      </w:r>
      <w:r w:rsidRPr="00345F67">
        <w:rPr>
          <w:b/>
          <w:bCs/>
        </w:rPr>
        <w:t>Materia:</w:t>
      </w:r>
      <w:r w:rsidRPr="00345F67">
        <w:t xml:space="preserve"> Contencioso Administrativo (expropiación y justiprecio)</w:t>
      </w:r>
      <w:r w:rsidRPr="00345F67">
        <w:br/>
      </w:r>
      <w:r w:rsidRPr="00345F67">
        <w:rPr>
          <w:b/>
          <w:bCs/>
        </w:rPr>
        <w:t>Juzgado:</w:t>
      </w:r>
      <w:r w:rsidRPr="00345F67">
        <w:t xml:space="preserve"> Juzgado de Contencioso de Pérez Zeledón</w:t>
      </w:r>
    </w:p>
    <w:p w14:paraId="05AEB695" w14:textId="77777777" w:rsidR="00345F67" w:rsidRPr="00345F67" w:rsidRDefault="00345F67" w:rsidP="00345F67">
      <w:pPr>
        <w:rPr>
          <w:b/>
          <w:bCs/>
        </w:rPr>
      </w:pPr>
      <w:r w:rsidRPr="00345F67">
        <w:rPr>
          <w:b/>
          <w:bCs/>
        </w:rPr>
        <w:t>1) Punto de partida (contexto ya asentado en autos)</w:t>
      </w:r>
    </w:p>
    <w:p w14:paraId="1A9F2AED" w14:textId="77777777" w:rsidR="00345F67" w:rsidRPr="00345F67" w:rsidRDefault="00345F67" w:rsidP="00345F67">
      <w:r w:rsidRPr="00345F67">
        <w:t xml:space="preserve">Conforme a lo obrado, el proceso se abrió con demanda por expropiación y justiprecio, alegando vicios de debido proceso, falta de motivación y posible desviación de poder; se incorporó abundante prueba documental, testimonial y pericial; y se dictaron </w:t>
      </w:r>
      <w:r w:rsidRPr="00345F67">
        <w:rPr>
          <w:b/>
          <w:bCs/>
        </w:rPr>
        <w:t>medidas cautelares</w:t>
      </w:r>
      <w:r w:rsidRPr="00345F67">
        <w:t xml:space="preserve"> suspendiendo efectos del acto impugnado. Se señaló </w:t>
      </w:r>
      <w:r w:rsidRPr="00345F67">
        <w:rPr>
          <w:b/>
          <w:bCs/>
        </w:rPr>
        <w:t>juicio para el 26/02/2025</w:t>
      </w:r>
      <w:r w:rsidRPr="00345F67">
        <w:t xml:space="preserve">. </w:t>
      </w:r>
    </w:p>
    <w:p w14:paraId="673E93CC" w14:textId="77777777" w:rsidR="00345F67" w:rsidRPr="00345F67" w:rsidRDefault="00345F67" w:rsidP="00345F67">
      <w:r w:rsidRPr="00345F67">
        <w:t>2022_875137_6050_CO</w:t>
      </w:r>
    </w:p>
    <w:p w14:paraId="66B8E0CF" w14:textId="77777777" w:rsidR="00345F67" w:rsidRPr="00345F67" w:rsidRDefault="00345F67" w:rsidP="00345F67">
      <w:r w:rsidRPr="00345F67">
        <w:rPr>
          <w:i/>
          <w:iCs/>
        </w:rPr>
        <w:t>Nota editorial</w:t>
      </w:r>
      <w:r w:rsidRPr="00345F67">
        <w:t>: lo anterior sirve como ancla para esta continuación. Si cuentas con el acta del juicio o resoluciones posteriores, puedes reemplazar o complementar fechas y acuerdos específicos.</w:t>
      </w:r>
    </w:p>
    <w:p w14:paraId="5D954E06" w14:textId="77777777" w:rsidR="00345F67" w:rsidRPr="00345F67" w:rsidRDefault="00345F67" w:rsidP="00345F67">
      <w:r w:rsidRPr="00345F67">
        <w:pict w14:anchorId="2D66B6DA">
          <v:rect id="_x0000_i1061" style="width:0;height:1.5pt" o:hrstd="t" o:hr="t" fillcolor="#a0a0a0" stroked="f"/>
        </w:pict>
      </w:r>
    </w:p>
    <w:p w14:paraId="43DF1A71" w14:textId="77777777" w:rsidR="00345F67" w:rsidRPr="00345F67" w:rsidRDefault="00345F67" w:rsidP="00345F67">
      <w:pPr>
        <w:rPr>
          <w:b/>
          <w:bCs/>
        </w:rPr>
      </w:pPr>
      <w:r w:rsidRPr="00345F67">
        <w:rPr>
          <w:b/>
          <w:bCs/>
        </w:rPr>
        <w:t>2) Desarrollo procesal posterior al señalamiento de juicio</w:t>
      </w:r>
    </w:p>
    <w:p w14:paraId="610627DB" w14:textId="77777777" w:rsidR="00345F67" w:rsidRPr="00345F67" w:rsidRDefault="00345F67" w:rsidP="00345F67">
      <w:pPr>
        <w:rPr>
          <w:b/>
          <w:bCs/>
        </w:rPr>
      </w:pPr>
      <w:r w:rsidRPr="00345F67">
        <w:rPr>
          <w:b/>
          <w:bCs/>
        </w:rPr>
        <w:t>2.1. Reprogramación y depuración probatoria (marzo–abril 2025)</w:t>
      </w:r>
    </w:p>
    <w:p w14:paraId="4433EF59" w14:textId="77777777" w:rsidR="00345F67" w:rsidRPr="00345F67" w:rsidRDefault="00345F67" w:rsidP="00345F67">
      <w:pPr>
        <w:numPr>
          <w:ilvl w:val="0"/>
          <w:numId w:val="1"/>
        </w:numPr>
      </w:pPr>
      <w:r w:rsidRPr="00345F67">
        <w:rPr>
          <w:b/>
          <w:bCs/>
        </w:rPr>
        <w:t>Incidente de reprogramación parcial:</w:t>
      </w:r>
      <w:r w:rsidRPr="00345F67">
        <w:t xml:space="preserve"> a solicitud de la parte demandada, el Tribunal concede un breve </w:t>
      </w:r>
      <w:r w:rsidRPr="00345F67">
        <w:rPr>
          <w:b/>
          <w:bCs/>
        </w:rPr>
        <w:t>aplazamiento de una de las sesiones</w:t>
      </w:r>
      <w:r w:rsidRPr="00345F67">
        <w:t xml:space="preserve"> para garantizar la presencia de un perito clave.</w:t>
      </w:r>
    </w:p>
    <w:p w14:paraId="17720DAA" w14:textId="77777777" w:rsidR="00345F67" w:rsidRPr="00345F67" w:rsidRDefault="00345F67" w:rsidP="00345F67">
      <w:pPr>
        <w:numPr>
          <w:ilvl w:val="0"/>
          <w:numId w:val="1"/>
        </w:numPr>
      </w:pPr>
      <w:r w:rsidRPr="00345F67">
        <w:rPr>
          <w:b/>
          <w:bCs/>
        </w:rPr>
        <w:t>Depuración de prueba:</w:t>
      </w:r>
      <w:r w:rsidRPr="00345F67">
        <w:t xml:space="preserve"> se </w:t>
      </w:r>
      <w:r w:rsidRPr="00345F67">
        <w:rPr>
          <w:b/>
          <w:bCs/>
        </w:rPr>
        <w:t>admite prueba pericial complementaria</w:t>
      </w:r>
      <w:r w:rsidRPr="00345F67">
        <w:t xml:space="preserve"> enfocada en la metodología de valoración del bien y la </w:t>
      </w:r>
      <w:r w:rsidRPr="00345F67">
        <w:rPr>
          <w:b/>
          <w:bCs/>
        </w:rPr>
        <w:t>trazabilidad</w:t>
      </w:r>
      <w:r w:rsidRPr="00345F67">
        <w:t xml:space="preserve"> de los criterios de ponderación aplicados por la Administración; se </w:t>
      </w:r>
      <w:r w:rsidRPr="00345F67">
        <w:rPr>
          <w:b/>
          <w:bCs/>
        </w:rPr>
        <w:t>rechaza</w:t>
      </w:r>
      <w:r w:rsidRPr="00345F67">
        <w:t xml:space="preserve"> prueba impertinente o redundante.</w:t>
      </w:r>
    </w:p>
    <w:p w14:paraId="0D82EE8E" w14:textId="77777777" w:rsidR="00345F67" w:rsidRPr="00345F67" w:rsidRDefault="00345F67" w:rsidP="00345F67">
      <w:pPr>
        <w:numPr>
          <w:ilvl w:val="0"/>
          <w:numId w:val="1"/>
        </w:numPr>
      </w:pPr>
      <w:r w:rsidRPr="00345F67">
        <w:rPr>
          <w:b/>
          <w:bCs/>
        </w:rPr>
        <w:t>Orden de exhibición:</w:t>
      </w:r>
      <w:r w:rsidRPr="00345F67">
        <w:t xml:space="preserve"> se requiere a la Administración </w:t>
      </w:r>
      <w:r w:rsidRPr="00345F67">
        <w:rPr>
          <w:b/>
          <w:bCs/>
        </w:rPr>
        <w:t>remitir la versión íntegra del expediente administrativo digital</w:t>
      </w:r>
      <w:r w:rsidRPr="00345F67">
        <w:t>, incluidos anexos técnicos y matrices de evaluación, bajo apercibimiento.</w:t>
      </w:r>
    </w:p>
    <w:p w14:paraId="73066F1C" w14:textId="77777777" w:rsidR="00345F67" w:rsidRPr="00345F67" w:rsidRDefault="00345F67" w:rsidP="00345F67">
      <w:pPr>
        <w:rPr>
          <w:b/>
          <w:bCs/>
        </w:rPr>
      </w:pPr>
      <w:r w:rsidRPr="00345F67">
        <w:rPr>
          <w:b/>
          <w:bCs/>
        </w:rPr>
        <w:t>2.2. Juicio (audiencias principales: abril–mayo 2025)</w:t>
      </w:r>
    </w:p>
    <w:p w14:paraId="58E187D8" w14:textId="77777777" w:rsidR="00345F67" w:rsidRPr="00345F67" w:rsidRDefault="00345F67" w:rsidP="00345F67">
      <w:pPr>
        <w:numPr>
          <w:ilvl w:val="0"/>
          <w:numId w:val="2"/>
        </w:numPr>
      </w:pPr>
      <w:r w:rsidRPr="00345F67">
        <w:rPr>
          <w:b/>
          <w:bCs/>
        </w:rPr>
        <w:t xml:space="preserve">Apertura y fijación del </w:t>
      </w:r>
      <w:proofErr w:type="spellStart"/>
      <w:r w:rsidRPr="00345F67">
        <w:rPr>
          <w:b/>
          <w:bCs/>
        </w:rPr>
        <w:t>thema</w:t>
      </w:r>
      <w:proofErr w:type="spellEnd"/>
      <w:r w:rsidRPr="00345F67">
        <w:rPr>
          <w:b/>
          <w:bCs/>
        </w:rPr>
        <w:t xml:space="preserve"> </w:t>
      </w:r>
      <w:proofErr w:type="spellStart"/>
      <w:r w:rsidRPr="00345F67">
        <w:rPr>
          <w:b/>
          <w:bCs/>
        </w:rPr>
        <w:t>decidendum</w:t>
      </w:r>
      <w:proofErr w:type="spellEnd"/>
      <w:r w:rsidRPr="00345F67">
        <w:rPr>
          <w:b/>
          <w:bCs/>
        </w:rPr>
        <w:t>:</w:t>
      </w:r>
      <w:r w:rsidRPr="00345F67">
        <w:t xml:space="preserve"> el Tribunal delimita las cuestiones: (i) regularidad del procedimiento expropiatorio, (</w:t>
      </w:r>
      <w:proofErr w:type="spellStart"/>
      <w:r w:rsidRPr="00345F67">
        <w:t>ii</w:t>
      </w:r>
      <w:proofErr w:type="spellEnd"/>
      <w:r w:rsidRPr="00345F67">
        <w:t>) suficiencia de motivación, (</w:t>
      </w:r>
      <w:proofErr w:type="spellStart"/>
      <w:r w:rsidRPr="00345F67">
        <w:t>iii</w:t>
      </w:r>
      <w:proofErr w:type="spellEnd"/>
      <w:r w:rsidRPr="00345F67">
        <w:t xml:space="preserve">) adecuación de los </w:t>
      </w:r>
      <w:r w:rsidRPr="00345F67">
        <w:rPr>
          <w:b/>
          <w:bCs/>
        </w:rPr>
        <w:t>criterios técnicos y económicos</w:t>
      </w:r>
      <w:r w:rsidRPr="00345F67">
        <w:t xml:space="preserve"> para el justiprecio, y (</w:t>
      </w:r>
      <w:proofErr w:type="spellStart"/>
      <w:r w:rsidRPr="00345F67">
        <w:t>iv</w:t>
      </w:r>
      <w:proofErr w:type="spellEnd"/>
      <w:r w:rsidRPr="00345F67">
        <w:t xml:space="preserve">) eventual </w:t>
      </w:r>
      <w:r w:rsidRPr="00345F67">
        <w:rPr>
          <w:b/>
          <w:bCs/>
        </w:rPr>
        <w:t>desviación de poder</w:t>
      </w:r>
      <w:r w:rsidRPr="00345F67">
        <w:t>.</w:t>
      </w:r>
    </w:p>
    <w:p w14:paraId="5F256147" w14:textId="77777777" w:rsidR="00345F67" w:rsidRPr="00345F67" w:rsidRDefault="00345F67" w:rsidP="00345F67">
      <w:pPr>
        <w:numPr>
          <w:ilvl w:val="0"/>
          <w:numId w:val="2"/>
        </w:numPr>
      </w:pPr>
      <w:r w:rsidRPr="00345F67">
        <w:rPr>
          <w:b/>
          <w:bCs/>
        </w:rPr>
        <w:lastRenderedPageBreak/>
        <w:t>Interrogatorios y contrainterrogatorios:</w:t>
      </w:r>
      <w:r w:rsidRPr="00345F67">
        <w:t xml:space="preserve"> declaran los </w:t>
      </w:r>
      <w:r w:rsidRPr="00345F67">
        <w:rPr>
          <w:b/>
          <w:bCs/>
        </w:rPr>
        <w:t>peritos</w:t>
      </w:r>
      <w:r w:rsidRPr="00345F67">
        <w:t xml:space="preserve"> (administrativo y valuador) y </w:t>
      </w:r>
      <w:r w:rsidRPr="00345F67">
        <w:rPr>
          <w:b/>
          <w:bCs/>
        </w:rPr>
        <w:t>testigos imparciales</w:t>
      </w:r>
      <w:r w:rsidRPr="00345F67">
        <w:t xml:space="preserve">; se resalta la </w:t>
      </w:r>
      <w:r w:rsidRPr="00345F67">
        <w:rPr>
          <w:b/>
          <w:bCs/>
        </w:rPr>
        <w:t>incoherencia</w:t>
      </w:r>
      <w:r w:rsidRPr="00345F67">
        <w:t xml:space="preserve"> entre la matriz de criterios y las ponderaciones aplicadas.</w:t>
      </w:r>
    </w:p>
    <w:p w14:paraId="3811CBA4" w14:textId="77777777" w:rsidR="00345F67" w:rsidRPr="00345F67" w:rsidRDefault="00345F67" w:rsidP="00345F67">
      <w:pPr>
        <w:numPr>
          <w:ilvl w:val="0"/>
          <w:numId w:val="2"/>
        </w:numPr>
      </w:pPr>
      <w:r w:rsidRPr="00345F67">
        <w:rPr>
          <w:b/>
          <w:bCs/>
        </w:rPr>
        <w:t>Incorporación de prueba digital con metadatos:</w:t>
      </w:r>
      <w:r w:rsidRPr="00345F67">
        <w:t xml:space="preserve"> se verifican </w:t>
      </w:r>
      <w:r w:rsidRPr="00345F67">
        <w:rPr>
          <w:b/>
          <w:bCs/>
        </w:rPr>
        <w:t>fechas de creación/modificación</w:t>
      </w:r>
      <w:r w:rsidRPr="00345F67">
        <w:t xml:space="preserve"> de informes y tablas de cálculo, y su correspondencia con actas de audiencia pública.</w:t>
      </w:r>
    </w:p>
    <w:p w14:paraId="1DBE2D2B" w14:textId="77777777" w:rsidR="00345F67" w:rsidRPr="00345F67" w:rsidRDefault="00345F67" w:rsidP="00345F67">
      <w:pPr>
        <w:numPr>
          <w:ilvl w:val="0"/>
          <w:numId w:val="2"/>
        </w:numPr>
      </w:pPr>
      <w:r w:rsidRPr="00345F67">
        <w:rPr>
          <w:b/>
          <w:bCs/>
        </w:rPr>
        <w:t>Cierre de debate:</w:t>
      </w:r>
      <w:r w:rsidRPr="00345F67">
        <w:t xml:space="preserve"> cada parte presenta </w:t>
      </w:r>
      <w:r w:rsidRPr="00345F67">
        <w:rPr>
          <w:b/>
          <w:bCs/>
        </w:rPr>
        <w:t>alegatos orales</w:t>
      </w:r>
      <w:r w:rsidRPr="00345F67">
        <w:t>, solicitando:</w:t>
      </w:r>
    </w:p>
    <w:p w14:paraId="23D79540" w14:textId="77777777" w:rsidR="00345F67" w:rsidRPr="00345F67" w:rsidRDefault="00345F67" w:rsidP="00345F67">
      <w:pPr>
        <w:numPr>
          <w:ilvl w:val="1"/>
          <w:numId w:val="2"/>
        </w:numPr>
      </w:pPr>
      <w:r w:rsidRPr="00345F67">
        <w:t xml:space="preserve">Actora: anulación del acto, reposición del procedimiento o, en su defecto, </w:t>
      </w:r>
      <w:r w:rsidRPr="00345F67">
        <w:rPr>
          <w:b/>
          <w:bCs/>
        </w:rPr>
        <w:t>readecuación del justiprecio</w:t>
      </w:r>
      <w:r w:rsidRPr="00345F67">
        <w:t xml:space="preserve"> con base en dictámenes imparciales.</w:t>
      </w:r>
    </w:p>
    <w:p w14:paraId="20858ECB" w14:textId="77777777" w:rsidR="00345F67" w:rsidRPr="00345F67" w:rsidRDefault="00345F67" w:rsidP="00345F67">
      <w:pPr>
        <w:numPr>
          <w:ilvl w:val="1"/>
          <w:numId w:val="2"/>
        </w:numPr>
      </w:pPr>
      <w:r w:rsidRPr="00345F67">
        <w:t xml:space="preserve">Demandada: </w:t>
      </w:r>
      <w:r w:rsidRPr="00345F67">
        <w:rPr>
          <w:b/>
          <w:bCs/>
        </w:rPr>
        <w:t>mantenimiento</w:t>
      </w:r>
      <w:r w:rsidRPr="00345F67">
        <w:t xml:space="preserve"> de la validez del acto, poniendo énfasis en la </w:t>
      </w:r>
      <w:r w:rsidRPr="00345F67">
        <w:rPr>
          <w:b/>
          <w:bCs/>
        </w:rPr>
        <w:t>función pública</w:t>
      </w:r>
      <w:r w:rsidRPr="00345F67">
        <w:t xml:space="preserve"> y utilidad de la obra, y en que las eventuales faltas serían </w:t>
      </w:r>
      <w:r w:rsidRPr="00345F67">
        <w:rPr>
          <w:b/>
          <w:bCs/>
        </w:rPr>
        <w:t>subsanables</w:t>
      </w:r>
      <w:r w:rsidRPr="00345F67">
        <w:t xml:space="preserve"> sin afectar el fondo.</w:t>
      </w:r>
    </w:p>
    <w:p w14:paraId="3EC3D3B8" w14:textId="77777777" w:rsidR="00345F67" w:rsidRPr="00345F67" w:rsidRDefault="00345F67" w:rsidP="00345F67">
      <w:pPr>
        <w:rPr>
          <w:b/>
          <w:bCs/>
        </w:rPr>
      </w:pPr>
      <w:r w:rsidRPr="00345F67">
        <w:rPr>
          <w:b/>
          <w:bCs/>
        </w:rPr>
        <w:t>2.3. Diligencias finales y autos para sentencia (junio 2025)</w:t>
      </w:r>
    </w:p>
    <w:p w14:paraId="799E08BD" w14:textId="77777777" w:rsidR="00345F67" w:rsidRPr="00345F67" w:rsidRDefault="00345F67" w:rsidP="00345F67">
      <w:pPr>
        <w:numPr>
          <w:ilvl w:val="0"/>
          <w:numId w:val="3"/>
        </w:numPr>
      </w:pPr>
      <w:r w:rsidRPr="00345F67">
        <w:rPr>
          <w:b/>
          <w:bCs/>
        </w:rPr>
        <w:t>Cierre probatorio</w:t>
      </w:r>
      <w:r w:rsidRPr="00345F67">
        <w:t xml:space="preserve"> y </w:t>
      </w:r>
      <w:r w:rsidRPr="00345F67">
        <w:rPr>
          <w:b/>
          <w:bCs/>
        </w:rPr>
        <w:t>concesión de término</w:t>
      </w:r>
      <w:r w:rsidRPr="00345F67">
        <w:t xml:space="preserve"> para </w:t>
      </w:r>
      <w:r w:rsidRPr="00345F67">
        <w:rPr>
          <w:b/>
          <w:bCs/>
        </w:rPr>
        <w:t>alegatos por escrito</w:t>
      </w:r>
      <w:r w:rsidRPr="00345F67">
        <w:t>.</w:t>
      </w:r>
    </w:p>
    <w:p w14:paraId="3EC24521" w14:textId="77777777" w:rsidR="00345F67" w:rsidRPr="00345F67" w:rsidRDefault="00345F67" w:rsidP="00345F67">
      <w:pPr>
        <w:numPr>
          <w:ilvl w:val="0"/>
          <w:numId w:val="3"/>
        </w:numPr>
      </w:pPr>
      <w:r w:rsidRPr="00345F67">
        <w:t xml:space="preserve">El expediente queda en </w:t>
      </w:r>
      <w:r w:rsidRPr="00345F67">
        <w:rPr>
          <w:b/>
          <w:bCs/>
        </w:rPr>
        <w:t>autos para sentencia</w:t>
      </w:r>
      <w:r w:rsidRPr="00345F67">
        <w:t xml:space="preserve">, con constancia de que las </w:t>
      </w:r>
      <w:r w:rsidRPr="00345F67">
        <w:rPr>
          <w:b/>
          <w:bCs/>
        </w:rPr>
        <w:t>medidas cautelares</w:t>
      </w:r>
      <w:r w:rsidRPr="00345F67">
        <w:t xml:space="preserve"> se </w:t>
      </w:r>
      <w:r w:rsidRPr="00345F67">
        <w:rPr>
          <w:b/>
          <w:bCs/>
        </w:rPr>
        <w:t>mantienen</w:t>
      </w:r>
      <w:r w:rsidRPr="00345F67">
        <w:t xml:space="preserve"> hasta el fallo definitivo.</w:t>
      </w:r>
    </w:p>
    <w:p w14:paraId="3DE2D03D" w14:textId="77777777" w:rsidR="00345F67" w:rsidRPr="00345F67" w:rsidRDefault="00345F67" w:rsidP="00345F67">
      <w:r w:rsidRPr="00345F67">
        <w:pict w14:anchorId="588182D0">
          <v:rect id="_x0000_i1062" style="width:0;height:1.5pt" o:hrstd="t" o:hr="t" fillcolor="#a0a0a0" stroked="f"/>
        </w:pict>
      </w:r>
    </w:p>
    <w:p w14:paraId="415B986A" w14:textId="77777777" w:rsidR="00345F67" w:rsidRPr="00345F67" w:rsidRDefault="00345F67" w:rsidP="00345F67">
      <w:pPr>
        <w:rPr>
          <w:b/>
          <w:bCs/>
        </w:rPr>
      </w:pPr>
      <w:r w:rsidRPr="00345F67">
        <w:rPr>
          <w:b/>
          <w:bCs/>
        </w:rPr>
        <w:t>3) Sentencia de primera instancia (julio 2025)</w:t>
      </w:r>
    </w:p>
    <w:p w14:paraId="71F2F5B1" w14:textId="77777777" w:rsidR="00345F67" w:rsidRPr="00345F67" w:rsidRDefault="00345F67" w:rsidP="00345F67">
      <w:r w:rsidRPr="00345F67">
        <w:rPr>
          <w:i/>
          <w:iCs/>
        </w:rPr>
        <w:t>Redacción lista para usar; si posees la sentencia real, sustituye lo marcadamente hipotético por los considerandos y por tanto exactos del fallo.</w:t>
      </w:r>
    </w:p>
    <w:p w14:paraId="10C889AE" w14:textId="77777777" w:rsidR="00345F67" w:rsidRPr="00345F67" w:rsidRDefault="00345F67" w:rsidP="00345F67">
      <w:r w:rsidRPr="00345F67">
        <w:rPr>
          <w:b/>
          <w:bCs/>
        </w:rPr>
        <w:t>Por tanto (síntesis):</w:t>
      </w:r>
    </w:p>
    <w:p w14:paraId="78568DC8" w14:textId="77777777" w:rsidR="00345F67" w:rsidRPr="00345F67" w:rsidRDefault="00345F67" w:rsidP="00345F67">
      <w:pPr>
        <w:numPr>
          <w:ilvl w:val="0"/>
          <w:numId w:val="4"/>
        </w:numPr>
      </w:pPr>
      <w:r w:rsidRPr="00345F67">
        <w:rPr>
          <w:b/>
          <w:bCs/>
        </w:rPr>
        <w:t>Se declara parcialmente con lugar</w:t>
      </w:r>
      <w:r w:rsidRPr="00345F67">
        <w:t xml:space="preserve"> la demanda.</w:t>
      </w:r>
    </w:p>
    <w:p w14:paraId="2B8A2CFD" w14:textId="77777777" w:rsidR="00345F67" w:rsidRPr="00345F67" w:rsidRDefault="00345F67" w:rsidP="00345F67">
      <w:pPr>
        <w:numPr>
          <w:ilvl w:val="0"/>
          <w:numId w:val="4"/>
        </w:numPr>
      </w:pPr>
      <w:r w:rsidRPr="00345F67">
        <w:rPr>
          <w:b/>
          <w:bCs/>
        </w:rPr>
        <w:t>Nulidad relativa</w:t>
      </w:r>
      <w:r w:rsidRPr="00345F67">
        <w:t xml:space="preserve"> del acto en lo concerniente a la </w:t>
      </w:r>
      <w:r w:rsidRPr="00345F67">
        <w:rPr>
          <w:b/>
          <w:bCs/>
        </w:rPr>
        <w:t>motivación del justiprecio</w:t>
      </w:r>
      <w:r w:rsidRPr="00345F67">
        <w:t xml:space="preserve"> por insuficiencia en la </w:t>
      </w:r>
      <w:r w:rsidRPr="00345F67">
        <w:rPr>
          <w:b/>
          <w:bCs/>
        </w:rPr>
        <w:t>ponderación técnica</w:t>
      </w:r>
      <w:r w:rsidRPr="00345F67">
        <w:t xml:space="preserve"> y </w:t>
      </w:r>
      <w:r w:rsidRPr="00345F67">
        <w:rPr>
          <w:b/>
          <w:bCs/>
        </w:rPr>
        <w:t>consistencia</w:t>
      </w:r>
      <w:r w:rsidRPr="00345F67">
        <w:t xml:space="preserve"> de criterios.</w:t>
      </w:r>
    </w:p>
    <w:p w14:paraId="6EECBF26" w14:textId="77777777" w:rsidR="00345F67" w:rsidRPr="00345F67" w:rsidRDefault="00345F67" w:rsidP="00345F67">
      <w:pPr>
        <w:numPr>
          <w:ilvl w:val="0"/>
          <w:numId w:val="4"/>
        </w:numPr>
      </w:pPr>
      <w:r w:rsidRPr="00345F67">
        <w:rPr>
          <w:b/>
          <w:bCs/>
        </w:rPr>
        <w:t>Se ordena</w:t>
      </w:r>
      <w:r w:rsidRPr="00345F67">
        <w:t xml:space="preserve"> a la Administración </w:t>
      </w:r>
      <w:r w:rsidRPr="00345F67">
        <w:rPr>
          <w:b/>
          <w:bCs/>
        </w:rPr>
        <w:t>recalcular el justiprecio</w:t>
      </w:r>
      <w:r w:rsidRPr="00345F67">
        <w:t xml:space="preserve"> dentro de </w:t>
      </w:r>
      <w:r w:rsidRPr="00345F67">
        <w:rPr>
          <w:b/>
          <w:bCs/>
        </w:rPr>
        <w:t>45 días hábiles</w:t>
      </w:r>
      <w:r w:rsidRPr="00345F67">
        <w:t xml:space="preserve">, observando los </w:t>
      </w:r>
      <w:r w:rsidRPr="00345F67">
        <w:rPr>
          <w:b/>
          <w:bCs/>
        </w:rPr>
        <w:t>criterios técnicos objetivos</w:t>
      </w:r>
      <w:r w:rsidRPr="00345F67">
        <w:t xml:space="preserve"> fijados en la sentencia y </w:t>
      </w:r>
      <w:r w:rsidRPr="00345F67">
        <w:rPr>
          <w:b/>
          <w:bCs/>
        </w:rPr>
        <w:t>considerando los dictámenes periciales</w:t>
      </w:r>
      <w:r w:rsidRPr="00345F67">
        <w:t xml:space="preserve"> rendidos en juicio.</w:t>
      </w:r>
    </w:p>
    <w:p w14:paraId="0B6DFB76" w14:textId="77777777" w:rsidR="00345F67" w:rsidRPr="00345F67" w:rsidRDefault="00345F67" w:rsidP="00345F67">
      <w:pPr>
        <w:numPr>
          <w:ilvl w:val="0"/>
          <w:numId w:val="4"/>
        </w:numPr>
      </w:pPr>
      <w:r w:rsidRPr="00345F67">
        <w:rPr>
          <w:b/>
          <w:bCs/>
        </w:rPr>
        <w:t>Se mantiene</w:t>
      </w:r>
      <w:r w:rsidRPr="00345F67">
        <w:t xml:space="preserve"> la </w:t>
      </w:r>
      <w:r w:rsidRPr="00345F67">
        <w:rPr>
          <w:b/>
          <w:bCs/>
        </w:rPr>
        <w:t>expropiación</w:t>
      </w:r>
      <w:r w:rsidRPr="00345F67">
        <w:t xml:space="preserve"> por acreditarse la </w:t>
      </w:r>
      <w:r w:rsidRPr="00345F67">
        <w:rPr>
          <w:b/>
          <w:bCs/>
        </w:rPr>
        <w:t>utilidad pública</w:t>
      </w:r>
      <w:r w:rsidRPr="00345F67">
        <w:t xml:space="preserve">, pero </w:t>
      </w:r>
      <w:r w:rsidRPr="00345F67">
        <w:rPr>
          <w:b/>
          <w:bCs/>
        </w:rPr>
        <w:t>supeditada</w:t>
      </w:r>
      <w:r w:rsidRPr="00345F67">
        <w:t xml:space="preserve"> al pago del </w:t>
      </w:r>
      <w:r w:rsidRPr="00345F67">
        <w:rPr>
          <w:b/>
          <w:bCs/>
        </w:rPr>
        <w:t>monto recalculado</w:t>
      </w:r>
      <w:r w:rsidRPr="00345F67">
        <w:t>.</w:t>
      </w:r>
    </w:p>
    <w:p w14:paraId="15548BA7" w14:textId="77777777" w:rsidR="00345F67" w:rsidRPr="00345F67" w:rsidRDefault="00345F67" w:rsidP="00345F67">
      <w:pPr>
        <w:numPr>
          <w:ilvl w:val="0"/>
          <w:numId w:val="4"/>
        </w:numPr>
      </w:pPr>
      <w:r w:rsidRPr="00345F67">
        <w:rPr>
          <w:b/>
          <w:bCs/>
        </w:rPr>
        <w:t>Costas y agencias</w:t>
      </w:r>
      <w:r w:rsidRPr="00345F67">
        <w:t xml:space="preserve"> a cargo de la parte demandada en un </w:t>
      </w:r>
      <w:r w:rsidRPr="00345F67">
        <w:rPr>
          <w:b/>
          <w:bCs/>
        </w:rPr>
        <w:t>60%</w:t>
      </w:r>
      <w:r w:rsidRPr="00345F67">
        <w:t xml:space="preserve">, dada la </w:t>
      </w:r>
      <w:r w:rsidRPr="00345F67">
        <w:rPr>
          <w:b/>
          <w:bCs/>
        </w:rPr>
        <w:t>parcial estimación</w:t>
      </w:r>
      <w:r w:rsidRPr="00345F67">
        <w:t>.</w:t>
      </w:r>
    </w:p>
    <w:p w14:paraId="677E3878" w14:textId="77777777" w:rsidR="00345F67" w:rsidRPr="00345F67" w:rsidRDefault="00345F67" w:rsidP="00345F67">
      <w:pPr>
        <w:numPr>
          <w:ilvl w:val="0"/>
          <w:numId w:val="4"/>
        </w:numPr>
      </w:pPr>
      <w:r w:rsidRPr="00345F67">
        <w:rPr>
          <w:b/>
          <w:bCs/>
        </w:rPr>
        <w:lastRenderedPageBreak/>
        <w:t>Se prorrogan</w:t>
      </w:r>
      <w:r w:rsidRPr="00345F67">
        <w:t xml:space="preserve"> las </w:t>
      </w:r>
      <w:r w:rsidRPr="00345F67">
        <w:rPr>
          <w:b/>
          <w:bCs/>
        </w:rPr>
        <w:t>medidas cautelares</w:t>
      </w:r>
      <w:r w:rsidRPr="00345F67">
        <w:t xml:space="preserve"> exclusivamente respecto de los </w:t>
      </w:r>
      <w:r w:rsidRPr="00345F67">
        <w:rPr>
          <w:b/>
          <w:bCs/>
        </w:rPr>
        <w:t>efectos económicos</w:t>
      </w:r>
      <w:r w:rsidRPr="00345F67">
        <w:t xml:space="preserve"> del acto hasta que se </w:t>
      </w:r>
      <w:r w:rsidRPr="00345F67">
        <w:rPr>
          <w:b/>
          <w:bCs/>
        </w:rPr>
        <w:t>consigne y pague</w:t>
      </w:r>
      <w:r w:rsidRPr="00345F67">
        <w:t xml:space="preserve"> el justiprecio revisado.</w:t>
      </w:r>
    </w:p>
    <w:p w14:paraId="70493346" w14:textId="77777777" w:rsidR="00345F67" w:rsidRPr="00345F67" w:rsidRDefault="00345F67" w:rsidP="00345F67">
      <w:r w:rsidRPr="00345F67">
        <w:pict w14:anchorId="7B84598C">
          <v:rect id="_x0000_i1063" style="width:0;height:1.5pt" o:hrstd="t" o:hr="t" fillcolor="#a0a0a0" stroked="f"/>
        </w:pict>
      </w:r>
    </w:p>
    <w:p w14:paraId="434102E9" w14:textId="77777777" w:rsidR="00345F67" w:rsidRPr="00345F67" w:rsidRDefault="00345F67" w:rsidP="00345F67">
      <w:pPr>
        <w:rPr>
          <w:b/>
          <w:bCs/>
        </w:rPr>
      </w:pPr>
      <w:r w:rsidRPr="00345F67">
        <w:rPr>
          <w:b/>
          <w:bCs/>
        </w:rPr>
        <w:t>4) Recursos y fase impugnativa (agosto–septiembre 2025)</w:t>
      </w:r>
    </w:p>
    <w:p w14:paraId="30196F80" w14:textId="77777777" w:rsidR="00345F67" w:rsidRPr="00345F67" w:rsidRDefault="00345F67" w:rsidP="00345F67">
      <w:pPr>
        <w:numPr>
          <w:ilvl w:val="0"/>
          <w:numId w:val="5"/>
        </w:numPr>
      </w:pPr>
      <w:r w:rsidRPr="00345F67">
        <w:rPr>
          <w:b/>
          <w:bCs/>
        </w:rPr>
        <w:t>Apelación de la demandada</w:t>
      </w:r>
      <w:r w:rsidRPr="00345F67">
        <w:t xml:space="preserve">: solicita revocar la nulidad parcial, alegando que la motivación fue suficiente y que el Tribunal </w:t>
      </w:r>
      <w:r w:rsidRPr="00345F67">
        <w:rPr>
          <w:b/>
          <w:bCs/>
        </w:rPr>
        <w:t>suplantó</w:t>
      </w:r>
      <w:r w:rsidRPr="00345F67">
        <w:t xml:space="preserve"> indebidamente la </w:t>
      </w:r>
      <w:r w:rsidRPr="00345F67">
        <w:rPr>
          <w:b/>
          <w:bCs/>
        </w:rPr>
        <w:t>discrecionalidad técnica</w:t>
      </w:r>
      <w:r w:rsidRPr="00345F67">
        <w:t>.</w:t>
      </w:r>
    </w:p>
    <w:p w14:paraId="5AD74695" w14:textId="77777777" w:rsidR="00345F67" w:rsidRPr="00345F67" w:rsidRDefault="00345F67" w:rsidP="00345F67">
      <w:pPr>
        <w:numPr>
          <w:ilvl w:val="0"/>
          <w:numId w:val="5"/>
        </w:numPr>
      </w:pPr>
      <w:r w:rsidRPr="00345F67">
        <w:rPr>
          <w:b/>
          <w:bCs/>
        </w:rPr>
        <w:t>Adhesiva/Apelación de la actora</w:t>
      </w:r>
      <w:r w:rsidRPr="00345F67">
        <w:t xml:space="preserve">: pide </w:t>
      </w:r>
      <w:r w:rsidRPr="00345F67">
        <w:rPr>
          <w:b/>
          <w:bCs/>
        </w:rPr>
        <w:t>elevar</w:t>
      </w:r>
      <w:r w:rsidRPr="00345F67">
        <w:t xml:space="preserve"> el estándar de motivación y </w:t>
      </w:r>
      <w:r w:rsidRPr="00345F67">
        <w:rPr>
          <w:b/>
          <w:bCs/>
        </w:rPr>
        <w:t>actualizar</w:t>
      </w:r>
      <w:r w:rsidRPr="00345F67">
        <w:t xml:space="preserve"> el valor con </w:t>
      </w:r>
      <w:r w:rsidRPr="00345F67">
        <w:rPr>
          <w:b/>
          <w:bCs/>
        </w:rPr>
        <w:t>intereses compensatorios</w:t>
      </w:r>
      <w:r w:rsidRPr="00345F67">
        <w:t xml:space="preserve"> desde la fecha de la </w:t>
      </w:r>
      <w:r w:rsidRPr="00345F67">
        <w:rPr>
          <w:b/>
          <w:bCs/>
        </w:rPr>
        <w:t>ocupación</w:t>
      </w:r>
      <w:r w:rsidRPr="00345F67">
        <w:t>.</w:t>
      </w:r>
    </w:p>
    <w:p w14:paraId="0FBBAE1B" w14:textId="77777777" w:rsidR="00345F67" w:rsidRPr="00345F67" w:rsidRDefault="00345F67" w:rsidP="00345F67">
      <w:pPr>
        <w:numPr>
          <w:ilvl w:val="0"/>
          <w:numId w:val="5"/>
        </w:numPr>
      </w:pPr>
      <w:r w:rsidRPr="00345F67">
        <w:rPr>
          <w:b/>
          <w:bCs/>
        </w:rPr>
        <w:t>Elevación del expediente</w:t>
      </w:r>
      <w:r w:rsidRPr="00345F67">
        <w:t xml:space="preserve"> al Tribunal de Apelación de lo Contencioso. Se concede </w:t>
      </w:r>
      <w:r w:rsidRPr="00345F67">
        <w:rPr>
          <w:b/>
          <w:bCs/>
        </w:rPr>
        <w:t>traslado</w:t>
      </w:r>
      <w:r w:rsidRPr="00345F67">
        <w:t xml:space="preserve"> a las partes para </w:t>
      </w:r>
      <w:r w:rsidRPr="00345F67">
        <w:rPr>
          <w:b/>
          <w:bCs/>
        </w:rPr>
        <w:t>alegatos de segunda instancia</w:t>
      </w:r>
      <w:r w:rsidRPr="00345F67">
        <w:t>.</w:t>
      </w:r>
    </w:p>
    <w:p w14:paraId="2E12EB78" w14:textId="77777777" w:rsidR="00345F67" w:rsidRPr="00345F67" w:rsidRDefault="00345F67" w:rsidP="00345F67">
      <w:r w:rsidRPr="00345F67">
        <w:pict w14:anchorId="1F6C56F5">
          <v:rect id="_x0000_i1064" style="width:0;height:1.5pt" o:hrstd="t" o:hr="t" fillcolor="#a0a0a0" stroked="f"/>
        </w:pict>
      </w:r>
    </w:p>
    <w:p w14:paraId="26E03423" w14:textId="77777777" w:rsidR="00345F67" w:rsidRPr="00345F67" w:rsidRDefault="00345F67" w:rsidP="00345F67">
      <w:pPr>
        <w:rPr>
          <w:b/>
          <w:bCs/>
        </w:rPr>
      </w:pPr>
      <w:r w:rsidRPr="00345F67">
        <w:rPr>
          <w:b/>
          <w:bCs/>
        </w:rPr>
        <w:t>5) Estado actual (octubre 2025)</w:t>
      </w:r>
    </w:p>
    <w:p w14:paraId="023CD884" w14:textId="77777777" w:rsidR="00345F67" w:rsidRPr="00345F67" w:rsidRDefault="00345F67" w:rsidP="00345F67">
      <w:pPr>
        <w:numPr>
          <w:ilvl w:val="0"/>
          <w:numId w:val="6"/>
        </w:numPr>
      </w:pPr>
      <w:r w:rsidRPr="00345F67">
        <w:t xml:space="preserve">El asunto se encuentra </w:t>
      </w:r>
      <w:r w:rsidRPr="00345F67">
        <w:rPr>
          <w:b/>
          <w:bCs/>
        </w:rPr>
        <w:t>en trámite de apelación</w:t>
      </w:r>
      <w:r w:rsidRPr="00345F67">
        <w:t xml:space="preserve">, </w:t>
      </w:r>
      <w:r w:rsidRPr="00345F67">
        <w:rPr>
          <w:b/>
          <w:bCs/>
        </w:rPr>
        <w:t>pendiente de vista</w:t>
      </w:r>
      <w:r w:rsidRPr="00345F67">
        <w:t xml:space="preserve"> y </w:t>
      </w:r>
      <w:r w:rsidRPr="00345F67">
        <w:rPr>
          <w:b/>
          <w:bCs/>
        </w:rPr>
        <w:t>señalamiento</w:t>
      </w:r>
      <w:r w:rsidRPr="00345F67">
        <w:t xml:space="preserve"> para resolución.</w:t>
      </w:r>
    </w:p>
    <w:p w14:paraId="734B0376" w14:textId="77777777" w:rsidR="00345F67" w:rsidRPr="00345F67" w:rsidRDefault="00345F67" w:rsidP="00345F67">
      <w:pPr>
        <w:numPr>
          <w:ilvl w:val="0"/>
          <w:numId w:val="6"/>
        </w:numPr>
      </w:pPr>
      <w:r w:rsidRPr="00345F67">
        <w:t xml:space="preserve">A la fecha, </w:t>
      </w:r>
      <w:r w:rsidRPr="00345F67">
        <w:rPr>
          <w:b/>
          <w:bCs/>
        </w:rPr>
        <w:t>no se ha efectuado el pago</w:t>
      </w:r>
      <w:r w:rsidRPr="00345F67">
        <w:t xml:space="preserve"> del </w:t>
      </w:r>
      <w:r w:rsidRPr="00345F67">
        <w:rPr>
          <w:b/>
          <w:bCs/>
        </w:rPr>
        <w:t>nuevo justiprecio</w:t>
      </w:r>
      <w:r w:rsidRPr="00345F67">
        <w:t xml:space="preserve">, pues está </w:t>
      </w:r>
      <w:r w:rsidRPr="00345F67">
        <w:rPr>
          <w:b/>
          <w:bCs/>
        </w:rPr>
        <w:t>condicionado</w:t>
      </w:r>
      <w:r w:rsidRPr="00345F67">
        <w:t xml:space="preserve"> a lo que </w:t>
      </w:r>
      <w:r w:rsidRPr="00345F67">
        <w:rPr>
          <w:b/>
          <w:bCs/>
        </w:rPr>
        <w:t>resuelva</w:t>
      </w:r>
      <w:r w:rsidRPr="00345F67">
        <w:t xml:space="preserve"> la alzada.</w:t>
      </w:r>
    </w:p>
    <w:p w14:paraId="1FD0B8F6" w14:textId="77777777" w:rsidR="00345F67" w:rsidRPr="00345F67" w:rsidRDefault="00345F67" w:rsidP="00345F67">
      <w:pPr>
        <w:numPr>
          <w:ilvl w:val="0"/>
          <w:numId w:val="6"/>
        </w:numPr>
      </w:pPr>
      <w:r w:rsidRPr="00345F67">
        <w:rPr>
          <w:b/>
          <w:bCs/>
        </w:rPr>
        <w:t>Riesgo procesal</w:t>
      </w:r>
      <w:r w:rsidRPr="00345F67">
        <w:t xml:space="preserve">: si la segunda instancia </w:t>
      </w:r>
      <w:r w:rsidRPr="00345F67">
        <w:rPr>
          <w:b/>
          <w:bCs/>
        </w:rPr>
        <w:t>confirma</w:t>
      </w:r>
      <w:r w:rsidRPr="00345F67">
        <w:t xml:space="preserve"> la nulidad parcial, la Administración deberá </w:t>
      </w:r>
      <w:r w:rsidRPr="00345F67">
        <w:rPr>
          <w:b/>
          <w:bCs/>
        </w:rPr>
        <w:t>pagar</w:t>
      </w:r>
      <w:r w:rsidRPr="00345F67">
        <w:t xml:space="preserve"> el monto recalculado (posiblemente </w:t>
      </w:r>
      <w:r w:rsidRPr="00345F67">
        <w:rPr>
          <w:b/>
          <w:bCs/>
        </w:rPr>
        <w:t>mayor</w:t>
      </w:r>
      <w:r w:rsidRPr="00345F67">
        <w:t xml:space="preserve">), con los </w:t>
      </w:r>
      <w:r w:rsidRPr="00345F67">
        <w:rPr>
          <w:b/>
          <w:bCs/>
        </w:rPr>
        <w:t>ajustes</w:t>
      </w:r>
      <w:r w:rsidRPr="00345F67">
        <w:t xml:space="preserve"> e </w:t>
      </w:r>
      <w:r w:rsidRPr="00345F67">
        <w:rPr>
          <w:b/>
          <w:bCs/>
        </w:rPr>
        <w:t>intereses</w:t>
      </w:r>
      <w:r w:rsidRPr="00345F67">
        <w:t xml:space="preserve"> que el fallo disponga; si </w:t>
      </w:r>
      <w:r w:rsidRPr="00345F67">
        <w:rPr>
          <w:b/>
          <w:bCs/>
        </w:rPr>
        <w:t>revoca</w:t>
      </w:r>
      <w:r w:rsidRPr="00345F67">
        <w:t xml:space="preserve">, se restituiría la </w:t>
      </w:r>
      <w:r w:rsidRPr="00345F67">
        <w:rPr>
          <w:b/>
          <w:bCs/>
        </w:rPr>
        <w:t>validez</w:t>
      </w:r>
      <w:r w:rsidRPr="00345F67">
        <w:t xml:space="preserve"> del cálculo original.</w:t>
      </w:r>
    </w:p>
    <w:p w14:paraId="25547FEC" w14:textId="77777777" w:rsidR="00345F67" w:rsidRPr="00345F67" w:rsidRDefault="00345F67" w:rsidP="00345F67">
      <w:r w:rsidRPr="00345F67">
        <w:pict w14:anchorId="1A50BBAA">
          <v:rect id="_x0000_i1065" style="width:0;height:1.5pt" o:hrstd="t" o:hr="t" fillcolor="#a0a0a0" stroked="f"/>
        </w:pict>
      </w:r>
    </w:p>
    <w:p w14:paraId="35BC504F" w14:textId="77777777" w:rsidR="00345F67" w:rsidRPr="00345F67" w:rsidRDefault="00345F67" w:rsidP="00345F67">
      <w:pPr>
        <w:rPr>
          <w:b/>
          <w:bCs/>
        </w:rPr>
      </w:pPr>
      <w:r w:rsidRPr="00345F67">
        <w:rPr>
          <w:b/>
          <w:bCs/>
        </w:rPr>
        <w:t>6) Próximas actuaciones sugeridas</w:t>
      </w:r>
    </w:p>
    <w:p w14:paraId="1461BCCB" w14:textId="77777777" w:rsidR="00345F67" w:rsidRPr="00345F67" w:rsidRDefault="00345F67" w:rsidP="00345F67">
      <w:pPr>
        <w:numPr>
          <w:ilvl w:val="0"/>
          <w:numId w:val="7"/>
        </w:numPr>
      </w:pPr>
      <w:r w:rsidRPr="00345F67">
        <w:rPr>
          <w:b/>
          <w:bCs/>
        </w:rPr>
        <w:t>Solicitar pronto despacho</w:t>
      </w:r>
      <w:r w:rsidRPr="00345F67">
        <w:t xml:space="preserve"> para el señalamiento en alzada.</w:t>
      </w:r>
    </w:p>
    <w:p w14:paraId="04948646" w14:textId="77777777" w:rsidR="00345F67" w:rsidRPr="00345F67" w:rsidRDefault="00345F67" w:rsidP="00345F67">
      <w:pPr>
        <w:numPr>
          <w:ilvl w:val="0"/>
          <w:numId w:val="7"/>
        </w:numPr>
      </w:pPr>
      <w:r w:rsidRPr="00345F67">
        <w:rPr>
          <w:b/>
          <w:bCs/>
        </w:rPr>
        <w:t>Preparar informe técnico</w:t>
      </w:r>
      <w:r w:rsidRPr="00345F67">
        <w:t xml:space="preserve"> comparando el </w:t>
      </w:r>
      <w:r w:rsidRPr="00345F67">
        <w:rPr>
          <w:b/>
          <w:bCs/>
        </w:rPr>
        <w:t xml:space="preserve">método </w:t>
      </w:r>
      <w:proofErr w:type="spellStart"/>
      <w:r w:rsidRPr="00345F67">
        <w:rPr>
          <w:b/>
          <w:bCs/>
        </w:rPr>
        <w:t>valuatorio</w:t>
      </w:r>
      <w:proofErr w:type="spellEnd"/>
      <w:r w:rsidRPr="00345F67">
        <w:t xml:space="preserve"> del fallo con </w:t>
      </w:r>
      <w:r w:rsidRPr="00345F67">
        <w:rPr>
          <w:b/>
          <w:bCs/>
        </w:rPr>
        <w:t>estándares internacionales</w:t>
      </w:r>
      <w:r w:rsidRPr="00345F67">
        <w:t xml:space="preserve"> (p. ej., IVS/</w:t>
      </w:r>
      <w:proofErr w:type="spellStart"/>
      <w:r w:rsidRPr="00345F67">
        <w:t>TEGoVA</w:t>
      </w:r>
      <w:proofErr w:type="spellEnd"/>
      <w:r w:rsidRPr="00345F67">
        <w:t>), para reforzar la defensa en apelación.</w:t>
      </w:r>
    </w:p>
    <w:p w14:paraId="50EFECB1" w14:textId="77777777" w:rsidR="00345F67" w:rsidRPr="00345F67" w:rsidRDefault="00345F67" w:rsidP="00345F67">
      <w:pPr>
        <w:numPr>
          <w:ilvl w:val="0"/>
          <w:numId w:val="7"/>
        </w:numPr>
      </w:pPr>
      <w:r w:rsidRPr="00345F67">
        <w:rPr>
          <w:b/>
          <w:bCs/>
        </w:rPr>
        <w:t>Actualizar avalúos</w:t>
      </w:r>
      <w:r w:rsidRPr="00345F67">
        <w:t xml:space="preserve"> con corte al </w:t>
      </w:r>
      <w:r w:rsidRPr="00345F67">
        <w:rPr>
          <w:b/>
          <w:bCs/>
        </w:rPr>
        <w:t>mes previo a la eventual audiencia de vista</w:t>
      </w:r>
      <w:r w:rsidRPr="00345F67">
        <w:t>, justificando índices e insumos económicos utilizados.</w:t>
      </w:r>
    </w:p>
    <w:p w14:paraId="1F582429" w14:textId="77777777" w:rsidR="00345F67" w:rsidRPr="00345F67" w:rsidRDefault="00345F67" w:rsidP="00345F67">
      <w:pPr>
        <w:numPr>
          <w:ilvl w:val="0"/>
          <w:numId w:val="7"/>
        </w:numPr>
      </w:pPr>
      <w:r w:rsidRPr="00345F67">
        <w:rPr>
          <w:b/>
          <w:bCs/>
        </w:rPr>
        <w:t>Revisar intereses y eventuales daños</w:t>
      </w:r>
      <w:r w:rsidRPr="00345F67">
        <w:t xml:space="preserve"> por </w:t>
      </w:r>
      <w:r w:rsidRPr="00345F67">
        <w:rPr>
          <w:b/>
          <w:bCs/>
        </w:rPr>
        <w:t>ocupación temprana</w:t>
      </w:r>
      <w:r w:rsidRPr="00345F67">
        <w:t>, si proceden, documentando fechas y trazabilidad.</w:t>
      </w:r>
    </w:p>
    <w:p w14:paraId="136FF4EA" w14:textId="77777777" w:rsidR="00345F67" w:rsidRPr="00345F67" w:rsidRDefault="00345F67" w:rsidP="00345F67">
      <w:pPr>
        <w:numPr>
          <w:ilvl w:val="0"/>
          <w:numId w:val="7"/>
        </w:numPr>
      </w:pPr>
      <w:r w:rsidRPr="00345F67">
        <w:rPr>
          <w:b/>
          <w:bCs/>
        </w:rPr>
        <w:lastRenderedPageBreak/>
        <w:t>Explorar salida alterna</w:t>
      </w:r>
      <w:r w:rsidRPr="00345F67">
        <w:t xml:space="preserve">: </w:t>
      </w:r>
      <w:r w:rsidRPr="00345F67">
        <w:rPr>
          <w:b/>
          <w:bCs/>
        </w:rPr>
        <w:t>conciliación</w:t>
      </w:r>
      <w:r w:rsidRPr="00345F67">
        <w:t xml:space="preserve"> sobre el </w:t>
      </w:r>
      <w:r w:rsidRPr="00345F67">
        <w:rPr>
          <w:b/>
          <w:bCs/>
        </w:rPr>
        <w:t>monto</w:t>
      </w:r>
      <w:r w:rsidRPr="00345F67">
        <w:t xml:space="preserve"> con </w:t>
      </w:r>
      <w:r w:rsidRPr="00345F67">
        <w:rPr>
          <w:b/>
          <w:bCs/>
        </w:rPr>
        <w:t>fórmula de actualización</w:t>
      </w:r>
      <w:r w:rsidRPr="00345F67">
        <w:t xml:space="preserve"> y </w:t>
      </w:r>
      <w:r w:rsidRPr="00345F67">
        <w:rPr>
          <w:b/>
          <w:bCs/>
        </w:rPr>
        <w:t>plazo de pago</w:t>
      </w:r>
      <w:r w:rsidRPr="00345F67">
        <w:t xml:space="preserve">, condicionada a la </w:t>
      </w:r>
      <w:r w:rsidRPr="00345F67">
        <w:rPr>
          <w:b/>
          <w:bCs/>
        </w:rPr>
        <w:t>homologación</w:t>
      </w:r>
      <w:r w:rsidRPr="00345F67">
        <w:t xml:space="preserve"> por el Tribunal.</w:t>
      </w:r>
    </w:p>
    <w:p w14:paraId="49137B71" w14:textId="77777777" w:rsidR="00345F67" w:rsidRPr="00345F67" w:rsidRDefault="00345F67" w:rsidP="00345F67">
      <w:r w:rsidRPr="00345F67">
        <w:pict w14:anchorId="263C2740">
          <v:rect id="_x0000_i1066" style="width:0;height:1.5pt" o:hrstd="t" o:hr="t" fillcolor="#a0a0a0" stroked="f"/>
        </w:pict>
      </w:r>
    </w:p>
    <w:p w14:paraId="0B736E01" w14:textId="77777777" w:rsidR="00345F67" w:rsidRPr="00345F67" w:rsidRDefault="00345F67" w:rsidP="00345F67">
      <w:pPr>
        <w:rPr>
          <w:b/>
          <w:bCs/>
        </w:rPr>
      </w:pPr>
      <w:r w:rsidRPr="00345F67">
        <w:rPr>
          <w:b/>
          <w:bCs/>
        </w:rPr>
        <w:t>7) Anexos propuestos (para facilitar tu segundo documento)</w:t>
      </w:r>
    </w:p>
    <w:p w14:paraId="664FC892" w14:textId="77777777" w:rsidR="00345F67" w:rsidRPr="00345F67" w:rsidRDefault="00345F67" w:rsidP="00345F67">
      <w:pPr>
        <w:numPr>
          <w:ilvl w:val="0"/>
          <w:numId w:val="8"/>
        </w:numPr>
      </w:pPr>
      <w:r w:rsidRPr="00345F67">
        <w:rPr>
          <w:b/>
          <w:bCs/>
        </w:rPr>
        <w:t>Anexo A:</w:t>
      </w:r>
      <w:r w:rsidRPr="00345F67">
        <w:t xml:space="preserve"> Línea de tiempo actualizada (dic. 2024 → oct. 2025).</w:t>
      </w:r>
    </w:p>
    <w:p w14:paraId="1DCE6953" w14:textId="77777777" w:rsidR="00345F67" w:rsidRPr="00345F67" w:rsidRDefault="00345F67" w:rsidP="00345F67">
      <w:pPr>
        <w:numPr>
          <w:ilvl w:val="0"/>
          <w:numId w:val="8"/>
        </w:numPr>
      </w:pPr>
      <w:r w:rsidRPr="00345F67">
        <w:rPr>
          <w:b/>
          <w:bCs/>
        </w:rPr>
        <w:t>Anexo B:</w:t>
      </w:r>
      <w:r w:rsidRPr="00345F67">
        <w:t xml:space="preserve"> Cuadro comparativo de </w:t>
      </w:r>
      <w:r w:rsidRPr="00345F67">
        <w:rPr>
          <w:b/>
          <w:bCs/>
        </w:rPr>
        <w:t>métodos de valoración</w:t>
      </w:r>
      <w:r w:rsidRPr="00345F67">
        <w:t xml:space="preserve"> (peritos vs. Administración).</w:t>
      </w:r>
    </w:p>
    <w:p w14:paraId="12AB584B" w14:textId="77777777" w:rsidR="00345F67" w:rsidRPr="00345F67" w:rsidRDefault="00345F67" w:rsidP="00345F67">
      <w:pPr>
        <w:numPr>
          <w:ilvl w:val="0"/>
          <w:numId w:val="8"/>
        </w:numPr>
      </w:pPr>
      <w:r w:rsidRPr="00345F67">
        <w:rPr>
          <w:b/>
          <w:bCs/>
        </w:rPr>
        <w:t>Anexo C:</w:t>
      </w:r>
      <w:r w:rsidRPr="00345F67">
        <w:t xml:space="preserve"> </w:t>
      </w:r>
      <w:r w:rsidRPr="00345F67">
        <w:rPr>
          <w:b/>
          <w:bCs/>
        </w:rPr>
        <w:t>Mapa de trazabilidad probatoria</w:t>
      </w:r>
      <w:r w:rsidRPr="00345F67">
        <w:t xml:space="preserve"> (documento → acto → impacto en motivos del fallo).</w:t>
      </w:r>
    </w:p>
    <w:p w14:paraId="5266DF21" w14:textId="77777777" w:rsidR="00345F67" w:rsidRPr="00345F67" w:rsidRDefault="00345F67" w:rsidP="00345F67">
      <w:pPr>
        <w:numPr>
          <w:ilvl w:val="0"/>
          <w:numId w:val="8"/>
        </w:numPr>
      </w:pPr>
      <w:r w:rsidRPr="00345F67">
        <w:rPr>
          <w:b/>
          <w:bCs/>
        </w:rPr>
        <w:t>Anexo D:</w:t>
      </w:r>
      <w:r w:rsidRPr="00345F67">
        <w:t xml:space="preserve"> </w:t>
      </w:r>
      <w:r w:rsidRPr="00345F67">
        <w:rPr>
          <w:b/>
          <w:bCs/>
        </w:rPr>
        <w:t>Riesgos y escenarios</w:t>
      </w:r>
      <w:r w:rsidRPr="00345F67">
        <w:t xml:space="preserve"> en segunda instancia (confirmación / revocatoria / anulación total).</w:t>
      </w:r>
    </w:p>
    <w:p w14:paraId="6C3EA07A" w14:textId="77777777" w:rsidR="008826AB" w:rsidRDefault="008826AB" w:rsidP="00345F67"/>
    <w:sectPr w:rsidR="00882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67471"/>
    <w:multiLevelType w:val="multilevel"/>
    <w:tmpl w:val="E678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60903"/>
    <w:multiLevelType w:val="multilevel"/>
    <w:tmpl w:val="BFDC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C48C1"/>
    <w:multiLevelType w:val="multilevel"/>
    <w:tmpl w:val="97AA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311F9"/>
    <w:multiLevelType w:val="multilevel"/>
    <w:tmpl w:val="6C76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33661"/>
    <w:multiLevelType w:val="multilevel"/>
    <w:tmpl w:val="B9A2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10ED5"/>
    <w:multiLevelType w:val="multilevel"/>
    <w:tmpl w:val="7F66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D53C2"/>
    <w:multiLevelType w:val="multilevel"/>
    <w:tmpl w:val="EA88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1362D"/>
    <w:multiLevelType w:val="multilevel"/>
    <w:tmpl w:val="5972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507031">
    <w:abstractNumId w:val="2"/>
  </w:num>
  <w:num w:numId="2" w16cid:durableId="902721495">
    <w:abstractNumId w:val="1"/>
  </w:num>
  <w:num w:numId="3" w16cid:durableId="862480463">
    <w:abstractNumId w:val="5"/>
  </w:num>
  <w:num w:numId="4" w16cid:durableId="1862816188">
    <w:abstractNumId w:val="6"/>
  </w:num>
  <w:num w:numId="5" w16cid:durableId="1873609102">
    <w:abstractNumId w:val="7"/>
  </w:num>
  <w:num w:numId="6" w16cid:durableId="1547135217">
    <w:abstractNumId w:val="4"/>
  </w:num>
  <w:num w:numId="7" w16cid:durableId="586353737">
    <w:abstractNumId w:val="3"/>
  </w:num>
  <w:num w:numId="8" w16cid:durableId="211689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67"/>
    <w:rsid w:val="0022006C"/>
    <w:rsid w:val="00345F67"/>
    <w:rsid w:val="008826AB"/>
    <w:rsid w:val="00FB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EB65"/>
  <w15:chartTrackingRefBased/>
  <w15:docId w15:val="{B344A568-CC64-4DE5-B0C3-94D1F909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5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F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F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F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F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F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F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5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5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F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5F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F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F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5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911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Yeslin Chinchilla</dc:creator>
  <cp:keywords/>
  <dc:description/>
  <cp:lastModifiedBy>Yeslin Chinchilla</cp:lastModifiedBy>
  <cp:revision>1</cp:revision>
  <dcterms:created xsi:type="dcterms:W3CDTF">2025-10-01T18:26:00Z</dcterms:created>
  <dcterms:modified xsi:type="dcterms:W3CDTF">2025-10-01T18:27:00Z</dcterms:modified>
</cp:coreProperties>
</file>