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EA580C"/>
          <w:sz w:val="52"/>
          <w:szCs w:val="52"/>
        </w:rPr>
        <w:t xml:space="preserve">PVS Roadmap Planner</w:t>
      </w:r>
    </w:p>
    <w:p>
      <w:pPr>
        <w:spacing w:after="200"/>
        <w:jc w:val="center"/>
      </w:pPr>
      <w:r>
        <w:rPr>
          <w:color w:val="0F172A"/>
          <w:sz w:val="36"/>
          <w:szCs w:val="36"/>
        </w:rPr>
        <w:t xml:space="preserve">FR10 — National PVS Roadmap</w:t>
      </w:r>
    </w:p>
    <w:p>
      <w:pPr>
        <w:spacing w:after="600"/>
        <w:jc w:val="center"/>
      </w:pPr>
      <w:r>
        <w:rPr>
          <w:color w:val="64748B"/>
          <w:sz w:val="28"/>
          <w:szCs w:val="28"/>
        </w:rPr>
        <w:t xml:space="preserve">Design Review, Ideal Reference Screens &amp; Developer Handoff</w:t>
      </w:r>
    </w:p>
    <w:p>
      <w:pPr>
        <w:pBdr>
          <w:bottom w:val="single" w:color="E2E8F0" w:sz="1"/>
        </w:pBdr>
        <w:spacing w:after="200" w:before="200"/>
      </w:pPr>
    </w:p>
    <w:p>
      <w:pPr>
        <w:spacing w:before="400"/>
        <w:jc w:val="center"/>
      </w:pPr>
      <w:r>
        <w:rPr>
          <w:color w:val="64748B"/>
          <w:sz w:val="22"/>
          <w:szCs w:val="22"/>
        </w:rPr>
        <w:t xml:space="preserve">Prepared for: Development Team</w:t>
      </w:r>
    </w:p>
    <w:p>
      <w:pPr>
        <w:jc w:val="center"/>
      </w:pPr>
      <w:r>
        <w:rPr>
          <w:color w:val="64748B"/>
          <w:sz w:val="22"/>
          <w:szCs w:val="22"/>
        </w:rPr>
        <w:t xml:space="preserve">Date: 2026-08-04</w:t>
      </w:r>
    </w:p>
    <w:p>
      <w:pPr>
        <w:jc w:val="center"/>
      </w:pPr>
      <w:r>
        <w:rPr>
          <w:color w:val="64748B"/>
          <w:sz w:val="22"/>
          <w:szCs w:val="22"/>
        </w:rPr>
        <w:t xml:space="preserve">Source: mockups-pink-eight.vercel.app</w:t>
      </w:r>
    </w:p>
    <w:p>
      <w:pPr>
        <w:spacing w:after="200"/>
        <w:jc w:val="center"/>
      </w:pPr>
      <w:r>
        <w:rPr>
          <w:color w:val="64748B"/>
          <w:sz w:val="22"/>
          <w:szCs w:val="22"/>
        </w:rPr>
        <w:t xml:space="preserve">Ideal Screens: 7 included (Screens 1, 2, 8, 9, 10, 11 + budget correction)</w:t>
      </w:r>
    </w:p>
    <w:p>
      <w:pPr>
        <w:spacing w:after="400"/>
        <w:jc w:val="center"/>
      </w:pPr>
      <w:r>
        <w:rPr>
          <w:b/>
          <w:bCs/>
          <w:color w:val="DC2626"/>
          <w:sz w:val="22"/>
          <w:szCs w:val="22"/>
        </w:rPr>
        <w:t xml:space="preserve">Status: Review — Action Required</w:t>
      </w:r>
    </w:p>
    <w:p>
      <w:r>
        <w:br w:type="page"/>
      </w:r>
    </w:p>
    <w:p>
      <w:pPr>
        <w:pStyle w:val="Heading1"/>
        <w:spacing w:after="120" w:before="400"/>
      </w:pPr>
      <w:r>
        <w:rPr>
          <w:b/>
          <w:bCs/>
          <w:color w:val="0F172A"/>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400"/>
      </w:pPr>
      <w:r>
        <w:rPr>
          <w:b/>
          <w:bCs/>
          <w:color w:val="0F172A"/>
        </w:rPr>
        <w:t xml:space="preserve">Executive Summary</w:t>
      </w:r>
    </w:p>
    <w:p>
      <w:pPr>
        <w:spacing w:after="120"/>
        <w:jc w:val="left"/>
      </w:pPr>
      <w:r>
        <w:rPr>
          <w:color w:val="333333"/>
          <w:sz w:val="22"/>
          <w:szCs w:val="22"/>
        </w:rPr>
        <w:t xml:space="preserve">This document reviews the 7 mockup screens for the FR10 National PVS Roadmap feature and provides corrected ideal reference screens for the developer to duplicate. It identifies critical gaps, provides severity-rated issue tables, and includes 6 ideal screen mockups embedded as images with accompanying HTML files for interactive reference.</w:t>
      </w:r>
    </w:p>
    <w:p>
      <w:pPr>
        <w:spacing w:after="120"/>
      </w:pPr>
      <w:r>
        <w:rPr>
          <w:b/>
          <w:bCs/>
          <w:color w:val="0F172A"/>
          <w:sz w:val="22"/>
          <w:szCs w:val="22"/>
        </w:rPr>
        <w:t xml:space="preserve">Budget correction: </w:t>
      </w:r>
      <w:r>
        <w:rPr>
          <w:color w:val="333333"/>
          <w:sz w:val="22"/>
          <w:szCs w:val="22"/>
        </w:rPr>
        <w:t xml:space="preserve">The original mockups show per-activity dollar amounts ($150K, $180K) on every card. FR10 does not ask for this. Per-mission budgets are operational detail belonging to the Mission Workflow. Budget projections in FR10 are programme-level analytics only (annual totals, breakdowns by mission type, cohort projections). Individual activity cards should NOT show dollar amounts. Budget data belongs exclusively in the executive summary panel and cohort analytics, derived from historical averages by mission type.</w:t>
      </w:r>
    </w:p>
    <w:p>
      <w:pPr>
        <w:spacing w:after="120"/>
      </w:pPr>
      <w:r>
        <w:rPr>
          <w:b/>
          <w:bCs/>
          <w:color w:val="0F172A"/>
          <w:sz w:val="22"/>
          <w:szCs w:val="22"/>
        </w:rPr>
        <w:t xml:space="preserve">Quarterly → Annual: </w:t>
      </w:r>
      <w:r>
        <w:rPr>
          <w:color w:val="333333"/>
          <w:sz w:val="22"/>
          <w:szCs w:val="22"/>
        </w:rPr>
        <w:t xml:space="preserve">The 20-column quarterly grid must change to a 5-column annual grid. FR10 says "five-year activity roadmap" with "annual budgets" — the planning unit is the year. This eliminates triple-sticky CSS issues, simplifies drag-snap, and makes mobile trivial.</w:t>
      </w:r>
    </w:p>
    <w:p>
      <w:pPr>
        <w:pBdr>
          <w:bottom w:val="single" w:color="E2E8F0" w:sz="1"/>
        </w:pBdr>
        <w:spacing w:after="200" w:before="200"/>
      </w:pPr>
    </w:p>
    <w:p>
      <w:r>
        <w:br w:type="page"/>
      </w:r>
    </w:p>
    <w:p>
      <w:pPr>
        <w:pStyle w:val="Heading1"/>
        <w:spacing w:after="120" w:before="400"/>
      </w:pPr>
      <w:r>
        <w:rPr>
          <w:b/>
          <w:bCs/>
          <w:color w:val="0F172A"/>
        </w:rPr>
        <w:t xml:space="preserve">Screen 1 — Timeline Layout</w:t>
      </w:r>
    </w:p>
    <w:p>
      <w:pPr>
        <w:pStyle w:val="Heading2"/>
        <w:spacing w:after="120" w:before="240"/>
      </w:pPr>
      <w:r>
        <w:rPr>
          <w:b/>
          <w:bCs/>
          <w:color w:val="0F172A"/>
        </w:rPr>
        <w:t xml:space="preserve">Issues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400"/>
      </w:tblGrid>
      <w:tr>
        <w:trPr>
          <w:tblHeader/>
        </w:trPr>
        <w:tc>
          <w:tcPr>
            <w:tcW w:type="dxa" w:w="700"/>
            <w:shd w:fill="EA580C" w:val="clear"/>
          </w:tcPr>
          <w:p>
            <w:r>
              <w:rPr>
                <w:b/>
                <w:bCs/>
                <w:color w:val="FFFFFF"/>
                <w:sz w:val="20"/>
                <w:szCs w:val="20"/>
              </w:rPr>
              <w:t xml:space="preserve">#</w:t>
            </w:r>
          </w:p>
        </w:tc>
        <w:tc>
          <w:tcPr>
            <w:tcW w:type="dxa" w:w="5400"/>
            <w:shd w:fill="EA580C" w:val="clear"/>
          </w:tcPr>
          <w:p>
            <w:r>
              <w:rPr>
                <w:b/>
                <w:bCs/>
                <w:color w:val="FFFFFF"/>
                <w:sz w:val="20"/>
                <w:szCs w:val="20"/>
              </w:rPr>
              <w:t xml:space="preserve">Issue</w:t>
            </w:r>
          </w:p>
        </w:tc>
        <w:tc>
          <w:tcPr>
            <w:tcW w:type="dxa" w:w="3400"/>
            <w:shd w:fill="EA580C" w:val="clear"/>
          </w:tcPr>
          <w:p>
            <w:r>
              <w:rPr>
                <w:b/>
                <w:bCs/>
                <w:color w:val="FFFFFF"/>
                <w:sz w:val="20"/>
                <w:szCs w:val="20"/>
              </w:rPr>
              <w:t xml:space="preserve">Severity</w:t>
            </w:r>
          </w:p>
        </w:tc>
      </w:tr>
      <w:tr>
        <w:tc>
          <w:tcPr>
            <w:tcW w:type="dxa" w:w="700"/>
          </w:tcPr>
          <w:p>
            <w:r>
              <w:rPr>
                <w:color w:val="64748B"/>
                <w:sz w:val="20"/>
                <w:szCs w:val="20"/>
              </w:rPr>
              <w:t xml:space="preserve">1</w:t>
            </w:r>
          </w:p>
        </w:tc>
        <w:tc>
          <w:tcPr>
            <w:tcW w:type="dxa" w:w="5400"/>
          </w:tcPr>
          <w:p>
            <w:pPr>
              <w:spacing w:after="40"/>
            </w:pPr>
            <w:r>
              <w:rPr>
                <w:color w:val="0F172A"/>
                <w:sz w:val="20"/>
                <w:szCs w:val="20"/>
              </w:rPr>
              <w:t xml:space="preserve">20-column quarterly grid contradicts FR10's annual planning model</w:t>
            </w:r>
          </w:p>
        </w:tc>
        <w:tc>
          <w:tcPr>
            <w:tcW w:type="dxa" w:w="3400"/>
            <w:shd w:fill="FEE2E2" w:val="clear"/>
          </w:tcPr>
          <w:p>
            <w:r>
              <w:rPr>
                <w:b/>
                <w:bCs/>
                <w:color w:val="DC2626"/>
                <w:sz w:val="20"/>
                <w:szCs w:val="20"/>
              </w:rPr>
              <w:t xml:space="preserve">Critical</w:t>
            </w:r>
          </w:p>
        </w:tc>
      </w:tr>
      <w:tr>
        <w:tc>
          <w:tcPr>
            <w:tcW w:type="dxa" w:w="700"/>
          </w:tcPr>
          <w:p>
            <w:r>
              <w:rPr>
                <w:color w:val="64748B"/>
                <w:sz w:val="20"/>
                <w:szCs w:val="20"/>
              </w:rPr>
              <w:t xml:space="preserve">2</w:t>
            </w:r>
          </w:p>
        </w:tc>
        <w:tc>
          <w:tcPr>
            <w:tcW w:type="dxa" w:w="5400"/>
          </w:tcPr>
          <w:p>
            <w:pPr>
              <w:spacing w:after="40"/>
            </w:pPr>
            <w:r>
              <w:rPr>
                <w:color w:val="0F172A"/>
                <w:sz w:val="20"/>
                <w:szCs w:val="20"/>
              </w:rPr>
              <w:t xml:space="preserve">Per-activity budget amounts on timeline bars have no basis in FR10</w:t>
            </w:r>
          </w:p>
        </w:tc>
        <w:tc>
          <w:tcPr>
            <w:tcW w:type="dxa" w:w="3400"/>
            <w:shd w:fill="FEE2E2" w:val="clear"/>
          </w:tcPr>
          <w:p>
            <w:r>
              <w:rPr>
                <w:b/>
                <w:bCs/>
                <w:color w:val="DC2626"/>
                <w:sz w:val="20"/>
                <w:szCs w:val="20"/>
              </w:rPr>
              <w:t xml:space="preserve">Critical</w:t>
            </w:r>
          </w:p>
        </w:tc>
      </w:tr>
      <w:tr>
        <w:tc>
          <w:tcPr>
            <w:tcW w:type="dxa" w:w="700"/>
          </w:tcPr>
          <w:p>
            <w:r>
              <w:rPr>
                <w:color w:val="64748B"/>
                <w:sz w:val="20"/>
                <w:szCs w:val="20"/>
              </w:rPr>
              <w:t xml:space="preserve">3</w:t>
            </w:r>
          </w:p>
        </w:tc>
        <w:tc>
          <w:tcPr>
            <w:tcW w:type="dxa" w:w="5400"/>
          </w:tcPr>
          <w:p>
            <w:pPr>
              <w:spacing w:after="40"/>
            </w:pPr>
            <w:r>
              <w:rPr>
                <w:color w:val="0F172A"/>
                <w:sz w:val="20"/>
                <w:szCs w:val="20"/>
              </w:rPr>
              <w:t xml:space="preserve">No scroll affordance — no gradient, shadow, or scrollbar hint</w:t>
            </w:r>
          </w:p>
        </w:tc>
        <w:tc>
          <w:tcPr>
            <w:tcW w:type="dxa" w:w="3400"/>
            <w:shd w:fill="FEE2E2" w:val="clear"/>
          </w:tcPr>
          <w:p>
            <w:r>
              <w:rPr>
                <w:b/>
                <w:bCs/>
                <w:color w:val="DC2626"/>
                <w:sz w:val="20"/>
                <w:szCs w:val="20"/>
              </w:rPr>
              <w:t xml:space="preserve">Critical</w:t>
            </w:r>
          </w:p>
        </w:tc>
      </w:tr>
      <w:tr>
        <w:tc>
          <w:tcPr>
            <w:tcW w:type="dxa" w:w="700"/>
          </w:tcPr>
          <w:p>
            <w:r>
              <w:rPr>
                <w:color w:val="64748B"/>
                <w:sz w:val="20"/>
                <w:szCs w:val="20"/>
              </w:rPr>
              <w:t xml:space="preserve">4</w:t>
            </w:r>
          </w:p>
        </w:tc>
        <w:tc>
          <w:tcPr>
            <w:tcW w:type="dxa" w:w="5400"/>
          </w:tcPr>
          <w:p>
            <w:pPr>
              <w:spacing w:after="40"/>
            </w:pPr>
            <w:r>
              <w:rPr>
                <w:color w:val="0F172A"/>
                <w:sz w:val="20"/>
                <w:szCs w:val="20"/>
              </w:rPr>
              <w:t xml:space="preserve">Legend bar mixes structural elements with filterable mission types</w:t>
            </w:r>
          </w:p>
        </w:tc>
        <w:tc>
          <w:tcPr>
            <w:tcW w:type="dxa" w:w="3400"/>
            <w:shd w:fill="FEF3C7" w:val="clear"/>
          </w:tcPr>
          <w:p>
            <w:r>
              <w:rPr>
                <w:b/>
                <w:bCs/>
                <w:color w:val="D97706"/>
                <w:sz w:val="20"/>
                <w:szCs w:val="20"/>
              </w:rPr>
              <w:t xml:space="preserve">Major</w:t>
            </w:r>
          </w:p>
        </w:tc>
      </w:tr>
      <w:tr>
        <w:tc>
          <w:tcPr>
            <w:tcW w:type="dxa" w:w="700"/>
          </w:tcPr>
          <w:p>
            <w:r>
              <w:rPr>
                <w:color w:val="64748B"/>
                <w:sz w:val="20"/>
                <w:szCs w:val="20"/>
              </w:rPr>
              <w:t xml:space="preserve">5</w:t>
            </w:r>
          </w:p>
        </w:tc>
        <w:tc>
          <w:tcPr>
            <w:tcW w:type="dxa" w:w="5400"/>
          </w:tcPr>
          <w:p>
            <w:pPr>
              <w:spacing w:after="40"/>
            </w:pPr>
            <w:r>
              <w:rPr>
                <w:color w:val="0F172A"/>
                <w:sz w:val="20"/>
                <w:szCs w:val="20"/>
              </w:rPr>
              <w:t xml:space="preserve">Breadcrumb and header duplicate country, region, date range</w:t>
            </w:r>
          </w:p>
        </w:tc>
        <w:tc>
          <w:tcPr>
            <w:tcW w:type="dxa" w:w="3400"/>
            <w:shd w:fill="FEF3C7" w:val="clear"/>
          </w:tcPr>
          <w:p>
            <w:r>
              <w:rPr>
                <w:b/>
                <w:bCs/>
                <w:color w:val="D97706"/>
                <w:sz w:val="20"/>
                <w:szCs w:val="20"/>
              </w:rPr>
              <w:t xml:space="preserve">Major</w:t>
            </w:r>
          </w:p>
        </w:tc>
      </w:tr>
      <w:tr>
        <w:tc>
          <w:tcPr>
            <w:tcW w:type="dxa" w:w="700"/>
          </w:tcPr>
          <w:p>
            <w:r>
              <w:rPr>
                <w:color w:val="64748B"/>
                <w:sz w:val="20"/>
                <w:szCs w:val="20"/>
              </w:rPr>
              <w:t xml:space="preserve">6</w:t>
            </w:r>
          </w:p>
        </w:tc>
        <w:tc>
          <w:tcPr>
            <w:tcW w:type="dxa" w:w="5400"/>
          </w:tcPr>
          <w:p>
            <w:pPr>
              <w:spacing w:after="40"/>
            </w:pPr>
            <w:r>
              <w:rPr>
                <w:color w:val="0F172A"/>
                <w:sz w:val="20"/>
                <w:szCs w:val="20"/>
              </w:rPr>
              <w:t xml:space="preserve">Zoom controls show no current percentage</w:t>
            </w:r>
          </w:p>
        </w:tc>
        <w:tc>
          <w:tcPr>
            <w:tcW w:type="dxa" w:w="3400"/>
            <w:shd w:fill="FEF3C7" w:val="clear"/>
          </w:tcPr>
          <w:p>
            <w:r>
              <w:rPr>
                <w:b/>
                <w:bCs/>
                <w:color w:val="D97706"/>
                <w:sz w:val="20"/>
                <w:szCs w:val="20"/>
              </w:rPr>
              <w:t xml:space="preserve">Major</w:t>
            </w:r>
          </w:p>
        </w:tc>
      </w:tr>
      <w:tr>
        <w:tc>
          <w:tcPr>
            <w:tcW w:type="dxa" w:w="700"/>
          </w:tcPr>
          <w:p>
            <w:r>
              <w:rPr>
                <w:color w:val="64748B"/>
                <w:sz w:val="20"/>
                <w:szCs w:val="20"/>
              </w:rPr>
              <w:t xml:space="preserve">7</w:t>
            </w:r>
          </w:p>
        </w:tc>
        <w:tc>
          <w:tcPr>
            <w:tcW w:type="dxa" w:w="5400"/>
          </w:tcPr>
          <w:p>
            <w:pPr>
              <w:spacing w:after="40"/>
            </w:pPr>
            <w:r>
              <w:rPr>
                <w:color w:val="0F172A"/>
                <w:sz w:val="20"/>
                <w:szCs w:val="20"/>
              </w:rPr>
              <w:t xml:space="preserve">No confidence degradation visual for Year 4–5 vs Year 1</w:t>
            </w:r>
          </w:p>
        </w:tc>
        <w:tc>
          <w:tcPr>
            <w:tcW w:type="dxa" w:w="3400"/>
            <w:shd w:fill="FEF3C7" w:val="clear"/>
          </w:tcPr>
          <w:p>
            <w:r>
              <w:rPr>
                <w:b/>
                <w:bCs/>
                <w:color w:val="D97706"/>
                <w:sz w:val="20"/>
                <w:szCs w:val="20"/>
              </w:rPr>
              <w:t xml:space="preserve">Major</w:t>
            </w:r>
          </w:p>
        </w:tc>
      </w:tr>
      <w:tr>
        <w:tc>
          <w:tcPr>
            <w:tcW w:type="dxa" w:w="700"/>
          </w:tcPr>
          <w:p>
            <w:r>
              <w:rPr>
                <w:color w:val="64748B"/>
                <w:sz w:val="20"/>
                <w:szCs w:val="20"/>
              </w:rPr>
              <w:t xml:space="preserve">8</w:t>
            </w:r>
          </w:p>
        </w:tc>
        <w:tc>
          <w:tcPr>
            <w:tcW w:type="dxa" w:w="5400"/>
          </w:tcPr>
          <w:p>
            <w:pPr>
              <w:spacing w:after="40"/>
            </w:pPr>
            <w:r>
              <w:rPr>
                <w:color w:val="0F172A"/>
                <w:sz w:val="20"/>
                <w:szCs w:val="20"/>
              </w:rPr>
              <w:t xml:space="preserve">Budget heatmap has no numeric labels</w:t>
            </w:r>
          </w:p>
        </w:tc>
        <w:tc>
          <w:tcPr>
            <w:tcW w:type="dxa" w:w="3400"/>
            <w:shd w:fill="FEF3C7" w:val="clear"/>
          </w:tcPr>
          <w:p>
            <w:r>
              <w:rPr>
                <w:b/>
                <w:bCs/>
                <w:color w:val="D97706"/>
                <w:sz w:val="20"/>
                <w:szCs w:val="20"/>
              </w:rPr>
              <w:t xml:space="preserve">Major</w:t>
            </w:r>
          </w:p>
        </w:tc>
      </w:tr>
      <w:tr>
        <w:tc>
          <w:tcPr>
            <w:tcW w:type="dxa" w:w="700"/>
          </w:tcPr>
          <w:p>
            <w:r>
              <w:rPr>
                <w:color w:val="64748B"/>
                <w:sz w:val="20"/>
                <w:szCs w:val="20"/>
              </w:rPr>
              <w:t xml:space="preserve">9</w:t>
            </w:r>
          </w:p>
        </w:tc>
        <w:tc>
          <w:tcPr>
            <w:tcW w:type="dxa" w:w="5400"/>
          </w:tcPr>
          <w:p>
            <w:pPr>
              <w:spacing w:after="40"/>
            </w:pPr>
            <w:r>
              <w:rPr>
                <w:color w:val="0F172A"/>
                <w:sz w:val="20"/>
                <w:szCs w:val="20"/>
              </w:rPr>
              <w:t xml:space="preserve">"Interactive" label is meaningless</w:t>
            </w:r>
          </w:p>
        </w:tc>
        <w:tc>
          <w:tcPr>
            <w:tcW w:type="dxa" w:w="3400"/>
            <w:shd w:fill="F0FDF4" w:val="clear"/>
          </w:tcPr>
          <w:p>
            <w:r>
              <w:rPr>
                <w:b/>
                <w:bCs/>
                <w:color w:val="16A34A"/>
                <w:sz w:val="20"/>
                <w:szCs w:val="20"/>
              </w:rPr>
              <w:t xml:space="preserve">Minor</w:t>
            </w:r>
          </w:p>
        </w:tc>
      </w:tr>
    </w:tbl>
    <w:p>
      <w:pPr>
        <w:pStyle w:val="Heading2"/>
        <w:spacing w:after="120" w:before="240"/>
      </w:pPr>
      <w:r>
        <w:rPr>
          <w:b/>
          <w:bCs/>
          <w:color w:val="0F172A"/>
        </w:rPr>
        <w:t xml:space="preserve">Ideal Screen 1 — Annual Timeline (No Per-Activity Budget)</w:t>
      </w:r>
    </w:p>
    <w:p>
      <w:pPr>
        <w:spacing w:after="120"/>
        <w:jc w:val="left"/>
      </w:pPr>
      <w:r>
        <w:rPr>
          <w:color w:val="333333"/>
          <w:sz w:val="22"/>
          <w:szCs w:val="22"/>
        </w:rPr>
        <w:t xml:space="preserve">5 annual columns. Budget shown only in the summary panel as programme-level totals by year. Activity cards show mission type, name, target year, source, and status — no dollar amount.</w:t>
      </w:r>
    </w:p>
    <w:p>
      <w:pPr>
        <w:spacing w:after="80" w:before="200"/>
        <w:jc w:val="center"/>
      </w:pPr>
      <w:r>
        <w:drawing>
          <wp:inline distT="0" distB="0" distL="0" distR="0">
            <wp:extent cx="6477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648075"/>
                    </a:xfrm>
                    <a:prstGeom prst="rect">
                      <a:avLst/>
                    </a:prstGeom>
                  </pic:spPr>
                </pic:pic>
              </a:graphicData>
            </a:graphic>
          </wp:inline>
        </w:drawing>
      </w:r>
    </w:p>
    <w:p>
      <w:pPr>
        <w:spacing w:after="200"/>
        <w:jc w:val="center"/>
      </w:pPr>
      <w:r>
        <w:rPr>
          <w:i/>
          <w:iCs/>
          <w:color w:val="64748B"/>
          <w:sz w:val="18"/>
          <w:szCs w:val="18"/>
        </w:rPr>
        <w:t xml:space="preserve">Ideal Screen 1 — Annual timeline with programme-level budget in summary panel, no per-activity dollar amounts</w:t>
      </w:r>
    </w:p>
    <w:p>
      <w:r>
        <w:br w:type="page"/>
      </w:r>
    </w:p>
    <w:p>
      <w:pPr>
        <w:pStyle w:val="Heading1"/>
        <w:spacing w:after="120" w:before="400"/>
      </w:pPr>
      <w:r>
        <w:rPr>
          <w:b/>
          <w:bCs/>
          <w:color w:val="0F172A"/>
        </w:rPr>
        <w:t xml:space="preserve">Screen 2 — Activity Cards</w:t>
      </w:r>
    </w:p>
    <w:p>
      <w:pPr>
        <w:pStyle w:val="Heading2"/>
        <w:spacing w:after="120" w:before="240"/>
      </w:pPr>
      <w:r>
        <w:rPr>
          <w:b/>
          <w:bCs/>
          <w:color w:val="0F172A"/>
        </w:rPr>
        <w:t xml:space="preserve">Issues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400"/>
      </w:tblGrid>
      <w:tr>
        <w:trPr>
          <w:tblHeader/>
        </w:trPr>
        <w:tc>
          <w:tcPr>
            <w:tcW w:type="dxa" w:w="700"/>
            <w:shd w:fill="EA580C" w:val="clear"/>
          </w:tcPr>
          <w:p>
            <w:r>
              <w:rPr>
                <w:b/>
                <w:bCs/>
                <w:color w:val="FFFFFF"/>
                <w:sz w:val="20"/>
                <w:szCs w:val="20"/>
              </w:rPr>
              <w:t xml:space="preserve">#</w:t>
            </w:r>
          </w:p>
        </w:tc>
        <w:tc>
          <w:tcPr>
            <w:tcW w:type="dxa" w:w="5400"/>
            <w:shd w:fill="EA580C" w:val="clear"/>
          </w:tcPr>
          <w:p>
            <w:r>
              <w:rPr>
                <w:b/>
                <w:bCs/>
                <w:color w:val="FFFFFF"/>
                <w:sz w:val="20"/>
                <w:szCs w:val="20"/>
              </w:rPr>
              <w:t xml:space="preserve">Issue</w:t>
            </w:r>
          </w:p>
        </w:tc>
        <w:tc>
          <w:tcPr>
            <w:tcW w:type="dxa" w:w="3400"/>
            <w:shd w:fill="EA580C" w:val="clear"/>
          </w:tcPr>
          <w:p>
            <w:r>
              <w:rPr>
                <w:b/>
                <w:bCs/>
                <w:color w:val="FFFFFF"/>
                <w:sz w:val="20"/>
                <w:szCs w:val="20"/>
              </w:rPr>
              <w:t xml:space="preserve">Severity</w:t>
            </w:r>
          </w:p>
        </w:tc>
      </w:tr>
      <w:tr>
        <w:tc>
          <w:tcPr>
            <w:tcW w:type="dxa" w:w="700"/>
          </w:tcPr>
          <w:p>
            <w:r>
              <w:rPr>
                <w:color w:val="64748B"/>
                <w:sz w:val="20"/>
                <w:szCs w:val="20"/>
              </w:rPr>
              <w:t xml:space="preserve">1</w:t>
            </w:r>
          </w:p>
        </w:tc>
        <w:tc>
          <w:tcPr>
            <w:tcW w:type="dxa" w:w="5400"/>
          </w:tcPr>
          <w:p>
            <w:pPr>
              <w:spacing w:after="40"/>
            </w:pPr>
            <w:r>
              <w:rPr>
                <w:color w:val="0F172A"/>
                <w:sz w:val="20"/>
                <w:szCs w:val="20"/>
              </w:rPr>
              <w:t xml:space="preserve">Per-activity budget ($150K, $180K) on every card — FR10 doesn't require this and it's fabricated precision</w:t>
            </w:r>
          </w:p>
        </w:tc>
        <w:tc>
          <w:tcPr>
            <w:tcW w:type="dxa" w:w="3400"/>
            <w:shd w:fill="FEE2E2" w:val="clear"/>
          </w:tcPr>
          <w:p>
            <w:r>
              <w:rPr>
                <w:b/>
                <w:bCs/>
                <w:color w:val="DC2626"/>
                <w:sz w:val="20"/>
                <w:szCs w:val="20"/>
              </w:rPr>
              <w:t xml:space="preserve">Critical</w:t>
            </w:r>
          </w:p>
        </w:tc>
      </w:tr>
      <w:tr>
        <w:tc>
          <w:tcPr>
            <w:tcW w:type="dxa" w:w="700"/>
          </w:tcPr>
          <w:p>
            <w:r>
              <w:rPr>
                <w:color w:val="64748B"/>
                <w:sz w:val="20"/>
                <w:szCs w:val="20"/>
              </w:rPr>
              <w:t xml:space="preserve">2</w:t>
            </w:r>
          </w:p>
        </w:tc>
        <w:tc>
          <w:tcPr>
            <w:tcW w:type="dxa" w:w="5400"/>
          </w:tcPr>
          <w:p>
            <w:pPr>
              <w:spacing w:after="40"/>
            </w:pPr>
            <w:r>
              <w:rPr>
                <w:color w:val="0F172A"/>
                <w:sz w:val="20"/>
                <w:szCs w:val="20"/>
              </w:rPr>
              <w:t xml:space="preserve">Standard and AI cards have wildly different heights — ragged rows in grid</w:t>
            </w:r>
          </w:p>
        </w:tc>
        <w:tc>
          <w:tcPr>
            <w:tcW w:type="dxa" w:w="3400"/>
            <w:shd w:fill="FEF3C7" w:val="clear"/>
          </w:tcPr>
          <w:p>
            <w:r>
              <w:rPr>
                <w:b/>
                <w:bCs/>
                <w:color w:val="D97706"/>
                <w:sz w:val="20"/>
                <w:szCs w:val="20"/>
              </w:rPr>
              <w:t xml:space="preserve">Major</w:t>
            </w:r>
          </w:p>
        </w:tc>
      </w:tr>
      <w:tr>
        <w:tc>
          <w:tcPr>
            <w:tcW w:type="dxa" w:w="700"/>
          </w:tcPr>
          <w:p>
            <w:r>
              <w:rPr>
                <w:color w:val="64748B"/>
                <w:sz w:val="20"/>
                <w:szCs w:val="20"/>
              </w:rPr>
              <w:t xml:space="preserve">3</w:t>
            </w:r>
          </w:p>
        </w:tc>
        <w:tc>
          <w:tcPr>
            <w:tcW w:type="dxa" w:w="5400"/>
          </w:tcPr>
          <w:p>
            <w:pPr>
              <w:spacing w:after="40"/>
            </w:pPr>
            <w:r>
              <w:rPr>
                <w:color w:val="0F172A"/>
                <w:sz w:val="20"/>
                <w:szCs w:val="20"/>
              </w:rPr>
              <w:t xml:space="preserve">"Drag to reposition" is a permanent label, not a hover tooltip</w:t>
            </w:r>
          </w:p>
        </w:tc>
        <w:tc>
          <w:tcPr>
            <w:tcW w:type="dxa" w:w="3400"/>
            <w:shd w:fill="F0FDF4" w:val="clear"/>
          </w:tcPr>
          <w:p>
            <w:r>
              <w:rPr>
                <w:b/>
                <w:bCs/>
                <w:color w:val="16A34A"/>
                <w:sz w:val="20"/>
                <w:szCs w:val="20"/>
              </w:rPr>
              <w:t xml:space="preserve">Minor</w:t>
            </w:r>
          </w:p>
        </w:tc>
      </w:tr>
      <w:tr>
        <w:tc>
          <w:tcPr>
            <w:tcW w:type="dxa" w:w="700"/>
          </w:tcPr>
          <w:p>
            <w:r>
              <w:rPr>
                <w:color w:val="64748B"/>
                <w:sz w:val="20"/>
                <w:szCs w:val="20"/>
              </w:rPr>
              <w:t xml:space="preserve">4</w:t>
            </w:r>
          </w:p>
        </w:tc>
        <w:tc>
          <w:tcPr>
            <w:tcW w:type="dxa" w:w="5400"/>
          </w:tcPr>
          <w:p>
            <w:pPr>
              <w:spacing w:after="40"/>
            </w:pPr>
            <w:r>
              <w:rPr>
                <w:color w:val="0F172A"/>
                <w:sz w:val="20"/>
                <w:szCs w:val="20"/>
              </w:rPr>
              <w:t xml:space="preserve">Delete in overflow menu uses same colour as non-destructive actions</w:t>
            </w:r>
          </w:p>
        </w:tc>
        <w:tc>
          <w:tcPr>
            <w:tcW w:type="dxa" w:w="3400"/>
            <w:shd w:fill="FEF3C7" w:val="clear"/>
          </w:tcPr>
          <w:p>
            <w:r>
              <w:rPr>
                <w:b/>
                <w:bCs/>
                <w:color w:val="D97706"/>
                <w:sz w:val="20"/>
                <w:szCs w:val="20"/>
              </w:rPr>
              <w:t xml:space="preserve">Major</w:t>
            </w:r>
          </w:p>
        </w:tc>
      </w:tr>
      <w:tr>
        <w:tc>
          <w:tcPr>
            <w:tcW w:type="dxa" w:w="700"/>
          </w:tcPr>
          <w:p>
            <w:r>
              <w:rPr>
                <w:color w:val="64748B"/>
                <w:sz w:val="20"/>
                <w:szCs w:val="20"/>
              </w:rPr>
              <w:t xml:space="preserve">5</w:t>
            </w:r>
          </w:p>
        </w:tc>
        <w:tc>
          <w:tcPr>
            <w:tcW w:type="dxa" w:w="5400"/>
          </w:tcPr>
          <w:p>
            <w:pPr>
              <w:spacing w:after="40"/>
            </w:pPr>
            <w:r>
              <w:rPr>
                <w:color w:val="0F172A"/>
                <w:sz w:val="20"/>
                <w:szCs w:val="20"/>
              </w:rPr>
              <w:t xml:space="preserve">Emoji for source attribution renders inconsistently across platforms</w:t>
            </w:r>
          </w:p>
        </w:tc>
        <w:tc>
          <w:tcPr>
            <w:tcW w:type="dxa" w:w="3400"/>
            <w:shd w:fill="FEF3C7" w:val="clear"/>
          </w:tcPr>
          <w:p>
            <w:r>
              <w:rPr>
                <w:b/>
                <w:bCs/>
                <w:color w:val="D97706"/>
                <w:sz w:val="20"/>
                <w:szCs w:val="20"/>
              </w:rPr>
              <w:t xml:space="preserve">Major</w:t>
            </w:r>
          </w:p>
        </w:tc>
      </w:tr>
      <w:tr>
        <w:tc>
          <w:tcPr>
            <w:tcW w:type="dxa" w:w="700"/>
          </w:tcPr>
          <w:p>
            <w:r>
              <w:rPr>
                <w:color w:val="64748B"/>
                <w:sz w:val="20"/>
                <w:szCs w:val="20"/>
              </w:rPr>
              <w:t xml:space="preserve">6</w:t>
            </w:r>
          </w:p>
        </w:tc>
        <w:tc>
          <w:tcPr>
            <w:tcW w:type="dxa" w:w="5400"/>
          </w:tcPr>
          <w:p>
            <w:pPr>
              <w:spacing w:after="40"/>
            </w:pPr>
            <w:r>
              <w:rPr>
                <w:color w:val="0F172A"/>
                <w:sz w:val="20"/>
                <w:szCs w:val="20"/>
              </w:rPr>
              <w:t xml:space="preserve">Inline bars shown at one width only — no truncation behaviour demonstrated</w:t>
            </w:r>
          </w:p>
        </w:tc>
        <w:tc>
          <w:tcPr>
            <w:tcW w:type="dxa" w:w="3400"/>
            <w:shd w:fill="FEF3C7" w:val="clear"/>
          </w:tcPr>
          <w:p>
            <w:r>
              <w:rPr>
                <w:b/>
                <w:bCs/>
                <w:color w:val="D97706"/>
                <w:sz w:val="20"/>
                <w:szCs w:val="20"/>
              </w:rPr>
              <w:t xml:space="preserve">Major</w:t>
            </w:r>
          </w:p>
        </w:tc>
      </w:tr>
    </w:tbl>
    <w:p>
      <w:pPr>
        <w:pStyle w:val="Heading2"/>
        <w:spacing w:after="120" w:before="240"/>
      </w:pPr>
      <w:r>
        <w:rPr>
          <w:b/>
          <w:bCs/>
          <w:color w:val="0F172A"/>
        </w:rPr>
        <w:t xml:space="preserve">Ideal Screen 2 — Cards Without Budget</w:t>
      </w:r>
    </w:p>
    <w:p>
      <w:pPr>
        <w:spacing w:after="120"/>
        <w:jc w:val="left"/>
      </w:pPr>
      <w:r>
        <w:rPr>
          <w:color w:val="333333"/>
          <w:sz w:val="22"/>
          <w:szCs w:val="22"/>
        </w:rPr>
        <w:t xml:space="preserve">Cards show mission type, name, target year, duration, source, and status. No dollar amount. AI rationale is collapsible to maintain consistent card height. SVG icons replace emoji. Delete action separated in red. Inline bars at 3 widths.</w:t>
      </w:r>
    </w:p>
    <w:p>
      <w:pPr>
        <w:spacing w:after="80" w:before="200"/>
        <w:jc w:val="center"/>
      </w:pPr>
      <w:r>
        <w:drawing>
          <wp:inline distT="0" distB="0" distL="0" distR="0">
            <wp:extent cx="6477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000500"/>
                    </a:xfrm>
                    <a:prstGeom prst="rect">
                      <a:avLst/>
                    </a:prstGeom>
                  </pic:spPr>
                </pic:pic>
              </a:graphicData>
            </a:graphic>
          </wp:inline>
        </w:drawing>
      </w:r>
    </w:p>
    <w:p>
      <w:pPr>
        <w:spacing w:after="200"/>
        <w:jc w:val="center"/>
      </w:pPr>
      <w:r>
        <w:rPr>
          <w:i/>
          <w:iCs/>
          <w:color w:val="64748B"/>
          <w:sz w:val="18"/>
          <w:szCs w:val="18"/>
        </w:rPr>
        <w:t xml:space="preserve">Ideal Screen 2 — Activity cards with no per-activity budget, SVG icons, collapsible AI rationale, 3-width inline bars</w:t>
      </w:r>
    </w:p>
    <w:p>
      <w:r>
        <w:br w:type="page"/>
      </w:r>
    </w:p>
    <w:p>
      <w:pPr>
        <w:pStyle w:val="Heading1"/>
        <w:spacing w:after="120" w:before="400"/>
      </w:pPr>
      <w:r>
        <w:rPr>
          <w:b/>
          <w:bCs/>
          <w:color w:val="0F172A"/>
        </w:rPr>
        <w:t xml:space="preserve">Screens 3–7 — Text Reviews</w:t>
      </w:r>
    </w:p>
    <w:p>
      <w:pPr>
        <w:pStyle w:val="Heading2"/>
        <w:spacing w:after="120" w:before="240"/>
      </w:pPr>
      <w:r>
        <w:rPr>
          <w:b/>
          <w:bCs/>
          <w:color w:val="0F172A"/>
        </w:rPr>
        <w:t xml:space="preserve">Screen 3 — Colour Coding</w:t>
      </w:r>
    </w:p>
    <w:p>
      <w:pPr>
        <w:pStyle w:val="ListParagraph"/>
        <w:numPr>
          <w:ilvl w:val="0"/>
          <w:numId w:val="1"/>
        </w:numPr>
        <w:spacing w:after="80"/>
      </w:pPr>
      <w:r>
        <w:rPr>
          <w:b/>
          <w:bCs/>
          <w:color w:val="0F172A"/>
          <w:sz w:val="22"/>
          <w:szCs w:val="22"/>
        </w:rPr>
        <w:t xml:space="preserve">Critical: </w:t>
      </w:r>
      <w:r>
        <w:rPr>
          <w:color w:val="333333"/>
          <w:sz w:val="22"/>
          <w:szCs w:val="22"/>
        </w:rPr>
        <w:t xml:space="preserve">Evaluation blue (#2563EB) and Strategic Planning indigo (#4F46E5) are too close — replace indigo with #0369A1 (dark cyan).</w:t>
      </w:r>
    </w:p>
    <w:p>
      <w:pPr>
        <w:pStyle w:val="ListParagraph"/>
        <w:numPr>
          <w:ilvl w:val="0"/>
          <w:numId w:val="1"/>
        </w:numPr>
        <w:spacing w:after="80"/>
      </w:pPr>
      <w:r>
        <w:rPr>
          <w:b/>
          <w:bCs/>
          <w:color w:val="0F172A"/>
          <w:sz w:val="22"/>
          <w:szCs w:val="22"/>
        </w:rPr>
        <w:t xml:space="preserve">Critical: </w:t>
      </w:r>
      <w:r>
        <w:rPr>
          <w:color w:val="333333"/>
          <w:sz w:val="22"/>
          <w:szCs w:val="22"/>
        </w:rPr>
        <w:t xml:space="preserve">Colours shown as isolated squares, never in context on a populated timeline row.</w:t>
      </w:r>
    </w:p>
    <w:p>
      <w:pPr>
        <w:pStyle w:val="ListParagraph"/>
        <w:numPr>
          <w:ilvl w:val="0"/>
          <w:numId w:val="1"/>
        </w:numPr>
        <w:spacing w:after="80"/>
      </w:pPr>
      <w:r>
        <w:rPr>
          <w:b/>
          <w:bCs/>
          <w:color w:val="0F172A"/>
          <w:sz w:val="22"/>
          <w:szCs w:val="22"/>
        </w:rPr>
        <w:t xml:space="preserve">Major: </w:t>
      </w:r>
      <w:r>
        <w:rPr>
          <w:color w:val="333333"/>
          <w:sz w:val="22"/>
          <w:szCs w:val="22"/>
        </w:rPr>
        <w:t xml:space="preserve">No colour-blind simulation panel (Protanopia, Deuteranopia).</w:t>
      </w:r>
    </w:p>
    <w:p>
      <w:pPr>
        <w:pStyle w:val="ListParagraph"/>
        <w:numPr>
          <w:ilvl w:val="0"/>
          <w:numId w:val="1"/>
        </w:numPr>
        <w:spacing w:after="80"/>
      </w:pPr>
      <w:r>
        <w:rPr>
          <w:b/>
          <w:bCs/>
          <w:color w:val="0F172A"/>
          <w:sz w:val="22"/>
          <w:szCs w:val="22"/>
        </w:rPr>
        <w:t xml:space="preserve">Major: </w:t>
      </w:r>
      <w:r>
        <w:rPr>
          <w:color w:val="333333"/>
          <w:sz w:val="22"/>
          <w:szCs w:val="22"/>
        </w:rPr>
        <w:t xml:space="preserve">Source abbreviations (CB, DL, AI) inconsistent with card labels (CBD Planned, Delegate).</w:t>
      </w:r>
    </w:p>
    <w:p>
      <w:pPr>
        <w:pStyle w:val="Heading2"/>
        <w:spacing w:after="120" w:before="240"/>
      </w:pPr>
      <w:r>
        <w:rPr>
          <w:b/>
          <w:bCs/>
          <w:color w:val="0F172A"/>
        </w:rPr>
        <w:t xml:space="preserve">Screen 4 — Status Badges</w:t>
      </w:r>
    </w:p>
    <w:p>
      <w:pPr>
        <w:pStyle w:val="ListParagraph"/>
        <w:numPr>
          <w:ilvl w:val="0"/>
          <w:numId w:val="1"/>
        </w:numPr>
        <w:spacing w:after="80"/>
      </w:pPr>
      <w:r>
        <w:rPr>
          <w:b/>
          <w:bCs/>
          <w:color w:val="0F172A"/>
          <w:sz w:val="22"/>
          <w:szCs w:val="22"/>
        </w:rPr>
        <w:t xml:space="preserve">Major: </w:t>
      </w:r>
      <w:r>
        <w:rPr>
          <w:color w:val="333333"/>
          <w:sz w:val="22"/>
          <w:szCs w:val="22"/>
        </w:rPr>
        <w:t xml:space="preserve">9 statuses is heavy — consider collapsing Draft and Edited by CBD for the Delegate view.</w:t>
      </w:r>
    </w:p>
    <w:p>
      <w:pPr>
        <w:pStyle w:val="ListParagraph"/>
        <w:numPr>
          <w:ilvl w:val="0"/>
          <w:numId w:val="1"/>
        </w:numPr>
        <w:spacing w:after="80"/>
      </w:pPr>
      <w:r>
        <w:rPr>
          <w:b/>
          <w:bCs/>
          <w:color w:val="0F172A"/>
          <w:sz w:val="22"/>
          <w:szCs w:val="22"/>
        </w:rPr>
        <w:t xml:space="preserve">Major: </w:t>
      </w:r>
      <w:r>
        <w:rPr>
          <w:color w:val="333333"/>
          <w:sz w:val="22"/>
          <w:szCs w:val="22"/>
        </w:rPr>
        <w:t xml:space="preserve">Auto Generated and Draft pastel backgrounds nearly indistinguishable at Small badge size.</w:t>
      </w:r>
    </w:p>
    <w:p>
      <w:pPr>
        <w:pStyle w:val="ListParagraph"/>
        <w:numPr>
          <w:ilvl w:val="0"/>
          <w:numId w:val="1"/>
        </w:numPr>
        <w:spacing w:after="80"/>
      </w:pPr>
      <w:r>
        <w:rPr>
          <w:b/>
          <w:bCs/>
          <w:color w:val="0F172A"/>
          <w:sz w:val="22"/>
          <w:szCs w:val="22"/>
        </w:rPr>
        <w:t xml:space="preserve">Major: </w:t>
      </w:r>
      <w:r>
        <w:rPr>
          <w:color w:val="333333"/>
          <w:sz w:val="22"/>
          <w:szCs w:val="22"/>
        </w:rPr>
        <w:t xml:space="preserve">Cancelled strikethrough illegible at 10px in Small pill.</w:t>
      </w:r>
    </w:p>
    <w:p>
      <w:pPr>
        <w:pStyle w:val="ListParagraph"/>
        <w:numPr>
          <w:ilvl w:val="0"/>
          <w:numId w:val="1"/>
        </w:numPr>
        <w:spacing w:after="80"/>
      </w:pPr>
      <w:r>
        <w:rPr>
          <w:b/>
          <w:bCs/>
          <w:color w:val="0F172A"/>
          <w:sz w:val="22"/>
          <w:szCs w:val="22"/>
        </w:rPr>
        <w:t xml:space="preserve">Minor: </w:t>
      </w:r>
      <w:r>
        <w:rPr>
          <w:color w:val="333333"/>
          <w:sz w:val="22"/>
          <w:szCs w:val="22"/>
        </w:rPr>
        <w:t xml:space="preserve">Step numbering implies linear flow but Overdue/Cancelled branch from any status.</w:t>
      </w:r>
    </w:p>
    <w:p>
      <w:pPr>
        <w:pStyle w:val="Heading2"/>
        <w:spacing w:after="120" w:before="240"/>
      </w:pPr>
      <w:r>
        <w:rPr>
          <w:b/>
          <w:bCs/>
          <w:color w:val="0F172A"/>
        </w:rPr>
        <w:t xml:space="preserve">Screen 5 — Executive Summary</w:t>
      </w:r>
    </w:p>
    <w:p>
      <w:pPr>
        <w:pStyle w:val="ListParagraph"/>
        <w:numPr>
          <w:ilvl w:val="0"/>
          <w:numId w:val="1"/>
        </w:numPr>
        <w:spacing w:after="80"/>
      </w:pPr>
      <w:r>
        <w:rPr>
          <w:b/>
          <w:bCs/>
          <w:color w:val="0F172A"/>
          <w:sz w:val="22"/>
          <w:szCs w:val="22"/>
        </w:rPr>
        <w:t xml:space="preserve">Critical: </w:t>
      </w:r>
      <w:r>
        <w:rPr>
          <w:color w:val="333333"/>
          <w:sz w:val="22"/>
          <w:szCs w:val="22"/>
        </w:rPr>
        <w:t xml:space="preserve">Shown full-width but in production it's a 280px sidebar — every spatial relationship is wrong.</w:t>
      </w:r>
    </w:p>
    <w:p>
      <w:pPr>
        <w:pStyle w:val="ListParagraph"/>
        <w:numPr>
          <w:ilvl w:val="0"/>
          <w:numId w:val="1"/>
        </w:numPr>
        <w:spacing w:after="80"/>
      </w:pPr>
      <w:r>
        <w:rPr>
          <w:b/>
          <w:bCs/>
          <w:color w:val="0F172A"/>
          <w:sz w:val="22"/>
          <w:szCs w:val="22"/>
        </w:rPr>
        <w:t xml:space="preserve">Critical: </w:t>
      </w:r>
      <w:r>
        <w:rPr>
          <w:color w:val="333333"/>
          <w:sz w:val="22"/>
          <w:szCs w:val="22"/>
        </w:rPr>
        <w:t xml:space="preserve">"25% Progress" ring misleads — approval ≠ execution.</w:t>
      </w:r>
    </w:p>
    <w:p>
      <w:pPr>
        <w:pStyle w:val="ListParagraph"/>
        <w:numPr>
          <w:ilvl w:val="0"/>
          <w:numId w:val="1"/>
        </w:numPr>
        <w:spacing w:after="80"/>
      </w:pPr>
      <w:r>
        <w:rPr>
          <w:b/>
          <w:bCs/>
          <w:color w:val="0F172A"/>
          <w:sz w:val="22"/>
          <w:szCs w:val="22"/>
        </w:rPr>
        <w:t xml:space="preserve">Major: </w:t>
      </w:r>
      <w:r>
        <w:rPr>
          <w:color w:val="333333"/>
          <w:sz w:val="22"/>
          <w:szCs w:val="22"/>
        </w:rPr>
        <w:t xml:space="preserve">Cohort widget (Countries Due to Request) embedded in a single-country panel — scope leak.</w:t>
      </w:r>
    </w:p>
    <w:p>
      <w:pPr>
        <w:pStyle w:val="ListParagraph"/>
        <w:numPr>
          <w:ilvl w:val="0"/>
          <w:numId w:val="1"/>
        </w:numPr>
        <w:spacing w:after="80"/>
      </w:pPr>
      <w:r>
        <w:rPr>
          <w:b/>
          <w:bCs/>
          <w:color w:val="0F172A"/>
          <w:sz w:val="22"/>
          <w:szCs w:val="22"/>
        </w:rPr>
        <w:t xml:space="preserve">Major: </w:t>
      </w:r>
      <w:r>
        <w:rPr>
          <w:color w:val="333333"/>
          <w:sz w:val="22"/>
          <w:szCs w:val="22"/>
        </w:rPr>
        <w:t xml:space="preserve">Budget should show programme-level totals derived from historical averages by mission type, not summed from per-activity amounts that don't exist in FR10.</w:t>
      </w:r>
    </w:p>
    <w:p>
      <w:pPr>
        <w:pStyle w:val="Heading2"/>
        <w:spacing w:after="120" w:before="240"/>
      </w:pPr>
      <w:r>
        <w:rPr>
          <w:b/>
          <w:bCs/>
          <w:color w:val="0F172A"/>
        </w:rPr>
        <w:t xml:space="preserve">Screen 6 — Filters &amp; Export</w:t>
      </w:r>
    </w:p>
    <w:p>
      <w:pPr>
        <w:pStyle w:val="ListParagraph"/>
        <w:numPr>
          <w:ilvl w:val="0"/>
          <w:numId w:val="1"/>
        </w:numPr>
        <w:spacing w:after="80"/>
      </w:pPr>
      <w:r>
        <w:rPr>
          <w:b/>
          <w:bCs/>
          <w:color w:val="0F172A"/>
          <w:sz w:val="22"/>
          <w:szCs w:val="22"/>
        </w:rPr>
        <w:t xml:space="preserve">Critical: </w:t>
      </w:r>
      <w:r>
        <w:rPr>
          <w:color w:val="333333"/>
          <w:sz w:val="22"/>
          <w:szCs w:val="22"/>
        </w:rPr>
        <w:t xml:space="preserve">Quarter filter must be removed (annual model).</w:t>
      </w:r>
    </w:p>
    <w:p>
      <w:pPr>
        <w:pStyle w:val="ListParagraph"/>
        <w:numPr>
          <w:ilvl w:val="0"/>
          <w:numId w:val="1"/>
        </w:numPr>
        <w:spacing w:after="80"/>
      </w:pPr>
      <w:r>
        <w:rPr>
          <w:b/>
          <w:bCs/>
          <w:color w:val="0F172A"/>
          <w:sz w:val="22"/>
          <w:szCs w:val="22"/>
        </w:rPr>
        <w:t xml:space="preserve">Critical: </w:t>
      </w:r>
      <w:r>
        <w:rPr>
          <w:color w:val="333333"/>
          <w:sz w:val="22"/>
          <w:szCs w:val="22"/>
        </w:rPr>
        <w:t xml:space="preserve">Approved toggle conflicts with Status dropdown — ambiguous compound state.</w:t>
      </w:r>
    </w:p>
    <w:p>
      <w:pPr>
        <w:pStyle w:val="ListParagraph"/>
        <w:numPr>
          <w:ilvl w:val="0"/>
          <w:numId w:val="1"/>
        </w:numPr>
        <w:spacing w:after="80"/>
      </w:pPr>
      <w:r>
        <w:rPr>
          <w:b/>
          <w:bCs/>
          <w:color w:val="0F172A"/>
          <w:sz w:val="22"/>
          <w:szCs w:val="22"/>
        </w:rPr>
        <w:t xml:space="preserve">Major: </w:t>
      </w:r>
      <w:r>
        <w:rPr>
          <w:color w:val="333333"/>
          <w:sz w:val="22"/>
          <w:szCs w:val="22"/>
        </w:rPr>
        <w:t xml:space="preserve">Filtered result shows detached cards, not the actual timeline with filter applied.</w:t>
      </w:r>
    </w:p>
    <w:p>
      <w:pPr>
        <w:pStyle w:val="ListParagraph"/>
        <w:numPr>
          <w:ilvl w:val="0"/>
          <w:numId w:val="1"/>
        </w:numPr>
        <w:spacing w:after="80"/>
      </w:pPr>
      <w:r>
        <w:rPr>
          <w:b/>
          <w:bCs/>
          <w:color w:val="0F172A"/>
          <w:sz w:val="22"/>
          <w:szCs w:val="22"/>
        </w:rPr>
        <w:t xml:space="preserve">Major: </w:t>
      </w:r>
      <w:r>
        <w:rPr>
          <w:color w:val="333333"/>
          <w:sz w:val="22"/>
          <w:szCs w:val="22"/>
        </w:rPr>
        <w:t xml:space="preserve">Budget range slider filters per-activity amount that shouldn't exist on cards.</w:t>
      </w:r>
    </w:p>
    <w:p>
      <w:pPr>
        <w:pStyle w:val="Heading2"/>
        <w:spacing w:after="120" w:before="240"/>
      </w:pPr>
      <w:r>
        <w:rPr>
          <w:b/>
          <w:bCs/>
          <w:color w:val="0F172A"/>
        </w:rPr>
        <w:t xml:space="preserve">Screen 7 — Edit Flow</w:t>
      </w:r>
    </w:p>
    <w:p>
      <w:pPr>
        <w:pStyle w:val="ListParagraph"/>
        <w:numPr>
          <w:ilvl w:val="0"/>
          <w:numId w:val="1"/>
        </w:numPr>
        <w:spacing w:after="80"/>
      </w:pPr>
      <w:r>
        <w:rPr>
          <w:b/>
          <w:bCs/>
          <w:color w:val="0F172A"/>
          <w:sz w:val="22"/>
          <w:szCs w:val="22"/>
        </w:rPr>
        <w:t xml:space="preserve">Critical: </w:t>
      </w:r>
      <w:r>
        <w:rPr>
          <w:color w:val="333333"/>
          <w:sz w:val="22"/>
          <w:szCs w:val="22"/>
        </w:rPr>
        <w:t xml:space="preserve">Presented as 5 documentation sections, not one composed editing screen.</w:t>
      </w:r>
    </w:p>
    <w:p>
      <w:pPr>
        <w:pStyle w:val="ListParagraph"/>
        <w:numPr>
          <w:ilvl w:val="0"/>
          <w:numId w:val="1"/>
        </w:numPr>
        <w:spacing w:after="80"/>
      </w:pPr>
      <w:r>
        <w:rPr>
          <w:b/>
          <w:bCs/>
          <w:color w:val="0F172A"/>
          <w:sz w:val="22"/>
          <w:szCs w:val="22"/>
        </w:rPr>
        <w:t xml:space="preserve">Critical: </w:t>
      </w:r>
      <w:r>
        <w:rPr>
          <w:color w:val="333333"/>
          <w:sz w:val="22"/>
          <w:szCs w:val="22"/>
        </w:rPr>
        <w:t xml:space="preserve">Approve/Reject (Delegate) and Save/Cancel (CBD) in the same button group — role confusion.</w:t>
      </w:r>
    </w:p>
    <w:p>
      <w:pPr>
        <w:pStyle w:val="ListParagraph"/>
        <w:numPr>
          <w:ilvl w:val="0"/>
          <w:numId w:val="1"/>
        </w:numPr>
        <w:spacing w:after="80"/>
      </w:pPr>
      <w:r>
        <w:rPr>
          <w:b/>
          <w:bCs/>
          <w:color w:val="0F172A"/>
          <w:sz w:val="22"/>
          <w:szCs w:val="22"/>
        </w:rPr>
        <w:t xml:space="preserve">Major: </w:t>
      </w:r>
      <w:r>
        <w:rPr>
          <w:color w:val="333333"/>
          <w:sz w:val="22"/>
          <w:szCs w:val="22"/>
        </w:rPr>
        <w:t xml:space="preserve">Drawer takes ~60% of viewport, obscuring the timeline.</w:t>
      </w:r>
    </w:p>
    <w:p>
      <w:pPr>
        <w:pStyle w:val="ListParagraph"/>
        <w:numPr>
          <w:ilvl w:val="0"/>
          <w:numId w:val="1"/>
        </w:numPr>
        <w:spacing w:after="80"/>
      </w:pPr>
      <w:r>
        <w:rPr>
          <w:b/>
          <w:bCs/>
          <w:color w:val="0F172A"/>
          <w:sz w:val="22"/>
          <w:szCs w:val="22"/>
        </w:rPr>
        <w:t xml:space="preserve">Major: </w:t>
      </w:r>
      <w:r>
        <w:rPr>
          <w:color w:val="333333"/>
          <w:sz w:val="22"/>
          <w:szCs w:val="22"/>
        </w:rPr>
        <w:t xml:space="preserve">No confirmation dialogs for Delete or Reject.</w:t>
      </w:r>
    </w:p>
    <w:p>
      <w:r>
        <w:br w:type="page"/>
      </w:r>
    </w:p>
    <w:p>
      <w:pPr>
        <w:pStyle w:val="Heading1"/>
        <w:spacing w:after="120" w:before="400"/>
      </w:pPr>
      <w:r>
        <w:rPr>
          <w:b/>
          <w:bCs/>
          <w:color w:val="0F172A"/>
        </w:rPr>
        <w:t xml:space="preserve">Missing Screens — Ideal References</w:t>
      </w:r>
    </w:p>
    <w:p>
      <w:pPr>
        <w:pStyle w:val="Heading2"/>
        <w:spacing w:after="120" w:before="240"/>
      </w:pPr>
      <w:r>
        <w:rPr>
          <w:b/>
          <w:bCs/>
          <w:color w:val="0F172A"/>
        </w:rPr>
        <w:t xml:space="preserve">Screen 8 — Generate Roadmap Flow (NEW)</w:t>
      </w:r>
    </w:p>
    <w:p>
      <w:pPr>
        <w:spacing w:after="120"/>
        <w:jc w:val="left"/>
      </w:pPr>
      <w:r>
        <w:rPr>
          <w:color w:val="333333"/>
          <w:sz w:val="22"/>
          <w:szCs w:val="22"/>
        </w:rPr>
        <w:t xml:space="preserve">The most critical missing screen. FR10's defining feature is LLM auto-generation. Shows three states: Empty/Trigger with "Generate Roadmap with AI" CTA, step-by-step loading with progress indicators, and generation result preview with activity list and confidence scores before landing on the timeline.</w:t>
      </w:r>
    </w:p>
    <w:p>
      <w:pPr>
        <w:spacing w:after="80" w:before="200"/>
        <w:jc w:val="center"/>
      </w:pPr>
      <w:r>
        <w:drawing>
          <wp:inline distT="0" distB="0" distL="0" distR="0">
            <wp:extent cx="6477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3648075"/>
                    </a:xfrm>
                    <a:prstGeom prst="rect">
                      <a:avLst/>
                    </a:prstGeom>
                  </pic:spPr>
                </pic:pic>
              </a:graphicData>
            </a:graphic>
          </wp:inline>
        </w:drawing>
      </w:r>
    </w:p>
    <w:p>
      <w:pPr>
        <w:spacing w:after="200"/>
        <w:jc w:val="center"/>
      </w:pPr>
      <w:r>
        <w:rPr>
          <w:i/>
          <w:iCs/>
          <w:color w:val="64748B"/>
          <w:sz w:val="18"/>
          <w:szCs w:val="18"/>
        </w:rPr>
        <w:t xml:space="preserve">Ideal Screen 8 — LLM generation flow: empty state → step-by-step loading → result preview with "Review on Timeline" CTA</w:t>
      </w:r>
    </w:p>
    <w:p>
      <w:r>
        <w:br w:type="page"/>
      </w:r>
    </w:p>
    <w:p>
      <w:pPr>
        <w:pStyle w:val="Heading2"/>
        <w:spacing w:after="120" w:before="240"/>
      </w:pPr>
      <w:r>
        <w:rPr>
          <w:b/>
          <w:bCs/>
          <w:color w:val="0F172A"/>
        </w:rPr>
        <w:t xml:space="preserve">Screen 9 — Whole-Roadmap Approval Flow (NEW)</w:t>
      </w:r>
    </w:p>
    <w:p>
      <w:pPr>
        <w:spacing w:after="120"/>
        <w:jc w:val="left"/>
      </w:pPr>
      <w:r>
        <w:rPr>
          <w:color w:val="333333"/>
          <w:sz w:val="22"/>
          <w:szCs w:val="22"/>
        </w:rPr>
        <w:t xml:space="preserve">FR10's core governance flow. CBD submits the entire roadmap (not card-by-card). Delegate receives a review screen with a diff panel showing what changed since the last version, a read-only timeline preview, and Approve/Reject with mandatory comments on rejection. Approved state locks the roadmap with a next-review date.</w:t>
      </w:r>
    </w:p>
    <w:p>
      <w:pPr>
        <w:spacing w:after="80" w:before="200"/>
        <w:jc w:val="center"/>
      </w:pPr>
      <w:r>
        <w:drawing>
          <wp:inline distT="0" distB="0" distL="0" distR="0">
            <wp:extent cx="6477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3648075"/>
                    </a:xfrm>
                    <a:prstGeom prst="rect">
                      <a:avLst/>
                    </a:prstGeom>
                  </pic:spPr>
                </pic:pic>
              </a:graphicData>
            </a:graphic>
          </wp:inline>
        </w:drawing>
      </w:r>
    </w:p>
    <w:p>
      <w:pPr>
        <w:spacing w:after="200"/>
        <w:jc w:val="center"/>
      </w:pPr>
      <w:r>
        <w:rPr>
          <w:i/>
          <w:iCs/>
          <w:color w:val="64748B"/>
          <w:sz w:val="18"/>
          <w:szCs w:val="18"/>
        </w:rPr>
        <w:t xml:space="preserve">Ideal Screen 9 — CBD submit → Delegate review with diff → Approved state with lock</w:t>
      </w:r>
    </w:p>
    <w:p>
      <w:r>
        <w:br w:type="page"/>
      </w:r>
    </w:p>
    <w:p>
      <w:pPr>
        <w:pStyle w:val="Heading2"/>
        <w:spacing w:after="120" w:before="240"/>
      </w:pPr>
      <w:r>
        <w:rPr>
          <w:b/>
          <w:bCs/>
          <w:color w:val="0F172A"/>
        </w:rPr>
        <w:t xml:space="preserve">Screen 10 — Notifications &amp; Reminders (NEW)</w:t>
      </w:r>
    </w:p>
    <w:p>
      <w:pPr>
        <w:spacing w:after="120"/>
        <w:jc w:val="left"/>
      </w:pPr>
      <w:r>
        <w:rPr>
          <w:color w:val="333333"/>
          <w:sz w:val="22"/>
          <w:szCs w:val="22"/>
        </w:rPr>
        <w:t xml:space="preserve">FR10 mandates automated reminders for approaching milestones and overdue activities. This screen covers three channels: a notification bell dropdown in the header bar, inline banners positioned on the relevant year column in the timeline, and the automated email template sent to Delegates.</w:t>
      </w:r>
    </w:p>
    <w:p>
      <w:pPr>
        <w:spacing w:after="80" w:before="200"/>
        <w:jc w:val="center"/>
      </w:pPr>
      <w:r>
        <w:drawing>
          <wp:inline distT="0" distB="0" distL="0" distR="0">
            <wp:extent cx="6477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4000500"/>
                    </a:xfrm>
                    <a:prstGeom prst="rect">
                      <a:avLst/>
                    </a:prstGeom>
                  </pic:spPr>
                </pic:pic>
              </a:graphicData>
            </a:graphic>
          </wp:inline>
        </w:drawing>
      </w:r>
    </w:p>
    <w:p>
      <w:pPr>
        <w:spacing w:after="200"/>
        <w:jc w:val="center"/>
      </w:pPr>
      <w:r>
        <w:rPr>
          <w:i/>
          <w:iCs/>
          <w:color w:val="64748B"/>
          <w:sz w:val="18"/>
          <w:szCs w:val="18"/>
        </w:rPr>
        <w:t xml:space="preserve">Ideal Screen 10 — Notification bell dropdown, inline timeline banners (overdue + milestone), and email template</w:t>
      </w:r>
    </w:p>
    <w:p>
      <w:r>
        <w:br w:type="page"/>
      </w:r>
    </w:p>
    <w:p>
      <w:pPr>
        <w:pStyle w:val="Heading2"/>
        <w:spacing w:after="120" w:before="240"/>
      </w:pPr>
      <w:r>
        <w:rPr>
          <w:b/>
          <w:bCs/>
          <w:color w:val="0F172A"/>
        </w:rPr>
        <w:t xml:space="preserve">Screen 11 — Mobile Responsive Layout (NEW)</w:t>
      </w:r>
    </w:p>
    <w:p>
      <w:pPr>
        <w:spacing w:after="120"/>
        <w:jc w:val="left"/>
      </w:pPr>
      <w:r>
        <w:rPr>
          <w:color w:val="333333"/>
          <w:sz w:val="22"/>
          <w:szCs w:val="22"/>
        </w:rPr>
        <w:t xml:space="preserve">375px viewport. The horizontal timeline is replaced with a vertical year-accordion where each year is a collapsible section with cards stacked full-width. Summary becomes a separate tab instead of a sidebar. Filter bar collapses to a single "Filters" button opening a bottom sheet. FAB for adding activities in edit mode. Year opacity fades for 4–5 to match confidence degradation. All touch targets minimum 44×44px.</w:t>
      </w:r>
    </w:p>
    <w:p>
      <w:pPr>
        <w:spacing w:after="80" w:before="200"/>
        <w:jc w:val="center"/>
      </w:pPr>
      <w:r>
        <w:drawing>
          <wp:inline distT="0" distB="0" distL="0" distR="0">
            <wp:extent cx="6477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4000500"/>
                    </a:xfrm>
                    <a:prstGeom prst="rect">
                      <a:avLst/>
                    </a:prstGeom>
                  </pic:spPr>
                </pic:pic>
              </a:graphicData>
            </a:graphic>
          </wp:inline>
        </w:drawing>
      </w:r>
    </w:p>
    <w:p>
      <w:pPr>
        <w:spacing w:after="200"/>
        <w:jc w:val="center"/>
      </w:pPr>
      <w:r>
        <w:rPr>
          <w:i/>
          <w:iCs/>
          <w:color w:val="64748B"/>
          <w:sz w:val="18"/>
          <w:szCs w:val="18"/>
        </w:rPr>
        <w:t xml:space="preserve">Ideal Screen 11 — Mobile at 375px: year-accordion timeline tab + summary tab, with FAB</w:t>
      </w:r>
    </w:p>
    <w:p>
      <w:r>
        <w:br w:type="page"/>
      </w:r>
    </w:p>
    <w:p>
      <w:pPr>
        <w:pStyle w:val="Heading2"/>
        <w:spacing w:after="120" w:before="240"/>
      </w:pPr>
      <w:r>
        <w:rPr>
          <w:b/>
          <w:bCs/>
          <w:color w:val="0F172A"/>
        </w:rPr>
        <w:t xml:space="preserve">Screen 12 — Cohort / Programme View (Spec Only)</w:t>
      </w:r>
    </w:p>
    <w:p>
      <w:pPr>
        <w:spacing w:after="120"/>
        <w:jc w:val="left"/>
      </w:pPr>
      <w:r>
        <w:rPr>
          <w:color w:val="333333"/>
          <w:sz w:val="22"/>
          <w:szCs w:val="22"/>
        </w:rPr>
        <w:t xml:space="preserve">A multi-country aggregation screen for CBD staff. Not mocked up here but must include:</w:t>
      </w:r>
    </w:p>
    <w:p>
      <w:pPr>
        <w:pStyle w:val="ListParagraph"/>
        <w:numPr>
          <w:ilvl w:val="0"/>
          <w:numId w:val="1"/>
        </w:numPr>
        <w:spacing w:after="80"/>
      </w:pPr>
      <w:r>
        <w:rPr>
          <w:color w:val="333333"/>
          <w:sz w:val="22"/>
          <w:szCs w:val="22"/>
        </w:rPr>
        <w:t xml:space="preserve">Table of all countries with active roadmaps, status, activity count, and programme-level budget estimates (derived from historical mission-type averages).</w:t>
      </w:r>
    </w:p>
    <w:p>
      <w:pPr>
        <w:pStyle w:val="ListParagraph"/>
        <w:numPr>
          <w:ilvl w:val="0"/>
          <w:numId w:val="1"/>
        </w:numPr>
        <w:spacing w:after="80"/>
      </w:pPr>
      <w:r>
        <w:rPr>
          <w:color w:val="333333"/>
          <w:sz w:val="22"/>
          <w:szCs w:val="22"/>
        </w:rPr>
        <w:t xml:space="preserve">Filters by region, status, year, mission type.</w:t>
      </w:r>
    </w:p>
    <w:p>
      <w:pPr>
        <w:pStyle w:val="ListParagraph"/>
        <w:numPr>
          <w:ilvl w:val="0"/>
          <w:numId w:val="1"/>
        </w:numPr>
        <w:spacing w:after="80"/>
      </w:pPr>
      <w:r>
        <w:rPr>
          <w:color w:val="333333"/>
          <w:sz w:val="22"/>
          <w:szCs w:val="22"/>
        </w:rPr>
        <w:t xml:space="preserve">Aggregated budget projection chart across all countries by year.</w:t>
      </w:r>
    </w:p>
    <w:p>
      <w:pPr>
        <w:pStyle w:val="ListParagraph"/>
        <w:numPr>
          <w:ilvl w:val="0"/>
          <w:numId w:val="1"/>
        </w:numPr>
        <w:spacing w:after="80"/>
      </w:pPr>
      <w:r>
        <w:rPr>
          <w:color w:val="333333"/>
          <w:sz w:val="22"/>
          <w:szCs w:val="22"/>
        </w:rPr>
        <w:t xml:space="preserve">Exportable list per FR10's requirement for "filters to produce lists for export."</w:t>
      </w:r>
    </w:p>
    <w:p>
      <w:pPr>
        <w:pStyle w:val="ListParagraph"/>
        <w:numPr>
          <w:ilvl w:val="0"/>
          <w:numId w:val="1"/>
        </w:numPr>
        <w:spacing w:after="80"/>
      </w:pPr>
      <w:r>
        <w:rPr>
          <w:color w:val="333333"/>
          <w:sz w:val="22"/>
          <w:szCs w:val="22"/>
        </w:rPr>
        <w:t xml:space="preserve">This is where the programme-level budget analytics live — not on individual country cards.</w:t>
      </w:r>
    </w:p>
    <w:p>
      <w:pPr>
        <w:pStyle w:val="Heading2"/>
        <w:spacing w:after="120" w:before="240"/>
      </w:pPr>
      <w:r>
        <w:rPr>
          <w:b/>
          <w:bCs/>
          <w:color w:val="0F172A"/>
        </w:rPr>
        <w:t xml:space="preserve">Screen 13 — Role-Based View Annotations (Spec Only)</w:t>
      </w:r>
    </w:p>
    <w:p>
      <w:pPr>
        <w:spacing w:after="120"/>
        <w:jc w:val="left"/>
      </w:pPr>
      <w:r>
        <w:rPr>
          <w:color w:val="333333"/>
          <w:sz w:val="22"/>
          <w:szCs w:val="22"/>
        </w:rPr>
        <w:t xml:space="preserve">Side-by-side annotations of the same timeline for each role:</w:t>
      </w:r>
    </w:p>
    <w:p>
      <w:pPr>
        <w:pStyle w:val="ListParagraph"/>
        <w:numPr>
          <w:ilvl w:val="0"/>
          <w:numId w:val="1"/>
        </w:numPr>
        <w:spacing w:after="80"/>
      </w:pPr>
      <w:r>
        <w:rPr>
          <w:b/>
          <w:bCs/>
          <w:color w:val="0F172A"/>
          <w:sz w:val="22"/>
          <w:szCs w:val="22"/>
        </w:rPr>
        <w:t xml:space="preserve">Delegate: </w:t>
      </w:r>
      <w:r>
        <w:rPr>
          <w:color w:val="333333"/>
          <w:sz w:val="22"/>
          <w:szCs w:val="22"/>
        </w:rPr>
        <w:t xml:space="preserve">Read-only timeline (unless in review mode). No "Generate Roadmap." Sees Approve/Reject on submitted roadmaps. No cohort analytics.</w:t>
      </w:r>
    </w:p>
    <w:p>
      <w:pPr>
        <w:pStyle w:val="ListParagraph"/>
        <w:numPr>
          <w:ilvl w:val="0"/>
          <w:numId w:val="1"/>
        </w:numPr>
        <w:spacing w:after="80"/>
      </w:pPr>
      <w:r>
        <w:rPr>
          <w:b/>
          <w:bCs/>
          <w:color w:val="0F172A"/>
          <w:sz w:val="22"/>
          <w:szCs w:val="22"/>
        </w:rPr>
        <w:t xml:space="preserve">CBD Staff: </w:t>
      </w:r>
      <w:r>
        <w:rPr>
          <w:color w:val="333333"/>
          <w:sz w:val="22"/>
          <w:szCs w:val="22"/>
        </w:rPr>
        <w:t xml:space="preserve">Full edit controls, "Generate Roadmap," all filters, "Submit to Delegate." Cannot see cohort analytics.</w:t>
      </w:r>
    </w:p>
    <w:p>
      <w:pPr>
        <w:pStyle w:val="ListParagraph"/>
        <w:numPr>
          <w:ilvl w:val="0"/>
          <w:numId w:val="1"/>
        </w:numPr>
        <w:spacing w:after="80"/>
      </w:pPr>
      <w:r>
        <w:rPr>
          <w:b/>
          <w:bCs/>
          <w:color w:val="0F172A"/>
          <w:sz w:val="22"/>
          <w:szCs w:val="22"/>
        </w:rPr>
        <w:t xml:space="preserve">Admin: </w:t>
      </w:r>
      <w:r>
        <w:rPr>
          <w:color w:val="333333"/>
          <w:sz w:val="22"/>
          <w:szCs w:val="22"/>
        </w:rPr>
        <w:t xml:space="preserve">Everything — all countries, cohort analytics, generate on behalf of any country.</w:t>
      </w:r>
    </w:p>
    <w:p>
      <w:r>
        <w:br w:type="page"/>
      </w:r>
    </w:p>
    <w:p>
      <w:pPr>
        <w:pStyle w:val="Heading1"/>
        <w:spacing w:after="120" w:before="400"/>
      </w:pPr>
      <w:r>
        <w:rPr>
          <w:b/>
          <w:bCs/>
          <w:color w:val="0F172A"/>
        </w:rPr>
        <w:t xml:space="preserve">Budget Correction — Where Budget Data Actually Belongs</w:t>
      </w:r>
    </w:p>
    <w:p>
      <w:pPr>
        <w:spacing w:after="120"/>
        <w:jc w:val="left"/>
      </w:pPr>
      <w:r>
        <w:rPr>
          <w:color w:val="333333"/>
          <w:sz w:val="22"/>
          <w:szCs w:val="22"/>
        </w:rPr>
        <w:t xml:space="preserve">FR10 says: "Analytics at the cohort level should also provide a 5-year PVS Programme projection with budgets projection, which countries should request over the next 5 years, annual budgets, breakdowns by mission type."</w:t>
      </w:r>
    </w:p>
    <w:p>
      <w:pPr>
        <w:spacing w:after="120"/>
        <w:jc w:val="left"/>
      </w:pPr>
      <w:r>
        <w:rPr>
          <w:color w:val="333333"/>
          <w:sz w:val="22"/>
          <w:szCs w:val="22"/>
        </w:rPr>
        <w:t xml:space="preserve">This means budget is a programme analytics feature, not a per-card attribute. The correction:</w:t>
      </w:r>
    </w:p>
    <w:p>
      <w:pPr>
        <w:pStyle w:val="ListParagraph"/>
        <w:numPr>
          <w:ilvl w:val="0"/>
          <w:numId w:val="1"/>
        </w:numPr>
        <w:spacing w:after="80"/>
      </w:pPr>
      <w:r>
        <w:rPr>
          <w:b/>
          <w:bCs/>
          <w:color w:val="0F172A"/>
          <w:sz w:val="22"/>
          <w:szCs w:val="22"/>
        </w:rPr>
        <w:t xml:space="preserve">Remove: </w:t>
      </w:r>
      <w:r>
        <w:rPr>
          <w:color w:val="333333"/>
          <w:sz w:val="22"/>
          <w:szCs w:val="22"/>
        </w:rPr>
        <w:t xml:space="preserve">Dollar amounts from individual activity cards ($150K, $180K, etc.). The LLM recommends activity types based on CC scores — it does not generate budget estimates.</w:t>
      </w:r>
    </w:p>
    <w:p>
      <w:pPr>
        <w:pStyle w:val="ListParagraph"/>
        <w:numPr>
          <w:ilvl w:val="0"/>
          <w:numId w:val="1"/>
        </w:numPr>
        <w:spacing w:after="80"/>
      </w:pPr>
      <w:r>
        <w:rPr>
          <w:b/>
          <w:bCs/>
          <w:color w:val="0F172A"/>
          <w:sz w:val="22"/>
          <w:szCs w:val="22"/>
        </w:rPr>
        <w:t xml:space="preserve">Remove: </w:t>
      </w:r>
      <w:r>
        <w:rPr>
          <w:color w:val="333333"/>
          <w:sz w:val="22"/>
          <w:szCs w:val="22"/>
        </w:rPr>
        <w:t xml:space="preserve">Budget range filter from the filter bar. It has nothing to filter against.</w:t>
      </w:r>
    </w:p>
    <w:p>
      <w:pPr>
        <w:pStyle w:val="ListParagraph"/>
        <w:numPr>
          <w:ilvl w:val="0"/>
          <w:numId w:val="1"/>
        </w:numPr>
        <w:spacing w:after="80"/>
      </w:pPr>
      <w:r>
        <w:rPr>
          <w:b/>
          <w:bCs/>
          <w:color w:val="0F172A"/>
          <w:sz w:val="22"/>
          <w:szCs w:val="22"/>
        </w:rPr>
        <w:t xml:space="preserve">Remove: </w:t>
      </w:r>
      <w:r>
        <w:rPr>
          <w:color w:val="333333"/>
          <w:sz w:val="22"/>
          <w:szCs w:val="22"/>
        </w:rPr>
        <w:t xml:space="preserve">Per-quarter budget heatmap row from the timeline.</w:t>
      </w:r>
    </w:p>
    <w:p>
      <w:pPr>
        <w:pStyle w:val="ListParagraph"/>
        <w:numPr>
          <w:ilvl w:val="0"/>
          <w:numId w:val="1"/>
        </w:numPr>
        <w:spacing w:after="80"/>
      </w:pPr>
      <w:r>
        <w:rPr>
          <w:b/>
          <w:bCs/>
          <w:color w:val="0F172A"/>
          <w:sz w:val="22"/>
          <w:szCs w:val="22"/>
        </w:rPr>
        <w:t xml:space="preserve">Keep: </w:t>
      </w:r>
      <w:r>
        <w:rPr>
          <w:color w:val="333333"/>
          <w:sz w:val="22"/>
          <w:szCs w:val="22"/>
        </w:rPr>
        <w:t xml:space="preserve">Annual budget totals in the summary panel, derived from historical averages by mission type (e.g. "Evaluations historically cost ~$140K–$160K").</w:t>
      </w:r>
    </w:p>
    <w:p>
      <w:pPr>
        <w:pStyle w:val="ListParagraph"/>
        <w:numPr>
          <w:ilvl w:val="0"/>
          <w:numId w:val="1"/>
        </w:numPr>
        <w:spacing w:after="80"/>
      </w:pPr>
      <w:r>
        <w:rPr>
          <w:b/>
          <w:bCs/>
          <w:color w:val="0F172A"/>
          <w:sz w:val="22"/>
          <w:szCs w:val="22"/>
        </w:rPr>
        <w:t xml:space="preserve">Keep: </w:t>
      </w:r>
      <w:r>
        <w:rPr>
          <w:color w:val="333333"/>
          <w:sz w:val="22"/>
          <w:szCs w:val="22"/>
        </w:rPr>
        <w:t xml:space="preserve">Budget breakdown by mission type in the summary panel.</w:t>
      </w:r>
    </w:p>
    <w:p>
      <w:pPr>
        <w:pStyle w:val="ListParagraph"/>
        <w:numPr>
          <w:ilvl w:val="0"/>
          <w:numId w:val="1"/>
        </w:numPr>
        <w:spacing w:after="80"/>
      </w:pPr>
      <w:r>
        <w:rPr>
          <w:b/>
          <w:bCs/>
          <w:color w:val="0F172A"/>
          <w:sz w:val="22"/>
          <w:szCs w:val="22"/>
        </w:rPr>
        <w:t xml:space="preserve">Add: </w:t>
      </w:r>
      <w:r>
        <w:rPr>
          <w:color w:val="333333"/>
          <w:sz w:val="22"/>
          <w:szCs w:val="22"/>
        </w:rPr>
        <w:t xml:space="preserve">A note on the summary panel stating "Estimates based on historical mission-type averages" so users understand the figures are projections, not confirmed budgets.</w:t>
      </w:r>
    </w:p>
    <w:p>
      <w:pPr>
        <w:pStyle w:val="ListParagraph"/>
        <w:numPr>
          <w:ilvl w:val="0"/>
          <w:numId w:val="1"/>
        </w:numPr>
        <w:spacing w:after="80"/>
      </w:pPr>
      <w:r>
        <w:rPr>
          <w:b/>
          <w:bCs/>
          <w:color w:val="0F172A"/>
          <w:sz w:val="22"/>
          <w:szCs w:val="22"/>
        </w:rPr>
        <w:t xml:space="preserve">Move: </w:t>
      </w:r>
      <w:r>
        <w:rPr>
          <w:color w:val="333333"/>
          <w:sz w:val="22"/>
          <w:szCs w:val="22"/>
        </w:rPr>
        <w:t xml:space="preserve">Cohort-level budget projections (all countries aggregated) to Screen 12 (Programme View).</w:t>
      </w:r>
    </w:p>
    <w:p>
      <w:r>
        <w:br w:type="page"/>
      </w:r>
    </w:p>
    <w:p>
      <w:pPr>
        <w:pStyle w:val="Heading1"/>
        <w:spacing w:after="120" w:before="400"/>
      </w:pPr>
      <w:r>
        <w:rPr>
          <w:b/>
          <w:bCs/>
          <w:color w:val="0F172A"/>
        </w:rPr>
        <w:t xml:space="preserve">Developer Handoff Checklist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7000"/>
        <w:gridCol w:w="2000"/>
      </w:tblGrid>
      <w:tr>
        <w:trPr>
          <w:tblHeader/>
        </w:trPr>
        <w:tc>
          <w:tcPr>
            <w:tcW w:type="dxa" w:w="500"/>
            <w:shd w:fill="0F172A" w:val="clear"/>
          </w:tcPr>
          <w:p>
            <w:r>
              <w:rPr>
                <w:b/>
                <w:bCs/>
                <w:color w:val="FFFFFF"/>
                <w:sz w:val="20"/>
                <w:szCs w:val="20"/>
              </w:rPr>
              <w:t xml:space="preserve"/>
            </w:r>
          </w:p>
        </w:tc>
        <w:tc>
          <w:tcPr>
            <w:tcW w:type="dxa" w:w="7000"/>
            <w:shd w:fill="0F172A" w:val="clear"/>
          </w:tcPr>
          <w:p>
            <w:r>
              <w:rPr>
                <w:b/>
                <w:bCs/>
                <w:color w:val="FFFFFF"/>
                <w:sz w:val="20"/>
                <w:szCs w:val="20"/>
              </w:rPr>
              <w:t xml:space="preserve">Item</w:t>
            </w:r>
          </w:p>
        </w:tc>
        <w:tc>
          <w:tcPr>
            <w:tcW w:type="dxa" w:w="2000"/>
            <w:shd w:fill="0F172A" w:val="clear"/>
          </w:tcPr>
          <w:p>
            <w:r>
              <w:rPr>
                <w:b/>
                <w:bCs/>
                <w:color w:val="FFFFFF"/>
                <w:sz w:val="20"/>
                <w:szCs w:val="20"/>
              </w:rPr>
              <w:t xml:space="preserve">Priority</w:t>
            </w:r>
          </w:p>
        </w:tc>
      </w:tr>
      <w:tr>
        <w:tc>
          <w:tcPr>
            <w:tcW w:type="dxa" w:w="500"/>
          </w:tcPr>
          <w:p>
            <w:r>
              <w:rPr>
                <w:sz w:val="20"/>
                <w:szCs w:val="20"/>
              </w:rPr>
              <w:t xml:space="preserve">☐</w:t>
            </w:r>
          </w:p>
        </w:tc>
        <w:tc>
          <w:tcPr>
            <w:tcW w:type="dxa" w:w="7000"/>
          </w:tcPr>
          <w:p>
            <w:r>
              <w:rPr>
                <w:color w:val="0F172A"/>
                <w:sz w:val="20"/>
                <w:szCs w:val="20"/>
              </w:rPr>
              <w:t xml:space="preserve">Replace quarterly grid with annual (5-column) model</w:t>
            </w:r>
          </w:p>
        </w:tc>
        <w:tc>
          <w:tcPr>
            <w:tcW w:type="dxa" w:w="2000"/>
            <w:shd w:fill="FEE2E2" w:val="clear"/>
          </w:tcPr>
          <w:p>
            <w:r>
              <w:rPr>
                <w:b/>
                <w:bCs/>
                <w:color w:val="DC2626"/>
                <w:sz w:val="18"/>
                <w:szCs w:val="18"/>
              </w:rPr>
              <w:t xml:space="preserve">Blocking</w:t>
            </w:r>
          </w:p>
        </w:tc>
      </w:tr>
      <w:tr>
        <w:tc>
          <w:tcPr>
            <w:tcW w:type="dxa" w:w="500"/>
          </w:tcPr>
          <w:p>
            <w:r>
              <w:rPr>
                <w:sz w:val="20"/>
                <w:szCs w:val="20"/>
              </w:rPr>
              <w:t xml:space="preserve">☐</w:t>
            </w:r>
          </w:p>
        </w:tc>
        <w:tc>
          <w:tcPr>
            <w:tcW w:type="dxa" w:w="7000"/>
          </w:tcPr>
          <w:p>
            <w:r>
              <w:rPr>
                <w:color w:val="0F172A"/>
                <w:sz w:val="20"/>
                <w:szCs w:val="20"/>
              </w:rPr>
              <w:t xml:space="preserve">Remove per-activity budget from cards, inline bars, and filter bar</w:t>
            </w:r>
          </w:p>
        </w:tc>
        <w:tc>
          <w:tcPr>
            <w:tcW w:type="dxa" w:w="2000"/>
            <w:shd w:fill="FEE2E2" w:val="clear"/>
          </w:tcPr>
          <w:p>
            <w:r>
              <w:rPr>
                <w:b/>
                <w:bCs/>
                <w:color w:val="DC2626"/>
                <w:sz w:val="18"/>
                <w:szCs w:val="18"/>
              </w:rPr>
              <w:t xml:space="preserve">Blocking</w:t>
            </w:r>
          </w:p>
        </w:tc>
      </w:tr>
      <w:tr>
        <w:tc>
          <w:tcPr>
            <w:tcW w:type="dxa" w:w="500"/>
          </w:tcPr>
          <w:p>
            <w:r>
              <w:rPr>
                <w:sz w:val="20"/>
                <w:szCs w:val="20"/>
              </w:rPr>
              <w:t xml:space="preserve">☐</w:t>
            </w:r>
          </w:p>
        </w:tc>
        <w:tc>
          <w:tcPr>
            <w:tcW w:type="dxa" w:w="7000"/>
          </w:tcPr>
          <w:p>
            <w:r>
              <w:rPr>
                <w:color w:val="0F172A"/>
                <w:sz w:val="20"/>
                <w:szCs w:val="20"/>
              </w:rPr>
              <w:t xml:space="preserve">Build Screen 8: Generate Roadmap flow (empty → loading → result) — use ideal-screen-8 HTML</w:t>
            </w:r>
          </w:p>
        </w:tc>
        <w:tc>
          <w:tcPr>
            <w:tcW w:type="dxa" w:w="2000"/>
            <w:shd w:fill="FEE2E2" w:val="clear"/>
          </w:tcPr>
          <w:p>
            <w:r>
              <w:rPr>
                <w:b/>
                <w:bCs/>
                <w:color w:val="DC2626"/>
                <w:sz w:val="18"/>
                <w:szCs w:val="18"/>
              </w:rPr>
              <w:t xml:space="preserve">Blocking</w:t>
            </w:r>
          </w:p>
        </w:tc>
      </w:tr>
      <w:tr>
        <w:tc>
          <w:tcPr>
            <w:tcW w:type="dxa" w:w="500"/>
          </w:tcPr>
          <w:p>
            <w:r>
              <w:rPr>
                <w:sz w:val="20"/>
                <w:szCs w:val="20"/>
              </w:rPr>
              <w:t xml:space="preserve">☐</w:t>
            </w:r>
          </w:p>
        </w:tc>
        <w:tc>
          <w:tcPr>
            <w:tcW w:type="dxa" w:w="7000"/>
          </w:tcPr>
          <w:p>
            <w:r>
              <w:rPr>
                <w:color w:val="0F172A"/>
                <w:sz w:val="20"/>
                <w:szCs w:val="20"/>
              </w:rPr>
              <w:t xml:space="preserve">Build Screen 9: Whole-roadmap approval (CBD submit → Delegate review → Approved lock) — use ideal-screen-9 HTML</w:t>
            </w:r>
          </w:p>
        </w:tc>
        <w:tc>
          <w:tcPr>
            <w:tcW w:type="dxa" w:w="2000"/>
            <w:shd w:fill="FEE2E2" w:val="clear"/>
          </w:tcPr>
          <w:p>
            <w:r>
              <w:rPr>
                <w:b/>
                <w:bCs/>
                <w:color w:val="DC2626"/>
                <w:sz w:val="18"/>
                <w:szCs w:val="18"/>
              </w:rPr>
              <w:t xml:space="preserve">Blocking</w:t>
            </w:r>
          </w:p>
        </w:tc>
      </w:tr>
      <w:tr>
        <w:tc>
          <w:tcPr>
            <w:tcW w:type="dxa" w:w="500"/>
          </w:tcPr>
          <w:p>
            <w:r>
              <w:rPr>
                <w:sz w:val="20"/>
                <w:szCs w:val="20"/>
              </w:rPr>
              <w:t xml:space="preserve">☐</w:t>
            </w:r>
          </w:p>
        </w:tc>
        <w:tc>
          <w:tcPr>
            <w:tcW w:type="dxa" w:w="7000"/>
          </w:tcPr>
          <w:p>
            <w:r>
              <w:rPr>
                <w:color w:val="0F172A"/>
                <w:sz w:val="20"/>
                <w:szCs w:val="20"/>
              </w:rPr>
              <w:t xml:space="preserve">Build Screen 10: Notifications (bell dropdown, inline banners, email template) — use ideal-screen-10 HTML</w:t>
            </w:r>
          </w:p>
        </w:tc>
        <w:tc>
          <w:tcPr>
            <w:tcW w:type="dxa" w:w="2000"/>
            <w:shd w:fill="FEE2E2" w:val="clear"/>
          </w:tcPr>
          <w:p>
            <w:r>
              <w:rPr>
                <w:b/>
                <w:bCs/>
                <w:color w:val="DC2626"/>
                <w:sz w:val="18"/>
                <w:szCs w:val="18"/>
              </w:rPr>
              <w:t xml:space="preserve">Blocking</w:t>
            </w:r>
          </w:p>
        </w:tc>
      </w:tr>
      <w:tr>
        <w:tc>
          <w:tcPr>
            <w:tcW w:type="dxa" w:w="500"/>
          </w:tcPr>
          <w:p>
            <w:r>
              <w:rPr>
                <w:sz w:val="20"/>
                <w:szCs w:val="20"/>
              </w:rPr>
              <w:t xml:space="preserve">☐</w:t>
            </w:r>
          </w:p>
        </w:tc>
        <w:tc>
          <w:tcPr>
            <w:tcW w:type="dxa" w:w="7000"/>
          </w:tcPr>
          <w:p>
            <w:r>
              <w:rPr>
                <w:color w:val="0F172A"/>
                <w:sz w:val="20"/>
                <w:szCs w:val="20"/>
              </w:rPr>
              <w:t xml:space="preserve">Build Screen 11: Mobile responsive at 375px (year-accordion) — use ideal-screen-11 HTML</w:t>
            </w:r>
          </w:p>
        </w:tc>
        <w:tc>
          <w:tcPr>
            <w:tcW w:type="dxa" w:w="2000"/>
            <w:shd w:fill="FEE2E2" w:val="clear"/>
          </w:tcPr>
          <w:p>
            <w:r>
              <w:rPr>
                <w:b/>
                <w:bCs/>
                <w:color w:val="DC2626"/>
                <w:sz w:val="18"/>
                <w:szCs w:val="18"/>
              </w:rPr>
              <w:t xml:space="preserve">Blocking</w:t>
            </w:r>
          </w:p>
        </w:tc>
      </w:tr>
      <w:tr>
        <w:tc>
          <w:tcPr>
            <w:tcW w:type="dxa" w:w="500"/>
          </w:tcPr>
          <w:p>
            <w:r>
              <w:rPr>
                <w:sz w:val="20"/>
                <w:szCs w:val="20"/>
              </w:rPr>
              <w:t xml:space="preserve">☐</w:t>
            </w:r>
          </w:p>
        </w:tc>
        <w:tc>
          <w:tcPr>
            <w:tcW w:type="dxa" w:w="7000"/>
          </w:tcPr>
          <w:p>
            <w:r>
              <w:rPr>
                <w:color w:val="0F172A"/>
                <w:sz w:val="20"/>
                <w:szCs w:val="20"/>
              </w:rPr>
              <w:t xml:space="preserve">Fix activity cards per ideal-screen-2: no budget, SVG icons, collapsible AI rationale, red Delete</w:t>
            </w:r>
          </w:p>
        </w:tc>
        <w:tc>
          <w:tcPr>
            <w:tcW w:type="dxa" w:w="2000"/>
            <w:shd w:fill="FEE2E2" w:val="clear"/>
          </w:tcPr>
          <w:p>
            <w:r>
              <w:rPr>
                <w:b/>
                <w:bCs/>
                <w:color w:val="DC2626"/>
                <w:sz w:val="18"/>
                <w:szCs w:val="18"/>
              </w:rPr>
              <w:t xml:space="preserve">Blocking</w:t>
            </w:r>
          </w:p>
        </w:tc>
      </w:tr>
      <w:tr>
        <w:tc>
          <w:tcPr>
            <w:tcW w:type="dxa" w:w="500"/>
          </w:tcPr>
          <w:p>
            <w:r>
              <w:rPr>
                <w:sz w:val="20"/>
                <w:szCs w:val="20"/>
              </w:rPr>
              <w:t xml:space="preserve">☐</w:t>
            </w:r>
          </w:p>
        </w:tc>
        <w:tc>
          <w:tcPr>
            <w:tcW w:type="dxa" w:w="7000"/>
          </w:tcPr>
          <w:p>
            <w:r>
              <w:rPr>
                <w:color w:val="0F172A"/>
                <w:sz w:val="20"/>
                <w:szCs w:val="20"/>
              </w:rPr>
              <w:t xml:space="preserve">Fix sidebar navigation to be identical across all screens</w:t>
            </w:r>
          </w:p>
        </w:tc>
        <w:tc>
          <w:tcPr>
            <w:tcW w:type="dxa" w:w="2000"/>
            <w:shd w:fill="FEF3C7" w:val="clear"/>
          </w:tcPr>
          <w:p>
            <w:r>
              <w:rPr>
                <w:b/>
                <w:bCs/>
                <w:color w:val="D97706"/>
                <w:sz w:val="18"/>
                <w:szCs w:val="18"/>
              </w:rPr>
              <w:t xml:space="preserve">Required</w:t>
            </w:r>
          </w:p>
        </w:tc>
      </w:tr>
      <w:tr>
        <w:tc>
          <w:tcPr>
            <w:tcW w:type="dxa" w:w="500"/>
          </w:tcPr>
          <w:p>
            <w:r>
              <w:rPr>
                <w:sz w:val="20"/>
                <w:szCs w:val="20"/>
              </w:rPr>
              <w:t xml:space="preserve">☐</w:t>
            </w:r>
          </w:p>
        </w:tc>
        <w:tc>
          <w:tcPr>
            <w:tcW w:type="dxa" w:w="7000"/>
          </w:tcPr>
          <w:p>
            <w:r>
              <w:rPr>
                <w:color w:val="0F172A"/>
                <w:sz w:val="20"/>
                <w:szCs w:val="20"/>
              </w:rPr>
              <w:t xml:space="preserve">Replace Strategic Planning indigo with dark cyan (#0369A1)</w:t>
            </w:r>
          </w:p>
        </w:tc>
        <w:tc>
          <w:tcPr>
            <w:tcW w:type="dxa" w:w="2000"/>
            <w:shd w:fill="FEF3C7" w:val="clear"/>
          </w:tcPr>
          <w:p>
            <w:r>
              <w:rPr>
                <w:b/>
                <w:bCs/>
                <w:color w:val="D97706"/>
                <w:sz w:val="18"/>
                <w:szCs w:val="18"/>
              </w:rPr>
              <w:t xml:space="preserve">Required</w:t>
            </w:r>
          </w:p>
        </w:tc>
      </w:tr>
      <w:tr>
        <w:tc>
          <w:tcPr>
            <w:tcW w:type="dxa" w:w="500"/>
          </w:tcPr>
          <w:p>
            <w:r>
              <w:rPr>
                <w:sz w:val="20"/>
                <w:szCs w:val="20"/>
              </w:rPr>
              <w:t xml:space="preserve">☐</w:t>
            </w:r>
          </w:p>
        </w:tc>
        <w:tc>
          <w:tcPr>
            <w:tcW w:type="dxa" w:w="7000"/>
          </w:tcPr>
          <w:p>
            <w:r>
              <w:rPr>
                <w:color w:val="0F172A"/>
                <w:sz w:val="20"/>
                <w:szCs w:val="20"/>
              </w:rPr>
              <w:t xml:space="preserve">Document design tokens: type ramp, spacing scale, colour palette, radii</w:t>
            </w:r>
          </w:p>
        </w:tc>
        <w:tc>
          <w:tcPr>
            <w:tcW w:type="dxa" w:w="2000"/>
            <w:shd w:fill="FEF3C7" w:val="clear"/>
          </w:tcPr>
          <w:p>
            <w:r>
              <w:rPr>
                <w:b/>
                <w:bCs/>
                <w:color w:val="D97706"/>
                <w:sz w:val="18"/>
                <w:szCs w:val="18"/>
              </w:rPr>
              <w:t xml:space="preserve">Required</w:t>
            </w:r>
          </w:p>
        </w:tc>
      </w:tr>
      <w:tr>
        <w:tc>
          <w:tcPr>
            <w:tcW w:type="dxa" w:w="500"/>
          </w:tcPr>
          <w:p>
            <w:r>
              <w:rPr>
                <w:sz w:val="20"/>
                <w:szCs w:val="20"/>
              </w:rPr>
              <w:t xml:space="preserve">☐</w:t>
            </w:r>
          </w:p>
        </w:tc>
        <w:tc>
          <w:tcPr>
            <w:tcW w:type="dxa" w:w="7000"/>
          </w:tcPr>
          <w:p>
            <w:r>
              <w:rPr>
                <w:color w:val="0F172A"/>
                <w:sz w:val="20"/>
                <w:szCs w:val="20"/>
              </w:rPr>
              <w:t xml:space="preserve">Build Screen 12: Cohort/programme view with aggregated budget analytics</w:t>
            </w:r>
          </w:p>
        </w:tc>
        <w:tc>
          <w:tcPr>
            <w:tcW w:type="dxa" w:w="2000"/>
            <w:shd w:fill="FEF3C7" w:val="clear"/>
          </w:tcPr>
          <w:p>
            <w:r>
              <w:rPr>
                <w:b/>
                <w:bCs/>
                <w:color w:val="D97706"/>
                <w:sz w:val="18"/>
                <w:szCs w:val="18"/>
              </w:rPr>
              <w:t xml:space="preserve">Required</w:t>
            </w:r>
          </w:p>
        </w:tc>
      </w:tr>
      <w:tr>
        <w:tc>
          <w:tcPr>
            <w:tcW w:type="dxa" w:w="500"/>
          </w:tcPr>
          <w:p>
            <w:r>
              <w:rPr>
                <w:sz w:val="20"/>
                <w:szCs w:val="20"/>
              </w:rPr>
              <w:t xml:space="preserve">☐</w:t>
            </w:r>
          </w:p>
        </w:tc>
        <w:tc>
          <w:tcPr>
            <w:tcW w:type="dxa" w:w="7000"/>
          </w:tcPr>
          <w:p>
            <w:r>
              <w:rPr>
                <w:color w:val="0F172A"/>
                <w:sz w:val="20"/>
                <w:szCs w:val="20"/>
              </w:rPr>
              <w:t xml:space="preserve">Annotate role-based visibility per Screen 13 spec</w:t>
            </w:r>
          </w:p>
        </w:tc>
        <w:tc>
          <w:tcPr>
            <w:tcW w:type="dxa" w:w="2000"/>
            <w:shd w:fill="FEF3C7" w:val="clear"/>
          </w:tcPr>
          <w:p>
            <w:r>
              <w:rPr>
                <w:b/>
                <w:bCs/>
                <w:color w:val="D97706"/>
                <w:sz w:val="18"/>
                <w:szCs w:val="18"/>
              </w:rPr>
              <w:t xml:space="preserve">Required</w:t>
            </w:r>
          </w:p>
        </w:tc>
      </w:tr>
      <w:tr>
        <w:tc>
          <w:tcPr>
            <w:tcW w:type="dxa" w:w="500"/>
          </w:tcPr>
          <w:p>
            <w:r>
              <w:rPr>
                <w:sz w:val="20"/>
                <w:szCs w:val="20"/>
              </w:rPr>
              <w:t xml:space="preserve">☐</w:t>
            </w:r>
          </w:p>
        </w:tc>
        <w:tc>
          <w:tcPr>
            <w:tcW w:type="dxa" w:w="7000"/>
          </w:tcPr>
          <w:p>
            <w:r>
              <w:rPr>
                <w:color w:val="0F172A"/>
                <w:sz w:val="20"/>
                <w:szCs w:val="20"/>
              </w:rPr>
              <w:t xml:space="preserve">Mock up all status badges at Small size on grey background</w:t>
            </w:r>
          </w:p>
        </w:tc>
        <w:tc>
          <w:tcPr>
            <w:tcW w:type="dxa" w:w="2000"/>
            <w:shd w:fill="FEF3C7" w:val="clear"/>
          </w:tcPr>
          <w:p>
            <w:r>
              <w:rPr>
                <w:b/>
                <w:bCs/>
                <w:color w:val="D97706"/>
                <w:sz w:val="18"/>
                <w:szCs w:val="18"/>
              </w:rPr>
              <w:t xml:space="preserve">Required</w:t>
            </w:r>
          </w:p>
        </w:tc>
      </w:tr>
      <w:tr>
        <w:tc>
          <w:tcPr>
            <w:tcW w:type="dxa" w:w="500"/>
          </w:tcPr>
          <w:p>
            <w:r>
              <w:rPr>
                <w:sz w:val="20"/>
                <w:szCs w:val="20"/>
              </w:rPr>
              <w:t xml:space="preserve">☐</w:t>
            </w:r>
          </w:p>
        </w:tc>
        <w:tc>
          <w:tcPr>
            <w:tcW w:type="dxa" w:w="7000"/>
          </w:tcPr>
          <w:p>
            <w:r>
              <w:rPr>
                <w:color w:val="0F172A"/>
                <w:sz w:val="20"/>
                <w:szCs w:val="20"/>
              </w:rPr>
              <w:t xml:space="preserve">Show composed edit-mode screen, not 5 separated documentation sections</w:t>
            </w:r>
          </w:p>
        </w:tc>
        <w:tc>
          <w:tcPr>
            <w:tcW w:type="dxa" w:w="2000"/>
            <w:shd w:fill="FEF3C7" w:val="clear"/>
          </w:tcPr>
          <w:p>
            <w:r>
              <w:rPr>
                <w:b/>
                <w:bCs/>
                <w:color w:val="D97706"/>
                <w:sz w:val="18"/>
                <w:szCs w:val="18"/>
              </w:rPr>
              <w:t xml:space="preserve">Required</w:t>
            </w:r>
          </w:p>
        </w:tc>
      </w:tr>
      <w:tr>
        <w:tc>
          <w:tcPr>
            <w:tcW w:type="dxa" w:w="500"/>
          </w:tcPr>
          <w:p>
            <w:r>
              <w:rPr>
                <w:sz w:val="20"/>
                <w:szCs w:val="20"/>
              </w:rPr>
              <w:t xml:space="preserve">☐</w:t>
            </w:r>
          </w:p>
        </w:tc>
        <w:tc>
          <w:tcPr>
            <w:tcW w:type="dxa" w:w="7000"/>
          </w:tcPr>
          <w:p>
            <w:r>
              <w:rPr>
                <w:color w:val="0F172A"/>
                <w:sz w:val="20"/>
                <w:szCs w:val="20"/>
              </w:rPr>
              <w:t xml:space="preserve">Add confirmation dialogs for Delete, Reject, and Remove actions</w:t>
            </w:r>
          </w:p>
        </w:tc>
        <w:tc>
          <w:tcPr>
            <w:tcW w:type="dxa" w:w="2000"/>
            <w:shd w:fill="FEF3C7" w:val="clear"/>
          </w:tcPr>
          <w:p>
            <w:r>
              <w:rPr>
                <w:b/>
                <w:bCs/>
                <w:color w:val="D97706"/>
                <w:sz w:val="18"/>
                <w:szCs w:val="18"/>
              </w:rPr>
              <w:t xml:space="preserve">Required</w:t>
            </w:r>
          </w:p>
        </w:tc>
      </w:tr>
      <w:tr>
        <w:tc>
          <w:tcPr>
            <w:tcW w:type="dxa" w:w="500"/>
          </w:tcPr>
          <w:p>
            <w:r>
              <w:rPr>
                <w:sz w:val="20"/>
                <w:szCs w:val="20"/>
              </w:rPr>
              <w:t xml:space="preserve">☐</w:t>
            </w:r>
          </w:p>
        </w:tc>
        <w:tc>
          <w:tcPr>
            <w:tcW w:type="dxa" w:w="7000"/>
          </w:tcPr>
          <w:p>
            <w:r>
              <w:rPr>
                <w:color w:val="0F172A"/>
                <w:sz w:val="20"/>
                <w:szCs w:val="20"/>
              </w:rPr>
              <w:t xml:space="preserve">Define keyboard interaction spec for timeline grid (WCAG 2.1 AA)</w:t>
            </w:r>
          </w:p>
        </w:tc>
        <w:tc>
          <w:tcPr>
            <w:tcW w:type="dxa" w:w="2000"/>
            <w:shd w:fill="F0FDF4" w:val="clear"/>
          </w:tcPr>
          <w:p>
            <w:r>
              <w:rPr>
                <w:b/>
                <w:bCs/>
                <w:color w:val="16A34A"/>
                <w:sz w:val="18"/>
                <w:szCs w:val="18"/>
              </w:rPr>
              <w:t xml:space="preserve">Recommended</w:t>
            </w:r>
          </w:p>
        </w:tc>
      </w:tr>
      <w:tr>
        <w:tc>
          <w:tcPr>
            <w:tcW w:type="dxa" w:w="500"/>
          </w:tcPr>
          <w:p>
            <w:r>
              <w:rPr>
                <w:sz w:val="20"/>
                <w:szCs w:val="20"/>
              </w:rPr>
              <w:t xml:space="preserve">☐</w:t>
            </w:r>
          </w:p>
        </w:tc>
        <w:tc>
          <w:tcPr>
            <w:tcW w:type="dxa" w:w="7000"/>
          </w:tcPr>
          <w:p>
            <w:r>
              <w:rPr>
                <w:color w:val="0F172A"/>
                <w:sz w:val="20"/>
                <w:szCs w:val="20"/>
              </w:rPr>
              <w:t xml:space="preserve">Add colour-blind simulation to colour spec</w:t>
            </w:r>
          </w:p>
        </w:tc>
        <w:tc>
          <w:tcPr>
            <w:tcW w:type="dxa" w:w="2000"/>
            <w:shd w:fill="F0FDF4" w:val="clear"/>
          </w:tcPr>
          <w:p>
            <w:r>
              <w:rPr>
                <w:b/>
                <w:bCs/>
                <w:color w:val="16A34A"/>
                <w:sz w:val="18"/>
                <w:szCs w:val="18"/>
              </w:rPr>
              <w:t xml:space="preserve">Recommended</w:t>
            </w:r>
          </w:p>
        </w:tc>
      </w:tr>
      <w:tr>
        <w:tc>
          <w:tcPr>
            <w:tcW w:type="dxa" w:w="500"/>
          </w:tcPr>
          <w:p>
            <w:r>
              <w:rPr>
                <w:sz w:val="20"/>
                <w:szCs w:val="20"/>
              </w:rPr>
              <w:t xml:space="preserve">☐</w:t>
            </w:r>
          </w:p>
        </w:tc>
        <w:tc>
          <w:tcPr>
            <w:tcW w:type="dxa" w:w="7000"/>
          </w:tcPr>
          <w:p>
            <w:r>
              <w:rPr>
                <w:color w:val="0F172A"/>
                <w:sz w:val="20"/>
                <w:szCs w:val="20"/>
              </w:rPr>
              <w:t xml:space="preserve">Add prefers-reduced-motion kill switch for Overdue pulse animation</w:t>
            </w:r>
          </w:p>
        </w:tc>
        <w:tc>
          <w:tcPr>
            <w:tcW w:type="dxa" w:w="2000"/>
            <w:shd w:fill="F0FDF4" w:val="clear"/>
          </w:tcPr>
          <w:p>
            <w:r>
              <w:rPr>
                <w:b/>
                <w:bCs/>
                <w:color w:val="16A34A"/>
                <w:sz w:val="18"/>
                <w:szCs w:val="18"/>
              </w:rPr>
              <w:t xml:space="preserve">Recommended</w:t>
            </w:r>
          </w:p>
        </w:tc>
      </w:tr>
    </w:tbl>
    <w:p>
      <w:r>
        <w:br w:type="page"/>
      </w:r>
    </w:p>
    <w:p>
      <w:pPr>
        <w:pStyle w:val="Heading1"/>
        <w:spacing w:after="120" w:before="400"/>
      </w:pPr>
      <w:r>
        <w:rPr>
          <w:b/>
          <w:bCs/>
          <w:color w:val="0F172A"/>
        </w:rPr>
        <w:t xml:space="preserve">Deliverables Included</w:t>
      </w:r>
    </w:p>
    <w:p>
      <w:pPr>
        <w:spacing w:after="120"/>
        <w:jc w:val="left"/>
      </w:pPr>
      <w:r>
        <w:rPr>
          <w:color w:val="333333"/>
          <w:sz w:val="22"/>
          <w:szCs w:val="22"/>
        </w:rPr>
        <w:t xml:space="preserve">The following files accompany this document. The developer should open each HTML file in a browser to inspect exact colours, spacing, and component structure.</w:t>
      </w:r>
    </w:p>
    <w:p>
      <w:pPr>
        <w:pStyle w:val="ListParagraph"/>
        <w:numPr>
          <w:ilvl w:val="0"/>
          <w:numId w:val="1"/>
        </w:numPr>
        <w:spacing w:after="80"/>
      </w:pPr>
      <w:r>
        <w:rPr>
          <w:b/>
          <w:bCs/>
          <w:color w:val="0F172A"/>
          <w:sz w:val="22"/>
          <w:szCs w:val="22"/>
        </w:rPr>
        <w:t xml:space="preserve">FR10-Design-Review.docx </w:t>
      </w:r>
      <w:r>
        <w:rPr>
          <w:color w:val="333333"/>
          <w:sz w:val="22"/>
          <w:szCs w:val="22"/>
        </w:rPr>
        <w:t xml:space="preserve">— this document</w:t>
      </w:r>
    </w:p>
    <w:p>
      <w:pPr>
        <w:pStyle w:val="ListParagraph"/>
        <w:numPr>
          <w:ilvl w:val="0"/>
          <w:numId w:val="1"/>
        </w:numPr>
        <w:spacing w:after="80"/>
      </w:pPr>
      <w:r>
        <w:rPr>
          <w:b/>
          <w:bCs/>
          <w:color w:val="0F172A"/>
          <w:sz w:val="22"/>
          <w:szCs w:val="22"/>
        </w:rPr>
        <w:t xml:space="preserve">ideal-screen-1-timeline.html </w:t>
      </w:r>
      <w:r>
        <w:rPr>
          <w:color w:val="333333"/>
          <w:sz w:val="22"/>
          <w:szCs w:val="22"/>
        </w:rPr>
        <w:t xml:space="preserve">— corrected annual timeline with summary panel (no per-activity budget)</w:t>
      </w:r>
    </w:p>
    <w:p>
      <w:pPr>
        <w:pStyle w:val="ListParagraph"/>
        <w:numPr>
          <w:ilvl w:val="0"/>
          <w:numId w:val="1"/>
        </w:numPr>
        <w:spacing w:after="80"/>
      </w:pPr>
      <w:r>
        <w:rPr>
          <w:b/>
          <w:bCs/>
          <w:color w:val="0F172A"/>
          <w:sz w:val="22"/>
          <w:szCs w:val="22"/>
        </w:rPr>
        <w:t xml:space="preserve">ideal-screen-2-cards.html </w:t>
      </w:r>
      <w:r>
        <w:rPr>
          <w:color w:val="333333"/>
          <w:sz w:val="22"/>
          <w:szCs w:val="22"/>
        </w:rPr>
        <w:t xml:space="preserve">— corrected activity cards (no budget, SVG icons, collapsible AI rationale, 3-width bars)</w:t>
      </w:r>
    </w:p>
    <w:p>
      <w:pPr>
        <w:pStyle w:val="ListParagraph"/>
        <w:numPr>
          <w:ilvl w:val="0"/>
          <w:numId w:val="1"/>
        </w:numPr>
        <w:spacing w:after="80"/>
      </w:pPr>
      <w:r>
        <w:rPr>
          <w:b/>
          <w:bCs/>
          <w:color w:val="0F172A"/>
          <w:sz w:val="22"/>
          <w:szCs w:val="22"/>
        </w:rPr>
        <w:t xml:space="preserve">ideal-screen-8-generate-roadmap.html </w:t>
      </w:r>
      <w:r>
        <w:rPr>
          <w:color w:val="333333"/>
          <w:sz w:val="22"/>
          <w:szCs w:val="22"/>
        </w:rPr>
        <w:t xml:space="preserve">— LLM generation flow (empty → loading → result)</w:t>
      </w:r>
    </w:p>
    <w:p>
      <w:pPr>
        <w:pStyle w:val="ListParagraph"/>
        <w:numPr>
          <w:ilvl w:val="0"/>
          <w:numId w:val="1"/>
        </w:numPr>
        <w:spacing w:after="80"/>
      </w:pPr>
      <w:r>
        <w:rPr>
          <w:b/>
          <w:bCs/>
          <w:color w:val="0F172A"/>
          <w:sz w:val="22"/>
          <w:szCs w:val="22"/>
        </w:rPr>
        <w:t xml:space="preserve">ideal-screen-9-approval.html </w:t>
      </w:r>
      <w:r>
        <w:rPr>
          <w:color w:val="333333"/>
          <w:sz w:val="22"/>
          <w:szCs w:val="22"/>
        </w:rPr>
        <w:t xml:space="preserve">— whole-roadmap approval flow (CBD submit → Delegate review → Approved)</w:t>
      </w:r>
    </w:p>
    <w:p>
      <w:pPr>
        <w:pStyle w:val="ListParagraph"/>
        <w:numPr>
          <w:ilvl w:val="0"/>
          <w:numId w:val="1"/>
        </w:numPr>
        <w:spacing w:after="80"/>
      </w:pPr>
      <w:r>
        <w:rPr>
          <w:b/>
          <w:bCs/>
          <w:color w:val="0F172A"/>
          <w:sz w:val="22"/>
          <w:szCs w:val="22"/>
        </w:rPr>
        <w:t xml:space="preserve">ideal-screen-10-notifications.html </w:t>
      </w:r>
      <w:r>
        <w:rPr>
          <w:color w:val="333333"/>
          <w:sz w:val="22"/>
          <w:szCs w:val="22"/>
        </w:rPr>
        <w:t xml:space="preserve">— notification bell, inline banners, email template</w:t>
      </w:r>
    </w:p>
    <w:p>
      <w:pPr>
        <w:pStyle w:val="ListParagraph"/>
        <w:numPr>
          <w:ilvl w:val="0"/>
          <w:numId w:val="1"/>
        </w:numPr>
        <w:spacing w:after="80"/>
      </w:pPr>
      <w:r>
        <w:rPr>
          <w:b/>
          <w:bCs/>
          <w:color w:val="0F172A"/>
          <w:sz w:val="22"/>
          <w:szCs w:val="22"/>
        </w:rPr>
        <w:t xml:space="preserve">ideal-screen-11-mobile.html </w:t>
      </w:r>
      <w:r>
        <w:rPr>
          <w:color w:val="333333"/>
          <w:sz w:val="22"/>
          <w:szCs w:val="22"/>
        </w:rPr>
        <w:t xml:space="preserve">— mobile responsive at 375px (year-accordion + summary tab)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CONFIDENTIAL — PVS IS FR10 Design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172A"/>
      <w:sz w:val="36"/>
      <w:szCs w:val="36"/>
    </w:rPr>
  </w:style>
  <w:style w:type="paragraph" w:styleId="Heading2">
    <w:name w:val="Heading 2"/>
    <w:basedOn w:val="Normal"/>
    <w:next w:val="Normal"/>
    <w:qFormat/>
    <w:rPr>
      <w:rFonts w:ascii="Calibri" w:cs="Calibri" w:eastAsia="Calibri" w:hAnsi="Calibri"/>
      <w:b/>
      <w:bCs/>
      <w:color w:val="EA580C"/>
      <w:sz w:val="28"/>
      <w:szCs w:val="28"/>
    </w:rPr>
  </w:style>
  <w:style w:type="paragraph" w:styleId="Heading3">
    <w:name w:val="Heading 3"/>
    <w:basedOn w:val="Normal"/>
    <w:next w:val="Normal"/>
    <w:qFormat/>
    <w:rPr>
      <w:rFonts w:ascii="Calibri" w:cs="Calibri" w:eastAsia="Calibri" w:hAnsi="Calibri"/>
      <w:b/>
      <w:bCs/>
      <w:color w:val="0F172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57e2d9100b457b9071a005aac00b9af9096698.png"/><Relationship Id="rId10" Type="http://schemas.openxmlformats.org/officeDocument/2006/relationships/image" Target="media/c93a35d06e3445726d5f9c2a460291bdd1f3fc49.png"/><Relationship Id="rId11" Type="http://schemas.openxmlformats.org/officeDocument/2006/relationships/image" Target="media/63b41c14725fe8c697de346288b3f3f035beca5c.png"/><Relationship Id="rId12" Type="http://schemas.openxmlformats.org/officeDocument/2006/relationships/image" Target="media/e21e8ad9282e57a901ff5434fca0cc1a22acf526.png"/><Relationship Id="rId13" Type="http://schemas.openxmlformats.org/officeDocument/2006/relationships/image" Target="media/7329ac6aae2b54fe59a3bf445d8c45b8e727daf5.png"/><Relationship Id="rId14" Type="http://schemas.openxmlformats.org/officeDocument/2006/relationships/image" Target="media/9abfc8dcc9d5d478d610c87402a62e3bc869584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2026-08-04T11:45:45.268Z</dcterms:created>
  <dcterms:modified xsi:type="dcterms:W3CDTF">2026-08-04T11:45:45.268Z</dcterms:modified>
</cp:coreProperties>
</file>

<file path=docProps/custom.xml><?xml version="1.0" encoding="utf-8"?>
<Properties xmlns="http://schemas.openxmlformats.org/officeDocument/2006/custom-properties" xmlns:vt="http://schemas.openxmlformats.org/officeDocument/2006/docPropsVTypes"/>
</file>