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560" w:lineRule="exact"/>
      </w:pPr>
      <w:r>
        <w:rPr>
          <w:rFonts w:ascii="맑은 고딕" w:hAnsi="맑은 고딕" w:eastAsia="맑은 고딕"/>
          <w:b/>
          <w:color w:val="333333"/>
          <w:sz w:val="48"/>
        </w:rPr>
        <w:t>FY25 손상평가 보고서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color w:val="333333"/>
          <w:sz w:val="22"/>
        </w:rPr>
        <w:t>테마: default · 2026.03</w:t>
      </w:r>
    </w:p>
    <w:p>
      <w:pPr>
        <w:spacing w:before="40" w:after="120"/>
        <w:pBdr>
          <w:bottom w:val="single" w:sz="20" w:space="1" w:color="333333"/>
        </w:pBdr>
      </w:pPr>
    </w:p>
    <w:p>
      <w:pPr>
        <w:pStyle w:val="Heading1"/>
      </w:pPr>
      <w:r>
        <w:rPr>
          <w:rFonts w:ascii="맑은 고딕" w:hAnsi="맑은 고딕" w:eastAsia="맑은 고딕"/>
          <w:b/>
          <w:color w:val="333333"/>
          <w:sz w:val="28"/>
        </w:rPr>
        <w:t>1. 평가 개요</w:t>
      </w:r>
    </w:p>
    <w:p>
      <w:r>
        <w:rPr>
          <w:rFonts w:ascii="맑은 고딕" w:hAnsi="맑은 고딕" w:eastAsia="맑은 고딕"/>
          <w:b w:val="0"/>
          <w:color w:val="222222"/>
          <w:sz w:val="22"/>
        </w:rPr>
        <w:t>본 보고서는 현금창출단위(CGU)별 손상징후를 검토하고, 회수가능액과 장부금액을 비교하여 손상차손 인식 여부를 판단한 결과를 요약한다.</w:t>
      </w:r>
    </w:p>
    <w:p>
      <w:pPr>
        <w:pStyle w:val="ListBullet"/>
      </w:pPr>
      <w:r>
        <w:rPr>
          <w:rFonts w:ascii="맑은 고딕" w:hAnsi="맑은 고딕" w:eastAsia="맑은 고딕"/>
          <w:color w:val="222222"/>
          <w:sz w:val="22"/>
        </w:rPr>
        <w:t>대상: 영업권 및 유형자산이 배분된 4개 CGU</w:t>
      </w:r>
    </w:p>
    <w:p>
      <w:pPr>
        <w:pStyle w:val="ListBullet"/>
      </w:pPr>
      <w:r>
        <w:rPr>
          <w:rFonts w:ascii="맑은 고딕" w:hAnsi="맑은 고딕" w:eastAsia="맑은 고딕"/>
          <w:color w:val="222222"/>
          <w:sz w:val="22"/>
        </w:rPr>
        <w:t>방법: 사용가치(DCF)와 처분부대원가 차감 공정가치 중 큰 금액</w:t>
      </w:r>
    </w:p>
    <w:p>
      <w:pPr>
        <w:pStyle w:val="ListBullet"/>
      </w:pPr>
      <w:r>
        <w:rPr>
          <w:rFonts w:ascii="맑은 고딕" w:hAnsi="맑은 고딕" w:eastAsia="맑은 고딕"/>
          <w:color w:val="222222"/>
          <w:sz w:val="22"/>
        </w:rPr>
        <w:t>핵심 가정: 할인율(WACC), 영구성장률, 추정 현금흐름</w:t>
      </w:r>
    </w:p>
    <w:p>
      <w:pPr>
        <w:pStyle w:val="ListBullet2"/>
      </w:pPr>
      <w:r>
        <w:rPr>
          <w:rFonts w:ascii="맑은 고딕" w:hAnsi="맑은 고딕" w:eastAsia="맑은 고딕"/>
          <w:color w:val="222222"/>
          <w:sz w:val="22"/>
        </w:rPr>
        <w:t>할인율은 외부 시장데이터 기반 산정</w:t>
      </w:r>
    </w:p>
    <w:p>
      <w:pPr>
        <w:pStyle w:val="ListBullet2"/>
      </w:pPr>
      <w:r>
        <w:rPr>
          <w:rFonts w:ascii="맑은 고딕" w:hAnsi="맑은 고딕" w:eastAsia="맑은 고딕"/>
          <w:color w:val="222222"/>
          <w:sz w:val="22"/>
        </w:rPr>
        <w:t>추정기간은 5개년 + 영구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left w:val="single" w:sz="24" w:space="0" w:color="595959"/>
              <w:top w:val="single" w:sz="4" w:space="0" w:color="F2F2F2"/>
              <w:bottom w:val="single" w:sz="4" w:space="0" w:color="F2F2F2"/>
              <w:right w:val="single" w:sz="4" w:space="0" w:color="F2F2F2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핵심 결론: 일부 CGU에서 회수가능액이 장부금액을 하회하여 손상차손을 인식하였다.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color w:val="333333"/>
          <w:sz w:val="28"/>
        </w:rPr>
        <w:t>2. 주요 재무지표</w:t>
      </w:r>
    </w:p>
    <w:p>
      <w:pPr>
        <w:pStyle w:val="Heading2"/>
      </w:pPr>
      <w:r>
        <w:rPr>
          <w:rFonts w:ascii="맑은 고딕" w:hAnsi="맑은 고딕" w:eastAsia="맑은 고딕"/>
          <w:b/>
          <w:color w:val="333333"/>
          <w:sz w:val="24"/>
        </w:rPr>
        <w:t>2.1 손익 요약</w:t>
      </w:r>
    </w:p>
    <w:p>
      <w:r>
        <w:rPr>
          <w:rFonts w:ascii="맑은 고딕" w:hAnsi="맑은 고딕" w:eastAsia="맑은 고딕"/>
          <w:b w:val="0"/>
          <w:color w:val="222222"/>
          <w:sz w:val="22"/>
        </w:rPr>
        <w:t>전기 대비 당기 손익 변동은 아래와 같다.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계정과목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전기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당기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증감액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증감율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매출액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1,200,000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1,450,000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250,000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20.8%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매출원가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C0392B"/>
                <w:sz w:val="22"/>
              </w:rPr>
              <w:t>(800,000)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C0392B"/>
                <w:sz w:val="22"/>
              </w:rPr>
              <w:t>(950,000)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C0392B"/>
                <w:sz w:val="22"/>
              </w:rPr>
              <w:t>(150,000)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18.8%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매출총이익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400,000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500,000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100,000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25.0%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판매관리비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C0392B"/>
                <w:sz w:val="22"/>
              </w:rPr>
              <w:t>(180,000)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C0392B"/>
                <w:sz w:val="22"/>
              </w:rPr>
              <w:t>(210,000)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C0392B"/>
                <w:sz w:val="22"/>
              </w:rPr>
              <w:t>(30,000)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16.7%</w:t>
            </w:r>
          </w:p>
        </w:tc>
      </w:tr>
      <w:tr>
        <w:tc>
          <w:tcPr>
            <w:shd w:val="clear" w:color="auto" w:fill="F4F4F4"/>
            <w:tcBorders>
              <w:top w:val="single" w:sz="8" w:space="0" w:color="BFBFBF"/>
              <w:bottom w:val="single" w:sz="16" w:space="0" w:color="595959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/>
                <w:color w:val="222222"/>
                <w:sz w:val="22"/>
              </w:rPr>
              <w:t>영업이익</w:t>
            </w:r>
          </w:p>
        </w:tc>
        <w:tc>
          <w:tcPr>
            <w:shd w:val="clear" w:color="auto" w:fill="F4F4F4"/>
            <w:tcBorders>
              <w:top w:val="single" w:sz="8" w:space="0" w:color="BFBFBF"/>
              <w:bottom w:val="single" w:sz="16" w:space="0" w:color="595959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/>
                <w:color w:val="222222"/>
                <w:sz w:val="22"/>
              </w:rPr>
              <w:t>220,000</w:t>
            </w:r>
          </w:p>
        </w:tc>
        <w:tc>
          <w:tcPr>
            <w:shd w:val="clear" w:color="auto" w:fill="F4F4F4"/>
            <w:tcBorders>
              <w:top w:val="single" w:sz="8" w:space="0" w:color="BFBFBF"/>
              <w:bottom w:val="single" w:sz="16" w:space="0" w:color="595959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/>
                <w:color w:val="222222"/>
                <w:sz w:val="22"/>
              </w:rPr>
              <w:t>290,000</w:t>
            </w:r>
          </w:p>
        </w:tc>
        <w:tc>
          <w:tcPr>
            <w:shd w:val="clear" w:color="auto" w:fill="F4F4F4"/>
            <w:tcBorders>
              <w:top w:val="single" w:sz="8" w:space="0" w:color="BFBFBF"/>
              <w:bottom w:val="single" w:sz="16" w:space="0" w:color="595959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/>
                <w:color w:val="222222"/>
                <w:sz w:val="22"/>
              </w:rPr>
              <w:t>70,000</w:t>
            </w:r>
          </w:p>
        </w:tc>
        <w:tc>
          <w:tcPr>
            <w:shd w:val="clear" w:color="auto" w:fill="F4F4F4"/>
            <w:tcBorders>
              <w:top w:val="single" w:sz="8" w:space="0" w:color="BFBFBF"/>
              <w:bottom w:val="single" w:sz="16" w:space="0" w:color="595959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/>
                <w:color w:val="222222"/>
                <w:sz w:val="22"/>
              </w:rPr>
              <w:t>31.8%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color w:val="333333"/>
          <w:sz w:val="28"/>
        </w:rPr>
        <w:t>3. 평가 절차</w:t>
      </w:r>
    </w:p>
    <w:p>
      <w:pPr>
        <w:pStyle w:val="ListNumber"/>
      </w:pPr>
      <w:r>
        <w:rPr>
          <w:rFonts w:ascii="맑은 고딕" w:hAnsi="맑은 고딕" w:eastAsia="맑은 고딕"/>
          <w:color w:val="222222"/>
          <w:sz w:val="22"/>
        </w:rPr>
        <w:t>손상징후 식별 및 CGU 식별</w:t>
      </w:r>
    </w:p>
    <w:p>
      <w:pPr>
        <w:pStyle w:val="ListNumber"/>
      </w:pPr>
      <w:r>
        <w:rPr>
          <w:rFonts w:ascii="맑은 고딕" w:hAnsi="맑은 고딕" w:eastAsia="맑은 고딕"/>
          <w:color w:val="222222"/>
          <w:sz w:val="22"/>
        </w:rPr>
        <w:t>회수가능액 산정 (사용가치·공정가치)</w:t>
      </w:r>
    </w:p>
    <w:p>
      <w:pPr>
        <w:pStyle w:val="ListNumber"/>
      </w:pPr>
      <w:r>
        <w:rPr>
          <w:rFonts w:ascii="맑은 고딕" w:hAnsi="맑은 고딕" w:eastAsia="맑은 고딕"/>
          <w:color w:val="222222"/>
          <w:sz w:val="22"/>
        </w:rPr>
        <w:t>장부금액과 비교하여 손상차손 인식</w:t>
      </w:r>
    </w:p>
    <w:p>
      <w:pPr>
        <w:pStyle w:val="ListNumber"/>
      </w:pPr>
      <w:r>
        <w:rPr>
          <w:rFonts w:ascii="맑은 고딕" w:hAnsi="맑은 고딕" w:eastAsia="맑은 고딕"/>
          <w:color w:val="222222"/>
          <w:sz w:val="22"/>
        </w:rPr>
        <w:t>민감도 분석 및 결론 도출</w:t>
      </w:r>
    </w:p>
    <w:p>
      <w:pPr>
        <w:pStyle w:val="Heading1"/>
      </w:pPr>
      <w:r>
        <w:rPr>
          <w:rFonts w:ascii="맑은 고딕" w:hAnsi="맑은 고딕" w:eastAsia="맑은 고딕"/>
          <w:b/>
          <w:color w:val="333333"/>
          <w:sz w:val="28"/>
        </w:rPr>
        <w:t>4. 가정 및 한계</w:t>
      </w:r>
    </w:p>
    <w:p>
      <w:r>
        <w:rPr>
          <w:rFonts w:ascii="맑은 고딕" w:hAnsi="맑은 고딕" w:eastAsia="맑은 고딕"/>
          <w:b w:val="0"/>
          <w:color w:val="222222"/>
          <w:sz w:val="22"/>
        </w:rPr>
        <w:t>할인율은 WACC를 적용하였으며, 추정에는 불확실성이 존재한다.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33333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