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EF1F" w14:textId="6B7C17E0" w:rsidR="00DA7A54" w:rsidRDefault="00DA7A54" w:rsidP="00DA7A54">
      <w:pPr>
        <w:jc w:val="center"/>
        <w:rPr>
          <w:b/>
          <w:sz w:val="22"/>
          <w:szCs w:val="22"/>
        </w:rPr>
      </w:pPr>
      <w:r>
        <w:rPr>
          <w:b/>
          <w:sz w:val="22"/>
          <w:szCs w:val="22"/>
        </w:rPr>
        <w:t xml:space="preserve">History </w:t>
      </w:r>
      <w:r>
        <w:rPr>
          <w:b/>
          <w:sz w:val="22"/>
          <w:szCs w:val="22"/>
        </w:rPr>
        <w:t>24</w:t>
      </w:r>
      <w:r>
        <w:rPr>
          <w:b/>
          <w:sz w:val="22"/>
          <w:szCs w:val="22"/>
        </w:rPr>
        <w:t xml:space="preserve">3 – Sex and Sexuality in Latin </w:t>
      </w:r>
      <w:sdt>
        <w:sdtPr>
          <w:tag w:val="goog_rdk_0"/>
          <w:id w:val="-1019147678"/>
        </w:sdtPr>
        <w:sdtContent/>
      </w:sdt>
      <w:r>
        <w:rPr>
          <w:b/>
          <w:sz w:val="22"/>
          <w:szCs w:val="22"/>
        </w:rPr>
        <w:t>America</w:t>
      </w:r>
    </w:p>
    <w:p w14:paraId="329A2632" w14:textId="77777777" w:rsidR="00DA7A54" w:rsidRDefault="00DA7A54" w:rsidP="00DA7A54">
      <w:pPr>
        <w:rPr>
          <w:b/>
          <w:sz w:val="22"/>
          <w:szCs w:val="22"/>
        </w:rPr>
      </w:pPr>
    </w:p>
    <w:tbl>
      <w:tblPr>
        <w:tblW w:w="8856" w:type="dxa"/>
        <w:tblInd w:w="-115" w:type="dxa"/>
        <w:tblLayout w:type="fixed"/>
        <w:tblLook w:val="0000" w:firstRow="0" w:lastRow="0" w:firstColumn="0" w:lastColumn="0" w:noHBand="0" w:noVBand="0"/>
      </w:tblPr>
      <w:tblGrid>
        <w:gridCol w:w="4428"/>
        <w:gridCol w:w="4428"/>
      </w:tblGrid>
      <w:tr w:rsidR="00DA7A54" w14:paraId="3A138F4A" w14:textId="77777777" w:rsidTr="00A37A2F">
        <w:tc>
          <w:tcPr>
            <w:tcW w:w="4428" w:type="dxa"/>
          </w:tcPr>
          <w:p w14:paraId="5EB80CE7" w14:textId="77777777" w:rsidR="00DA7A54" w:rsidRDefault="00DA7A54" w:rsidP="00A37A2F">
            <w:pPr>
              <w:rPr>
                <w:b/>
                <w:sz w:val="22"/>
                <w:szCs w:val="22"/>
              </w:rPr>
            </w:pPr>
            <w:r>
              <w:rPr>
                <w:b/>
                <w:sz w:val="22"/>
                <w:szCs w:val="22"/>
              </w:rPr>
              <w:t>Prof Trey Proctor</w:t>
            </w:r>
          </w:p>
        </w:tc>
        <w:tc>
          <w:tcPr>
            <w:tcW w:w="4428" w:type="dxa"/>
          </w:tcPr>
          <w:p w14:paraId="55D3D15C" w14:textId="65CA8392" w:rsidR="00DA7A54" w:rsidRDefault="00DA7A54" w:rsidP="00A37A2F">
            <w:pPr>
              <w:jc w:val="right"/>
              <w:rPr>
                <w:b/>
                <w:sz w:val="22"/>
                <w:szCs w:val="22"/>
              </w:rPr>
            </w:pPr>
            <w:r>
              <w:rPr>
                <w:b/>
                <w:sz w:val="22"/>
                <w:szCs w:val="22"/>
              </w:rPr>
              <w:t>Spring 2026</w:t>
            </w:r>
          </w:p>
        </w:tc>
      </w:tr>
    </w:tbl>
    <w:p w14:paraId="1B6CCDB2" w14:textId="0F3ACE02" w:rsidR="00DA7A54" w:rsidRDefault="00DA7A54" w:rsidP="00DA7A54">
      <w:pPr>
        <w:rPr>
          <w:sz w:val="22"/>
          <w:szCs w:val="22"/>
        </w:rPr>
      </w:pPr>
      <w:r>
        <w:rPr>
          <w:sz w:val="22"/>
          <w:szCs w:val="22"/>
        </w:rPr>
        <w:t xml:space="preserve">Class:  </w:t>
      </w:r>
      <w:proofErr w:type="spellStart"/>
      <w:r>
        <w:rPr>
          <w:sz w:val="22"/>
          <w:szCs w:val="22"/>
        </w:rPr>
        <w:t>TTh</w:t>
      </w:r>
      <w:proofErr w:type="spellEnd"/>
      <w:r>
        <w:rPr>
          <w:sz w:val="22"/>
          <w:szCs w:val="22"/>
        </w:rPr>
        <w:t xml:space="preserve"> 3</w:t>
      </w:r>
      <w:r>
        <w:rPr>
          <w:sz w:val="22"/>
          <w:szCs w:val="22"/>
        </w:rPr>
        <w:t>:</w:t>
      </w:r>
      <w:r>
        <w:rPr>
          <w:sz w:val="22"/>
          <w:szCs w:val="22"/>
        </w:rPr>
        <w:t>0</w:t>
      </w:r>
      <w:r>
        <w:rPr>
          <w:sz w:val="22"/>
          <w:szCs w:val="22"/>
        </w:rPr>
        <w:t>0</w:t>
      </w:r>
      <w:r>
        <w:rPr>
          <w:sz w:val="22"/>
          <w:szCs w:val="22"/>
        </w:rPr>
        <w:t>-</w:t>
      </w:r>
      <w:r>
        <w:rPr>
          <w:sz w:val="22"/>
          <w:szCs w:val="22"/>
        </w:rPr>
        <w:t>4:</w:t>
      </w:r>
      <w:r>
        <w:rPr>
          <w:sz w:val="22"/>
          <w:szCs w:val="22"/>
        </w:rPr>
        <w:t xml:space="preserve">20 pm </w:t>
      </w:r>
    </w:p>
    <w:p w14:paraId="381BE7E7" w14:textId="0B28AD2C" w:rsidR="00DA7A54" w:rsidRDefault="00DA7A54" w:rsidP="00DA7A54">
      <w:pPr>
        <w:rPr>
          <w:sz w:val="22"/>
          <w:szCs w:val="22"/>
        </w:rPr>
      </w:pPr>
      <w:r>
        <w:rPr>
          <w:sz w:val="22"/>
          <w:szCs w:val="22"/>
        </w:rPr>
        <w:t>Office Hours: T</w:t>
      </w:r>
      <w:r>
        <w:rPr>
          <w:sz w:val="22"/>
          <w:szCs w:val="22"/>
        </w:rPr>
        <w:t>TH 1:15-2:45</w:t>
      </w:r>
      <w:r>
        <w:rPr>
          <w:sz w:val="22"/>
          <w:szCs w:val="22"/>
        </w:rPr>
        <w:t xml:space="preserve"> and </w:t>
      </w:r>
      <w:r>
        <w:rPr>
          <w:b/>
          <w:sz w:val="22"/>
          <w:szCs w:val="22"/>
        </w:rPr>
        <w:t>by appointment</w:t>
      </w:r>
    </w:p>
    <w:p w14:paraId="219C5246" w14:textId="77777777" w:rsidR="00DA7A54" w:rsidRDefault="00DA7A54" w:rsidP="00DA7A54">
      <w:pPr>
        <w:rPr>
          <w:sz w:val="22"/>
          <w:szCs w:val="22"/>
        </w:rPr>
      </w:pPr>
      <w:r>
        <w:rPr>
          <w:sz w:val="22"/>
          <w:szCs w:val="22"/>
        </w:rPr>
        <w:t>Office: 404 Fellows Hall</w:t>
      </w:r>
    </w:p>
    <w:p w14:paraId="050D1A9B" w14:textId="78D958C8" w:rsidR="00DA7A54" w:rsidRDefault="00DA7A54" w:rsidP="00DA7A54">
      <w:pPr>
        <w:rPr>
          <w:sz w:val="22"/>
          <w:szCs w:val="22"/>
        </w:rPr>
      </w:pPr>
      <w:r>
        <w:rPr>
          <w:sz w:val="22"/>
          <w:szCs w:val="22"/>
        </w:rPr>
        <w:t xml:space="preserve">Telephone: </w:t>
      </w:r>
      <w:r>
        <w:rPr>
          <w:sz w:val="22"/>
          <w:szCs w:val="22"/>
        </w:rPr>
        <w:t>740-</w:t>
      </w:r>
      <w:r>
        <w:rPr>
          <w:sz w:val="22"/>
          <w:szCs w:val="22"/>
        </w:rPr>
        <w:t>587-5791</w:t>
      </w:r>
    </w:p>
    <w:p w14:paraId="62C2513F" w14:textId="77777777" w:rsidR="00DA7A54" w:rsidRDefault="00DA7A54" w:rsidP="00DA7A54">
      <w:pPr>
        <w:rPr>
          <w:sz w:val="22"/>
          <w:szCs w:val="22"/>
        </w:rPr>
      </w:pPr>
      <w:r>
        <w:rPr>
          <w:sz w:val="22"/>
          <w:szCs w:val="22"/>
        </w:rPr>
        <w:t>Email: proctorf@denison.edu</w:t>
      </w:r>
    </w:p>
    <w:p w14:paraId="53B3CCC8" w14:textId="77777777" w:rsidR="00DA7A54" w:rsidRDefault="00DA7A54" w:rsidP="00DA7A54">
      <w:pPr>
        <w:rPr>
          <w:b/>
          <w:sz w:val="22"/>
          <w:szCs w:val="22"/>
        </w:rPr>
      </w:pPr>
    </w:p>
    <w:p w14:paraId="33C3E7E7" w14:textId="77777777" w:rsidR="00DA7A54" w:rsidRDefault="00DA7A54" w:rsidP="00DA7A54">
      <w:pPr>
        <w:rPr>
          <w:sz w:val="22"/>
          <w:szCs w:val="22"/>
        </w:rPr>
      </w:pPr>
      <w:r>
        <w:rPr>
          <w:sz w:val="22"/>
          <w:szCs w:val="22"/>
          <w:u w:val="single"/>
        </w:rPr>
        <w:t>Course Description</w:t>
      </w:r>
      <w:r>
        <w:rPr>
          <w:sz w:val="22"/>
          <w:szCs w:val="22"/>
        </w:rPr>
        <w:t xml:space="preserve"> – This course critically examines the social construction of gender and sexuality in Latin America from the pre-Hispanic era through the modern period.  Particularly it will explore the various attempts by the ruling elite to define acceptable and deviant gender roles and sexual identities, how the non-elite resisted the imposition of those elite notions of propriety to create their own codes of conduct, and how those conflicts have changed over time.  Moreover, we will survey how historians use issues relating to gender and sexuality – domestic violence, prostitution, homosexuality, transvestitism, etc. – to elucidate the histories of Latin America.</w:t>
      </w:r>
    </w:p>
    <w:p w14:paraId="7DA45B30" w14:textId="77777777" w:rsidR="00DA7A54" w:rsidRDefault="00DA7A54" w:rsidP="00DA7A54">
      <w:pPr>
        <w:rPr>
          <w:sz w:val="22"/>
          <w:szCs w:val="22"/>
        </w:rPr>
      </w:pPr>
    </w:p>
    <w:p w14:paraId="254B2B36" w14:textId="77777777" w:rsidR="00DA7A54" w:rsidRDefault="00DA7A54" w:rsidP="00DA7A54">
      <w:pPr>
        <w:rPr>
          <w:sz w:val="22"/>
          <w:szCs w:val="22"/>
        </w:rPr>
      </w:pPr>
      <w:r>
        <w:rPr>
          <w:sz w:val="22"/>
          <w:szCs w:val="22"/>
        </w:rPr>
        <w:t xml:space="preserve">The class is designed as reading and discussion intensive.  The goal is for all of us (students and the professor) to discuss how historians have employed sexuality to explore some of the important historical processes in Latin America, to discuss the larger implications of those studies, and to debate </w:t>
      </w:r>
      <w:proofErr w:type="gramStart"/>
      <w:r>
        <w:rPr>
          <w:sz w:val="22"/>
          <w:szCs w:val="22"/>
        </w:rPr>
        <w:t>whether or not</w:t>
      </w:r>
      <w:proofErr w:type="gramEnd"/>
      <w:r>
        <w:rPr>
          <w:sz w:val="22"/>
          <w:szCs w:val="22"/>
        </w:rPr>
        <w:t xml:space="preserve"> sexualities have history in Latin America (</w:t>
      </w:r>
      <w:proofErr w:type="gramStart"/>
      <w:r>
        <w:rPr>
          <w:sz w:val="22"/>
          <w:szCs w:val="22"/>
        </w:rPr>
        <w:t>whether or not</w:t>
      </w:r>
      <w:proofErr w:type="gramEnd"/>
      <w:r>
        <w:rPr>
          <w:sz w:val="22"/>
          <w:szCs w:val="22"/>
        </w:rPr>
        <w:t xml:space="preserve"> they change over time).  A successful class then relies on students’ informed participation in classroom discussions.</w:t>
      </w:r>
    </w:p>
    <w:p w14:paraId="4F80D876" w14:textId="77777777" w:rsidR="00DA7A54" w:rsidRDefault="00DA7A54" w:rsidP="00DA7A54">
      <w:pPr>
        <w:rPr>
          <w:sz w:val="22"/>
          <w:szCs w:val="22"/>
        </w:rPr>
      </w:pPr>
    </w:p>
    <w:p w14:paraId="3421AE1F" w14:textId="2EBAA643" w:rsidR="00DA7A54" w:rsidRDefault="00DA7A54" w:rsidP="00DA7A54">
      <w:pPr>
        <w:rPr>
          <w:b/>
          <w:sz w:val="22"/>
          <w:szCs w:val="22"/>
        </w:rPr>
      </w:pPr>
      <w:r>
        <w:rPr>
          <w:sz w:val="22"/>
          <w:szCs w:val="22"/>
        </w:rPr>
        <w:t xml:space="preserve">This is a </w:t>
      </w:r>
      <w:proofErr w:type="gramStart"/>
      <w:r>
        <w:rPr>
          <w:sz w:val="22"/>
          <w:szCs w:val="22"/>
        </w:rPr>
        <w:t>History</w:t>
      </w:r>
      <w:proofErr w:type="gramEnd"/>
      <w:r>
        <w:rPr>
          <w:sz w:val="22"/>
          <w:szCs w:val="22"/>
        </w:rPr>
        <w:t xml:space="preserve"> class, so our focus will be on how historians have used sexuality to understand the past.  Once we master that, we can be more presentist and think through how the experiences of people in the past help us think through current realities and perhaps our personal experiences.</w:t>
      </w:r>
    </w:p>
    <w:p w14:paraId="4FC58A50" w14:textId="77777777" w:rsidR="00DA7A54" w:rsidRDefault="00DA7A54" w:rsidP="00DA7A54">
      <w:pPr>
        <w:rPr>
          <w:b/>
          <w:sz w:val="22"/>
          <w:szCs w:val="22"/>
        </w:rPr>
      </w:pPr>
    </w:p>
    <w:p w14:paraId="6857F4C7" w14:textId="77777777" w:rsidR="00DA7A54" w:rsidRDefault="00DA7A54" w:rsidP="00DA7A54">
      <w:pPr>
        <w:rPr>
          <w:b/>
          <w:sz w:val="22"/>
          <w:szCs w:val="22"/>
          <w:u w:val="single"/>
        </w:rPr>
      </w:pPr>
      <w:r>
        <w:rPr>
          <w:b/>
          <w:sz w:val="22"/>
          <w:szCs w:val="22"/>
          <w:u w:val="single"/>
        </w:rPr>
        <w:t>Assignments:</w:t>
      </w:r>
    </w:p>
    <w:p w14:paraId="11566EB5" w14:textId="77777777" w:rsidR="00DA7A54" w:rsidRDefault="00DA7A54" w:rsidP="00DA7A54">
      <w:pPr>
        <w:rPr>
          <w:sz w:val="22"/>
          <w:szCs w:val="22"/>
          <w:u w:val="single"/>
        </w:rPr>
      </w:pPr>
    </w:p>
    <w:p w14:paraId="3BE1C542" w14:textId="77777777" w:rsidR="00DA7A54" w:rsidRDefault="00DA7A54" w:rsidP="00DA7A54">
      <w:pPr>
        <w:rPr>
          <w:sz w:val="22"/>
          <w:szCs w:val="22"/>
        </w:rPr>
      </w:pPr>
      <w:r>
        <w:rPr>
          <w:sz w:val="22"/>
          <w:szCs w:val="22"/>
          <w:u w:val="single"/>
        </w:rPr>
        <w:t>Papers</w:t>
      </w:r>
      <w:r>
        <w:rPr>
          <w:sz w:val="22"/>
          <w:szCs w:val="22"/>
        </w:rPr>
        <w:t xml:space="preserve"> – You will be responsible for writing two papers (6-page min), </w:t>
      </w:r>
      <w:proofErr w:type="gramStart"/>
      <w:r>
        <w:rPr>
          <w:sz w:val="22"/>
          <w:szCs w:val="22"/>
        </w:rPr>
        <w:t>during the course of</w:t>
      </w:r>
      <w:proofErr w:type="gramEnd"/>
      <w:r>
        <w:rPr>
          <w:sz w:val="22"/>
          <w:szCs w:val="22"/>
        </w:rPr>
        <w:t xml:space="preserve"> the semester.  The papers will be formal historical essays, which will be graded on the thoughtfulness of the historical questions, the argument (thesis) and the degree to which the thesis is supported by cited evidence.  Papers will be based upon the assigned </w:t>
      </w:r>
      <w:proofErr w:type="gramStart"/>
      <w:r>
        <w:rPr>
          <w:sz w:val="22"/>
          <w:szCs w:val="22"/>
        </w:rPr>
        <w:t>readings</w:t>
      </w:r>
      <w:proofErr w:type="gramEnd"/>
      <w:r>
        <w:rPr>
          <w:sz w:val="22"/>
          <w:szCs w:val="22"/>
        </w:rPr>
        <w:t xml:space="preserve"> and you will be free to select the theme and content of your paper.  You are not required to conduct extra research for </w:t>
      </w:r>
      <w:proofErr w:type="gramStart"/>
      <w:r>
        <w:rPr>
          <w:sz w:val="22"/>
          <w:szCs w:val="22"/>
        </w:rPr>
        <w:t>these paper</w:t>
      </w:r>
      <w:proofErr w:type="gramEnd"/>
      <w:r>
        <w:rPr>
          <w:sz w:val="22"/>
          <w:szCs w:val="22"/>
        </w:rPr>
        <w:t>, but my do so if you wish.  The papers should be expansive, trying to draw on as many readings as possible.</w:t>
      </w:r>
    </w:p>
    <w:p w14:paraId="5F5954F5" w14:textId="77777777" w:rsidR="00DA7A54" w:rsidRDefault="00DA7A54" w:rsidP="00DA7A54">
      <w:pPr>
        <w:rPr>
          <w:sz w:val="22"/>
          <w:szCs w:val="22"/>
        </w:rPr>
      </w:pPr>
    </w:p>
    <w:p w14:paraId="011D2EFF" w14:textId="77777777" w:rsidR="00DA7A54" w:rsidRDefault="00DA7A54" w:rsidP="00DA7A54">
      <w:pPr>
        <w:rPr>
          <w:sz w:val="22"/>
          <w:szCs w:val="22"/>
        </w:rPr>
      </w:pPr>
      <w:r>
        <w:rPr>
          <w:sz w:val="22"/>
          <w:szCs w:val="22"/>
        </w:rPr>
        <w:t xml:space="preserve">Papers must be double spaced, employ Times New Roman </w:t>
      </w:r>
      <w:proofErr w:type="gramStart"/>
      <w:r>
        <w:rPr>
          <w:sz w:val="22"/>
          <w:szCs w:val="22"/>
        </w:rPr>
        <w:t>12 point</w:t>
      </w:r>
      <w:proofErr w:type="gramEnd"/>
      <w:r>
        <w:rPr>
          <w:sz w:val="22"/>
          <w:szCs w:val="22"/>
        </w:rPr>
        <w:t xml:space="preserve"> font, have </w:t>
      </w:r>
      <w:proofErr w:type="gramStart"/>
      <w:r>
        <w:rPr>
          <w:sz w:val="22"/>
          <w:szCs w:val="22"/>
        </w:rPr>
        <w:t>1 inch</w:t>
      </w:r>
      <w:proofErr w:type="gramEnd"/>
      <w:r>
        <w:rPr>
          <w:sz w:val="22"/>
          <w:szCs w:val="22"/>
        </w:rPr>
        <w:t xml:space="preserve"> margins, and have proper footnotes in the Chicago/Turabian style.  </w:t>
      </w:r>
    </w:p>
    <w:p w14:paraId="57A0A701" w14:textId="77777777" w:rsidR="00DA7A54" w:rsidRDefault="00DA7A54" w:rsidP="00DA7A54">
      <w:pPr>
        <w:rPr>
          <w:sz w:val="22"/>
          <w:szCs w:val="22"/>
        </w:rPr>
      </w:pPr>
    </w:p>
    <w:p w14:paraId="4933BE4F" w14:textId="77777777" w:rsidR="00DA7A54" w:rsidRDefault="00DA7A54" w:rsidP="00DA7A54">
      <w:pPr>
        <w:rPr>
          <w:sz w:val="22"/>
          <w:szCs w:val="22"/>
        </w:rPr>
      </w:pPr>
      <w:r>
        <w:rPr>
          <w:sz w:val="22"/>
          <w:szCs w:val="22"/>
        </w:rPr>
        <w:t xml:space="preserve">The syllabus has been divided into Three Units (Sex, Conquest, and Colonialism; Sexuality and State Building; </w:t>
      </w:r>
      <w:proofErr w:type="gramStart"/>
      <w:r>
        <w:rPr>
          <w:sz w:val="22"/>
          <w:szCs w:val="22"/>
        </w:rPr>
        <w:t>and,</w:t>
      </w:r>
      <w:proofErr w:type="gramEnd"/>
      <w:r>
        <w:rPr>
          <w:sz w:val="22"/>
          <w:szCs w:val="22"/>
        </w:rPr>
        <w:t xml:space="preserve"> Revolutionary Sexualities?) and you are required to write one paper on two of those three Units.  (</w:t>
      </w:r>
      <w:proofErr w:type="gramStart"/>
      <w:r>
        <w:rPr>
          <w:sz w:val="22"/>
          <w:szCs w:val="22"/>
        </w:rPr>
        <w:t>First and Second Year</w:t>
      </w:r>
      <w:proofErr w:type="gramEnd"/>
      <w:r>
        <w:rPr>
          <w:sz w:val="22"/>
          <w:szCs w:val="22"/>
        </w:rPr>
        <w:t xml:space="preserve"> Students </w:t>
      </w:r>
      <w:proofErr w:type="gramStart"/>
      <w:r>
        <w:rPr>
          <w:b/>
          <w:sz w:val="22"/>
          <w:szCs w:val="22"/>
        </w:rPr>
        <w:t>must</w:t>
      </w:r>
      <w:r>
        <w:rPr>
          <w:sz w:val="22"/>
          <w:szCs w:val="22"/>
        </w:rPr>
        <w:t xml:space="preserve"> to</w:t>
      </w:r>
      <w:proofErr w:type="gramEnd"/>
      <w:r>
        <w:rPr>
          <w:sz w:val="22"/>
          <w:szCs w:val="22"/>
        </w:rPr>
        <w:t xml:space="preserve"> write on Unit One so I have something for midterm grades).</w:t>
      </w:r>
    </w:p>
    <w:p w14:paraId="6118C60C" w14:textId="77777777" w:rsidR="00DA7A54" w:rsidRDefault="00DA7A54" w:rsidP="00DA7A54">
      <w:pPr>
        <w:rPr>
          <w:sz w:val="22"/>
          <w:szCs w:val="22"/>
        </w:rPr>
      </w:pPr>
    </w:p>
    <w:p w14:paraId="0E72A30A" w14:textId="77777777" w:rsidR="00DA7A54" w:rsidRDefault="00DA7A54" w:rsidP="00DA7A54">
      <w:pPr>
        <w:rPr>
          <w:b/>
          <w:sz w:val="22"/>
          <w:szCs w:val="22"/>
        </w:rPr>
      </w:pPr>
      <w:r>
        <w:rPr>
          <w:b/>
          <w:sz w:val="22"/>
          <w:szCs w:val="22"/>
        </w:rPr>
        <w:t>Paper Due dates:</w:t>
      </w:r>
    </w:p>
    <w:p w14:paraId="5EE56097" w14:textId="77777777" w:rsidR="00DA7A54" w:rsidRDefault="00DA7A54" w:rsidP="00DA7A54">
      <w:pPr>
        <w:ind w:left="720"/>
        <w:rPr>
          <w:b/>
          <w:sz w:val="22"/>
          <w:szCs w:val="22"/>
        </w:rPr>
      </w:pPr>
      <w:r>
        <w:rPr>
          <w:b/>
          <w:sz w:val="22"/>
          <w:szCs w:val="22"/>
        </w:rPr>
        <w:t xml:space="preserve">Unit One </w:t>
      </w:r>
      <w:sdt>
        <w:sdtPr>
          <w:tag w:val="goog_rdk_1"/>
          <w:id w:val="-1122378676"/>
        </w:sdtPr>
        <w:sdtContent/>
      </w:sdt>
      <w:r>
        <w:rPr>
          <w:b/>
          <w:sz w:val="22"/>
          <w:szCs w:val="22"/>
        </w:rPr>
        <w:t>– Tuesday, October 6th</w:t>
      </w:r>
    </w:p>
    <w:p w14:paraId="20B77645" w14:textId="77777777" w:rsidR="00DA7A54" w:rsidRDefault="00DA7A54" w:rsidP="00DA7A54">
      <w:pPr>
        <w:ind w:left="720"/>
        <w:rPr>
          <w:b/>
          <w:sz w:val="22"/>
          <w:szCs w:val="22"/>
        </w:rPr>
      </w:pPr>
      <w:r>
        <w:rPr>
          <w:b/>
          <w:sz w:val="22"/>
          <w:szCs w:val="22"/>
        </w:rPr>
        <w:t>Unit Two – Tuesday, October 27th</w:t>
      </w:r>
    </w:p>
    <w:p w14:paraId="394100BF" w14:textId="77777777" w:rsidR="00DA7A54" w:rsidRDefault="00DA7A54" w:rsidP="00DA7A54">
      <w:pPr>
        <w:ind w:left="720"/>
        <w:rPr>
          <w:b/>
          <w:sz w:val="22"/>
          <w:szCs w:val="22"/>
        </w:rPr>
      </w:pPr>
      <w:r>
        <w:rPr>
          <w:b/>
          <w:sz w:val="22"/>
          <w:szCs w:val="22"/>
        </w:rPr>
        <w:t>Unit Three – Tuesday, December 15</w:t>
      </w:r>
      <w:r>
        <w:rPr>
          <w:b/>
          <w:sz w:val="22"/>
          <w:szCs w:val="22"/>
          <w:vertAlign w:val="superscript"/>
        </w:rPr>
        <w:t>th</w:t>
      </w:r>
    </w:p>
    <w:p w14:paraId="0DC66466" w14:textId="77777777" w:rsidR="00DA7A54" w:rsidRDefault="00DA7A54" w:rsidP="00DA7A54">
      <w:pPr>
        <w:rPr>
          <w:b/>
          <w:sz w:val="22"/>
          <w:szCs w:val="22"/>
        </w:rPr>
      </w:pPr>
    </w:p>
    <w:p w14:paraId="0F065BB3" w14:textId="77777777" w:rsidR="00DA7A54" w:rsidRDefault="00DA7A54" w:rsidP="00DA7A54">
      <w:pPr>
        <w:rPr>
          <w:sz w:val="22"/>
          <w:szCs w:val="22"/>
          <w:vertAlign w:val="superscript"/>
        </w:rPr>
      </w:pPr>
      <w:r>
        <w:rPr>
          <w:sz w:val="22"/>
          <w:szCs w:val="22"/>
        </w:rPr>
        <w:t xml:space="preserve">At the end of each </w:t>
      </w:r>
      <w:proofErr w:type="gramStart"/>
      <w:r>
        <w:rPr>
          <w:sz w:val="22"/>
          <w:szCs w:val="22"/>
        </w:rPr>
        <w:t>unit</w:t>
      </w:r>
      <w:proofErr w:type="gramEnd"/>
      <w:r>
        <w:rPr>
          <w:sz w:val="22"/>
          <w:szCs w:val="22"/>
        </w:rPr>
        <w:t xml:space="preserve"> we will focus on a piece of literature or films (feature and documentaries).  </w:t>
      </w:r>
      <w:proofErr w:type="gramStart"/>
      <w:r>
        <w:rPr>
          <w:sz w:val="22"/>
          <w:szCs w:val="22"/>
        </w:rPr>
        <w:t>As a way to</w:t>
      </w:r>
      <w:proofErr w:type="gramEnd"/>
      <w:r>
        <w:rPr>
          <w:sz w:val="22"/>
          <w:szCs w:val="22"/>
        </w:rPr>
        <w:t xml:space="preserve"> conceptualize papers, you may want to build potential arguments around using those sources to </w:t>
      </w:r>
      <w:r>
        <w:rPr>
          <w:sz w:val="22"/>
          <w:szCs w:val="22"/>
        </w:rPr>
        <w:lastRenderedPageBreak/>
        <w:t>engage some of the debates we have uncovered through our discussions of the historical scholarship within the unit.  That is certainly not the only way to conceptualize potential paper topics, but it might be helpful.</w:t>
      </w:r>
    </w:p>
    <w:p w14:paraId="01F88FD0" w14:textId="77777777" w:rsidR="00DA7A54" w:rsidRDefault="00DA7A54" w:rsidP="00DA7A54">
      <w:pPr>
        <w:rPr>
          <w:sz w:val="22"/>
          <w:szCs w:val="22"/>
          <w:u w:val="single"/>
        </w:rPr>
      </w:pPr>
    </w:p>
    <w:p w14:paraId="37B1D15D" w14:textId="77777777" w:rsidR="00DA7A54" w:rsidRDefault="00DA7A54" w:rsidP="00DA7A54">
      <w:pPr>
        <w:rPr>
          <w:sz w:val="22"/>
          <w:szCs w:val="22"/>
        </w:rPr>
      </w:pPr>
      <w:r>
        <w:rPr>
          <w:sz w:val="22"/>
          <w:szCs w:val="22"/>
          <w:u w:val="single"/>
        </w:rPr>
        <w:t xml:space="preserve">Reaction Papers </w:t>
      </w:r>
      <w:r>
        <w:rPr>
          <w:sz w:val="22"/>
          <w:szCs w:val="22"/>
        </w:rPr>
        <w:t xml:space="preserve">– Throughout the semester each student will be required to submit six reactions papers that respond to a particular day’s readings.  We will be asked to write reactions for two days from each of the three units in the class (Sex, Conquest, and Colonialism, Sexuality and State Building, and Revolutionary Sexualities?)  In addition, student will include two questions for consideration </w:t>
      </w:r>
      <w:proofErr w:type="gramStart"/>
      <w:r>
        <w:rPr>
          <w:sz w:val="22"/>
          <w:szCs w:val="22"/>
        </w:rPr>
        <w:t>in order to</w:t>
      </w:r>
      <w:proofErr w:type="gramEnd"/>
      <w:r>
        <w:rPr>
          <w:sz w:val="22"/>
          <w:szCs w:val="22"/>
        </w:rPr>
        <w:t xml:space="preserve"> stimulate discussion.  The purpose of these assignments is to engage the readings prior to class.  Students will be required to submit one reaction paper, on a topic of their choice, during each Unit of the course.  The reaction papers will be at 9am on the day prior to the discussion of the materials you wrote on.  Please send those to me via email so that I can read and comment on your reaction papers prior to class.</w:t>
      </w:r>
    </w:p>
    <w:p w14:paraId="3BB9BC79" w14:textId="77777777" w:rsidR="00DA7A54" w:rsidRDefault="00DA7A54" w:rsidP="00DA7A54">
      <w:pPr>
        <w:rPr>
          <w:sz w:val="22"/>
          <w:szCs w:val="22"/>
        </w:rPr>
      </w:pPr>
    </w:p>
    <w:p w14:paraId="5F8036B6" w14:textId="77777777" w:rsidR="00DA7A54" w:rsidRDefault="00DA7A54" w:rsidP="00DA7A54">
      <w:pPr>
        <w:rPr>
          <w:sz w:val="22"/>
          <w:szCs w:val="22"/>
        </w:rPr>
      </w:pPr>
      <w:r>
        <w:rPr>
          <w:sz w:val="22"/>
          <w:szCs w:val="22"/>
        </w:rPr>
        <w:t xml:space="preserve"> Grading will be credit/half credit/no-credit.  Simply engage the readings and you will receive full credit.  The reaction papers should be 1-2 </w:t>
      </w:r>
      <w:proofErr w:type="spellStart"/>
      <w:r>
        <w:rPr>
          <w:sz w:val="22"/>
          <w:szCs w:val="22"/>
        </w:rPr>
        <w:t>pgs</w:t>
      </w:r>
      <w:proofErr w:type="spellEnd"/>
      <w:r>
        <w:rPr>
          <w:sz w:val="22"/>
          <w:szCs w:val="22"/>
        </w:rPr>
        <w:t xml:space="preserve"> single spaced.  The days that you can submit reaction papers are marked by </w:t>
      </w:r>
      <w:r>
        <w:rPr>
          <w:b/>
          <w:sz w:val="22"/>
          <w:szCs w:val="22"/>
        </w:rPr>
        <w:t>(RXN)</w:t>
      </w:r>
      <w:r>
        <w:rPr>
          <w:sz w:val="22"/>
          <w:szCs w:val="22"/>
        </w:rPr>
        <w:t xml:space="preserve"> on the syllabus.</w:t>
      </w:r>
    </w:p>
    <w:p w14:paraId="54BFCC44" w14:textId="77777777" w:rsidR="00DA7A54" w:rsidRDefault="00DA7A54" w:rsidP="00DA7A54">
      <w:pPr>
        <w:rPr>
          <w:sz w:val="22"/>
          <w:szCs w:val="22"/>
        </w:rPr>
      </w:pPr>
    </w:p>
    <w:p w14:paraId="5D0C38F9" w14:textId="77777777" w:rsidR="00DA7A54" w:rsidRDefault="00DA7A54" w:rsidP="00DA7A54">
      <w:pPr>
        <w:spacing w:after="120"/>
        <w:rPr>
          <w:sz w:val="22"/>
          <w:szCs w:val="22"/>
        </w:rPr>
      </w:pPr>
      <w:r>
        <w:rPr>
          <w:sz w:val="22"/>
          <w:szCs w:val="22"/>
          <w:u w:val="single"/>
        </w:rPr>
        <w:t xml:space="preserve">Final Paper </w:t>
      </w:r>
      <w:r>
        <w:rPr>
          <w:sz w:val="22"/>
          <w:szCs w:val="22"/>
        </w:rPr>
        <w:t xml:space="preserve">– Each student will write an essay on a topic of their choosing related to the topic of Sexuality in Latin America.  The paper, 10 </w:t>
      </w:r>
      <w:proofErr w:type="spellStart"/>
      <w:r>
        <w:rPr>
          <w:sz w:val="22"/>
          <w:szCs w:val="22"/>
        </w:rPr>
        <w:t>pgs</w:t>
      </w:r>
      <w:proofErr w:type="spellEnd"/>
      <w:r>
        <w:rPr>
          <w:sz w:val="22"/>
          <w:szCs w:val="22"/>
        </w:rPr>
        <w:t xml:space="preserve"> minimum, </w:t>
      </w:r>
      <w:proofErr w:type="gramStart"/>
      <w:r>
        <w:rPr>
          <w:sz w:val="22"/>
          <w:szCs w:val="22"/>
        </w:rPr>
        <w:t>will</w:t>
      </w:r>
      <w:proofErr w:type="gramEnd"/>
      <w:r>
        <w:rPr>
          <w:sz w:val="22"/>
          <w:szCs w:val="22"/>
        </w:rPr>
        <w:t xml:space="preserve"> due on the date and time of the scheduled final – Friday, Dec 18</w:t>
      </w:r>
      <w:r>
        <w:rPr>
          <w:sz w:val="22"/>
          <w:szCs w:val="22"/>
          <w:vertAlign w:val="superscript"/>
        </w:rPr>
        <w:t>th</w:t>
      </w:r>
      <w:r>
        <w:rPr>
          <w:sz w:val="22"/>
          <w:szCs w:val="22"/>
        </w:rPr>
        <w:t xml:space="preserve">, </w:t>
      </w:r>
      <w:proofErr w:type="gramStart"/>
      <w:r>
        <w:rPr>
          <w:sz w:val="22"/>
          <w:szCs w:val="22"/>
        </w:rPr>
        <w:t>2009</w:t>
      </w:r>
      <w:proofErr w:type="gramEnd"/>
      <w:r>
        <w:rPr>
          <w:sz w:val="22"/>
          <w:szCs w:val="22"/>
        </w:rPr>
        <w:t xml:space="preserve"> by 4:30pm.  The essay will draw from class readings and additional sources.  The paper must be based on at least 3 sources (a complete monograph counting as two sources) </w:t>
      </w:r>
      <w:r>
        <w:rPr>
          <w:b/>
          <w:sz w:val="22"/>
          <w:szCs w:val="22"/>
        </w:rPr>
        <w:t>not included on the syllabus</w:t>
      </w:r>
      <w:r>
        <w:rPr>
          <w:sz w:val="22"/>
          <w:szCs w:val="22"/>
        </w:rPr>
        <w:t xml:space="preserve"> in addition to any pertinent readings from the semester.  The essays can either be comparative (comparing two regions, times, etc.) or may focus on a single topic, so long as it relates to sex and sexuality in Latin America.</w:t>
      </w:r>
    </w:p>
    <w:p w14:paraId="38F2945B" w14:textId="77777777" w:rsidR="00DA7A54" w:rsidRDefault="00DA7A54" w:rsidP="00DA7A54">
      <w:pPr>
        <w:spacing w:after="120"/>
        <w:rPr>
          <w:sz w:val="22"/>
          <w:szCs w:val="22"/>
        </w:rPr>
      </w:pPr>
      <w:r>
        <w:rPr>
          <w:sz w:val="22"/>
          <w:szCs w:val="22"/>
        </w:rPr>
        <w:t>A proposed topic and preliminary bibliography will be due in class on Dec 1, 2009.</w:t>
      </w:r>
    </w:p>
    <w:p w14:paraId="4D32301D" w14:textId="77777777" w:rsidR="00DA7A54" w:rsidRDefault="00DA7A54" w:rsidP="00DA7A54">
      <w:pPr>
        <w:spacing w:after="120"/>
        <w:rPr>
          <w:sz w:val="22"/>
          <w:szCs w:val="22"/>
          <w:u w:val="single"/>
        </w:rPr>
      </w:pPr>
      <w:r>
        <w:rPr>
          <w:sz w:val="22"/>
          <w:szCs w:val="22"/>
          <w:u w:val="single"/>
        </w:rPr>
        <w:t>Community Engagement Project (CEP)</w:t>
      </w:r>
      <w:r>
        <w:rPr>
          <w:sz w:val="22"/>
          <w:szCs w:val="22"/>
        </w:rPr>
        <w:t xml:space="preserve"> - The CEP is meant to provide you an opportunity, as an individual or small group, to carry our exploration of Latin American sexualities outside the classroom into the context of our social, political, and academic life here at Denison.  Over the course of the semester, as an individual or member of a CEA team, you will select an issue to address, complete research, design and implement your project, and evaluate your team’s effectiveness.  The goal would be to find ways to intersect our discussions of sex and sexuality in Latin America with ongoing issues related to sex and sexuality on campus or in our larger community. </w:t>
      </w:r>
    </w:p>
    <w:p w14:paraId="196CA633" w14:textId="77777777" w:rsidR="00DA7A54" w:rsidRDefault="00DA7A54" w:rsidP="00DA7A54">
      <w:pPr>
        <w:spacing w:after="120"/>
        <w:rPr>
          <w:b/>
          <w:i/>
          <w:sz w:val="22"/>
          <w:szCs w:val="22"/>
        </w:rPr>
      </w:pPr>
      <w:r>
        <w:rPr>
          <w:b/>
          <w:sz w:val="22"/>
          <w:szCs w:val="22"/>
        </w:rPr>
        <w:t>Students must decide by Oct 27</w:t>
      </w:r>
      <w:r>
        <w:rPr>
          <w:b/>
          <w:sz w:val="22"/>
          <w:szCs w:val="22"/>
          <w:vertAlign w:val="superscript"/>
        </w:rPr>
        <w:t>th</w:t>
      </w:r>
      <w:r>
        <w:rPr>
          <w:b/>
          <w:sz w:val="22"/>
          <w:szCs w:val="22"/>
        </w:rPr>
        <w:t xml:space="preserve"> if you plan to submit a final paper or to design and implement a CEP</w:t>
      </w:r>
    </w:p>
    <w:p w14:paraId="7830A7F3" w14:textId="77777777" w:rsidR="00DA7A54" w:rsidRDefault="00DA7A54" w:rsidP="00DA7A54">
      <w:pPr>
        <w:spacing w:after="120"/>
        <w:rPr>
          <w:sz w:val="22"/>
          <w:szCs w:val="22"/>
        </w:rPr>
      </w:pPr>
    </w:p>
    <w:p w14:paraId="7DA802AB" w14:textId="77777777" w:rsidR="00DA7A54" w:rsidRDefault="00DA7A54" w:rsidP="00DA7A54">
      <w:pPr>
        <w:rPr>
          <w:sz w:val="22"/>
          <w:szCs w:val="22"/>
          <w:u w:val="single"/>
        </w:rPr>
      </w:pPr>
      <w:r>
        <w:rPr>
          <w:sz w:val="22"/>
          <w:szCs w:val="22"/>
          <w:u w:val="single"/>
        </w:rPr>
        <w:t>Readings:</w:t>
      </w:r>
    </w:p>
    <w:p w14:paraId="317B61D1" w14:textId="77777777" w:rsidR="00DA7A54" w:rsidRDefault="00DA7A54" w:rsidP="00DA7A54">
      <w:pPr>
        <w:rPr>
          <w:sz w:val="22"/>
          <w:szCs w:val="22"/>
        </w:rPr>
      </w:pPr>
      <w:r>
        <w:rPr>
          <w:sz w:val="22"/>
          <w:szCs w:val="22"/>
        </w:rPr>
        <w:t xml:space="preserve">The following </w:t>
      </w:r>
      <w:r>
        <w:rPr>
          <w:b/>
          <w:i/>
          <w:sz w:val="22"/>
          <w:szCs w:val="22"/>
        </w:rPr>
        <w:t xml:space="preserve">required books </w:t>
      </w:r>
      <w:r>
        <w:rPr>
          <w:sz w:val="22"/>
          <w:szCs w:val="22"/>
        </w:rPr>
        <w:t>are available in the bookstore:</w:t>
      </w:r>
    </w:p>
    <w:p w14:paraId="656466F7" w14:textId="77777777" w:rsidR="00DA7A54" w:rsidRDefault="00DA7A54" w:rsidP="00DA7A54">
      <w:pPr>
        <w:numPr>
          <w:ilvl w:val="0"/>
          <w:numId w:val="1"/>
        </w:numPr>
        <w:pBdr>
          <w:top w:val="nil"/>
          <w:left w:val="nil"/>
          <w:bottom w:val="nil"/>
          <w:right w:val="nil"/>
          <w:between w:val="nil"/>
        </w:pBdr>
        <w:rPr>
          <w:color w:val="000000"/>
          <w:sz w:val="22"/>
          <w:szCs w:val="22"/>
        </w:rPr>
      </w:pPr>
      <w:r>
        <w:rPr>
          <w:color w:val="000000"/>
          <w:sz w:val="22"/>
          <w:szCs w:val="22"/>
        </w:rPr>
        <w:t xml:space="preserve">José de Alencar, </w:t>
      </w:r>
      <w:r>
        <w:rPr>
          <w:i/>
          <w:color w:val="000000"/>
          <w:sz w:val="22"/>
          <w:szCs w:val="22"/>
        </w:rPr>
        <w:t>Senhora: Profile of a Woman</w:t>
      </w:r>
      <w:r>
        <w:rPr>
          <w:color w:val="000000"/>
          <w:sz w:val="22"/>
          <w:szCs w:val="22"/>
        </w:rPr>
        <w:t>, trans. by Catarina Feldman Edinger, (Austin: U of Texas Press, 1994).</w:t>
      </w:r>
    </w:p>
    <w:p w14:paraId="57CEFBFA" w14:textId="77777777" w:rsidR="00DA7A54" w:rsidRDefault="00DA7A54" w:rsidP="00DA7A54">
      <w:pPr>
        <w:numPr>
          <w:ilvl w:val="0"/>
          <w:numId w:val="1"/>
        </w:numPr>
        <w:pBdr>
          <w:top w:val="nil"/>
          <w:left w:val="nil"/>
          <w:bottom w:val="nil"/>
          <w:right w:val="nil"/>
          <w:between w:val="nil"/>
        </w:pBdr>
        <w:rPr>
          <w:color w:val="000000"/>
          <w:sz w:val="22"/>
          <w:szCs w:val="22"/>
        </w:rPr>
      </w:pPr>
      <w:r>
        <w:rPr>
          <w:color w:val="000000"/>
          <w:sz w:val="22"/>
          <w:szCs w:val="22"/>
        </w:rPr>
        <w:t xml:space="preserve">Catalina de </w:t>
      </w:r>
      <w:proofErr w:type="spellStart"/>
      <w:r>
        <w:rPr>
          <w:color w:val="000000"/>
          <w:sz w:val="22"/>
          <w:szCs w:val="22"/>
        </w:rPr>
        <w:t>Erauso</w:t>
      </w:r>
      <w:proofErr w:type="spellEnd"/>
      <w:r>
        <w:rPr>
          <w:color w:val="000000"/>
          <w:sz w:val="22"/>
          <w:szCs w:val="22"/>
        </w:rPr>
        <w:t xml:space="preserve">, </w:t>
      </w:r>
      <w:r>
        <w:rPr>
          <w:i/>
          <w:color w:val="000000"/>
          <w:sz w:val="22"/>
          <w:szCs w:val="22"/>
        </w:rPr>
        <w:t>Lieutenant Nun: Memoir of a Basque Transvestite in the New World</w:t>
      </w:r>
      <w:r>
        <w:rPr>
          <w:color w:val="000000"/>
          <w:sz w:val="22"/>
          <w:szCs w:val="22"/>
        </w:rPr>
        <w:t xml:space="preserve">, trans by Michele Septo and Gabriel Septo, (Boston: Beacon Press, 1996).  </w:t>
      </w:r>
    </w:p>
    <w:p w14:paraId="3AA59564" w14:textId="77777777" w:rsidR="00DA7A54" w:rsidRDefault="00DA7A54" w:rsidP="00DA7A54">
      <w:pPr>
        <w:numPr>
          <w:ilvl w:val="0"/>
          <w:numId w:val="1"/>
        </w:numPr>
        <w:pBdr>
          <w:top w:val="nil"/>
          <w:left w:val="nil"/>
          <w:bottom w:val="nil"/>
          <w:right w:val="nil"/>
          <w:between w:val="nil"/>
        </w:pBdr>
        <w:rPr>
          <w:color w:val="000000"/>
          <w:sz w:val="22"/>
          <w:szCs w:val="22"/>
        </w:rPr>
      </w:pPr>
      <w:r>
        <w:rPr>
          <w:color w:val="000000"/>
          <w:sz w:val="22"/>
          <w:szCs w:val="22"/>
        </w:rPr>
        <w:t xml:space="preserve">William French and Katherine Bliss, eds., </w:t>
      </w:r>
      <w:r>
        <w:rPr>
          <w:i/>
          <w:color w:val="000000"/>
          <w:sz w:val="22"/>
          <w:szCs w:val="22"/>
        </w:rPr>
        <w:t>Gender, Sexuality, and Power in Latin America Since Independence</w:t>
      </w:r>
      <w:r>
        <w:rPr>
          <w:color w:val="000000"/>
          <w:sz w:val="22"/>
          <w:szCs w:val="22"/>
        </w:rPr>
        <w:t>, (Lanham, Md.: Rowman and Littlefield, Inc., 2007)</w:t>
      </w:r>
    </w:p>
    <w:p w14:paraId="7D60E28F" w14:textId="77777777" w:rsidR="00DA7A54" w:rsidRDefault="00DA7A54" w:rsidP="00DA7A54">
      <w:pPr>
        <w:numPr>
          <w:ilvl w:val="0"/>
          <w:numId w:val="1"/>
        </w:numPr>
        <w:pBdr>
          <w:top w:val="nil"/>
          <w:left w:val="nil"/>
          <w:bottom w:val="nil"/>
          <w:right w:val="nil"/>
          <w:between w:val="nil"/>
        </w:pBdr>
        <w:rPr>
          <w:color w:val="000000"/>
          <w:sz w:val="22"/>
          <w:szCs w:val="22"/>
        </w:rPr>
      </w:pPr>
      <w:r>
        <w:rPr>
          <w:color w:val="000000"/>
          <w:sz w:val="22"/>
          <w:szCs w:val="22"/>
        </w:rPr>
        <w:t xml:space="preserve">James Green, </w:t>
      </w:r>
      <w:r>
        <w:rPr>
          <w:i/>
          <w:color w:val="000000"/>
          <w:sz w:val="22"/>
          <w:szCs w:val="22"/>
        </w:rPr>
        <w:t xml:space="preserve">Beyond Carnival: Male Homosexuality in </w:t>
      </w:r>
      <w:proofErr w:type="gramStart"/>
      <w:r>
        <w:rPr>
          <w:i/>
          <w:color w:val="000000"/>
          <w:sz w:val="22"/>
          <w:szCs w:val="22"/>
        </w:rPr>
        <w:t>Twentieth-Century Brazil</w:t>
      </w:r>
      <w:proofErr w:type="gramEnd"/>
      <w:r>
        <w:rPr>
          <w:color w:val="000000"/>
          <w:sz w:val="22"/>
          <w:szCs w:val="22"/>
        </w:rPr>
        <w:t xml:space="preserve"> (Chicago: U of Chicago Press, 1999).</w:t>
      </w:r>
    </w:p>
    <w:p w14:paraId="08E081DC" w14:textId="77777777" w:rsidR="00DA7A54" w:rsidRDefault="00DA7A54" w:rsidP="00DA7A54">
      <w:pPr>
        <w:numPr>
          <w:ilvl w:val="0"/>
          <w:numId w:val="1"/>
        </w:numPr>
        <w:pBdr>
          <w:top w:val="nil"/>
          <w:left w:val="nil"/>
          <w:bottom w:val="nil"/>
          <w:right w:val="nil"/>
          <w:between w:val="nil"/>
        </w:pBdr>
        <w:rPr>
          <w:color w:val="000000"/>
          <w:sz w:val="22"/>
          <w:szCs w:val="22"/>
        </w:rPr>
      </w:pPr>
      <w:r>
        <w:rPr>
          <w:color w:val="000000"/>
          <w:sz w:val="22"/>
          <w:szCs w:val="22"/>
        </w:rPr>
        <w:t xml:space="preserve">Lois M. Smith and Alfred Padula, </w:t>
      </w:r>
      <w:r>
        <w:rPr>
          <w:i/>
          <w:color w:val="000000"/>
          <w:sz w:val="22"/>
          <w:szCs w:val="22"/>
        </w:rPr>
        <w:t>Sex and Revolution: Women in Socialist Cuba</w:t>
      </w:r>
      <w:r>
        <w:rPr>
          <w:color w:val="000000"/>
          <w:sz w:val="22"/>
          <w:szCs w:val="22"/>
        </w:rPr>
        <w:t>.   (New York: Oxford Univ. Press, 1996)</w:t>
      </w:r>
    </w:p>
    <w:p w14:paraId="27E29CC8" w14:textId="77777777" w:rsidR="00DA7A54" w:rsidRDefault="00DA7A54" w:rsidP="00DA7A54">
      <w:pPr>
        <w:rPr>
          <w:sz w:val="22"/>
          <w:szCs w:val="22"/>
        </w:rPr>
      </w:pPr>
    </w:p>
    <w:p w14:paraId="3BA55F8D" w14:textId="77777777" w:rsidR="00DA7A54" w:rsidRDefault="00DA7A54" w:rsidP="00DA7A54">
      <w:pPr>
        <w:rPr>
          <w:sz w:val="22"/>
          <w:szCs w:val="22"/>
        </w:rPr>
      </w:pPr>
      <w:r>
        <w:rPr>
          <w:sz w:val="22"/>
          <w:szCs w:val="22"/>
        </w:rPr>
        <w:lastRenderedPageBreak/>
        <w:t xml:space="preserve">The following are </w:t>
      </w:r>
      <w:r>
        <w:rPr>
          <w:b/>
          <w:i/>
          <w:sz w:val="22"/>
          <w:szCs w:val="22"/>
        </w:rPr>
        <w:t>recommended</w:t>
      </w:r>
      <w:r>
        <w:rPr>
          <w:sz w:val="22"/>
          <w:szCs w:val="22"/>
        </w:rPr>
        <w:t xml:space="preserve"> but are not available in the </w:t>
      </w:r>
      <w:proofErr w:type="gramStart"/>
      <w:r>
        <w:rPr>
          <w:sz w:val="22"/>
          <w:szCs w:val="22"/>
        </w:rPr>
        <w:t>Bookstore</w:t>
      </w:r>
      <w:proofErr w:type="gramEnd"/>
    </w:p>
    <w:p w14:paraId="524F7538" w14:textId="77777777" w:rsidR="00DA7A54" w:rsidRDefault="00DA7A54" w:rsidP="00DA7A54">
      <w:pPr>
        <w:numPr>
          <w:ilvl w:val="0"/>
          <w:numId w:val="1"/>
        </w:numPr>
        <w:pBdr>
          <w:top w:val="nil"/>
          <w:left w:val="nil"/>
          <w:bottom w:val="nil"/>
          <w:right w:val="nil"/>
          <w:between w:val="nil"/>
        </w:pBdr>
        <w:rPr>
          <w:color w:val="000000"/>
          <w:sz w:val="22"/>
          <w:szCs w:val="22"/>
        </w:rPr>
      </w:pPr>
      <w:r>
        <w:rPr>
          <w:color w:val="000000"/>
          <w:sz w:val="22"/>
          <w:szCs w:val="22"/>
        </w:rPr>
        <w:t xml:space="preserve">Asunción </w:t>
      </w:r>
      <w:proofErr w:type="spellStart"/>
      <w:r>
        <w:rPr>
          <w:color w:val="000000"/>
          <w:sz w:val="22"/>
          <w:szCs w:val="22"/>
        </w:rPr>
        <w:t>Lavrin</w:t>
      </w:r>
      <w:proofErr w:type="spellEnd"/>
      <w:r>
        <w:rPr>
          <w:color w:val="000000"/>
          <w:sz w:val="22"/>
          <w:szCs w:val="22"/>
        </w:rPr>
        <w:t xml:space="preserve">, ed., </w:t>
      </w:r>
      <w:r>
        <w:rPr>
          <w:i/>
          <w:color w:val="000000"/>
          <w:sz w:val="22"/>
          <w:szCs w:val="22"/>
        </w:rPr>
        <w:t>Sexuality and Marriage in Colonial Latin America</w:t>
      </w:r>
      <w:r>
        <w:rPr>
          <w:color w:val="000000"/>
          <w:sz w:val="22"/>
          <w:szCs w:val="22"/>
        </w:rPr>
        <w:t>, (Lincoln: U of Nebraska Press, 1989).</w:t>
      </w:r>
    </w:p>
    <w:p w14:paraId="4D50CCBF" w14:textId="77777777" w:rsidR="00DA7A54" w:rsidRDefault="00DA7A54" w:rsidP="00DA7A54">
      <w:pPr>
        <w:numPr>
          <w:ilvl w:val="0"/>
          <w:numId w:val="1"/>
        </w:numPr>
        <w:pBdr>
          <w:top w:val="nil"/>
          <w:left w:val="nil"/>
          <w:bottom w:val="nil"/>
          <w:right w:val="nil"/>
          <w:between w:val="nil"/>
        </w:pBdr>
        <w:rPr>
          <w:color w:val="000000"/>
          <w:sz w:val="22"/>
          <w:szCs w:val="22"/>
        </w:rPr>
      </w:pPr>
      <w:r>
        <w:rPr>
          <w:color w:val="000000"/>
          <w:sz w:val="22"/>
          <w:szCs w:val="22"/>
        </w:rPr>
        <w:t xml:space="preserve">Pete Sigal, ed., </w:t>
      </w:r>
      <w:r>
        <w:rPr>
          <w:i/>
          <w:color w:val="000000"/>
          <w:sz w:val="22"/>
          <w:szCs w:val="22"/>
        </w:rPr>
        <w:t>Infamous Desire: Male Homosexuality in Colonial Latin America</w:t>
      </w:r>
      <w:r>
        <w:rPr>
          <w:color w:val="000000"/>
          <w:sz w:val="22"/>
          <w:szCs w:val="22"/>
        </w:rPr>
        <w:t xml:space="preserve"> (Chicago: University of Chicago Press, 2003).</w:t>
      </w:r>
    </w:p>
    <w:p w14:paraId="2FCB8857" w14:textId="77777777" w:rsidR="00DA7A54" w:rsidRDefault="00DA7A54" w:rsidP="00DA7A54">
      <w:pPr>
        <w:rPr>
          <w:sz w:val="22"/>
          <w:szCs w:val="22"/>
          <w:u w:val="single"/>
        </w:rPr>
      </w:pPr>
    </w:p>
    <w:p w14:paraId="2E3A39FD" w14:textId="77777777" w:rsidR="00DA7A54" w:rsidRDefault="00DA7A54" w:rsidP="00DA7A54">
      <w:pPr>
        <w:rPr>
          <w:sz w:val="22"/>
          <w:szCs w:val="22"/>
        </w:rPr>
      </w:pPr>
      <w:r>
        <w:rPr>
          <w:sz w:val="22"/>
          <w:szCs w:val="22"/>
          <w:u w:val="single"/>
        </w:rPr>
        <w:t>Participation/Contribution</w:t>
      </w:r>
      <w:r>
        <w:rPr>
          <w:sz w:val="22"/>
          <w:szCs w:val="22"/>
        </w:rPr>
        <w:t xml:space="preserve"> – Students are expected to attend class, to have completed the reading, and to be prepared to discuss the major arguments and implications of the work.  Please bring copies of the assigned readings to class.  The instructor reserves the right to give pop quizzes in these discussion sections should they not meet my satisfaction.</w:t>
      </w:r>
    </w:p>
    <w:p w14:paraId="0ACF6439" w14:textId="77777777" w:rsidR="00DA7A54" w:rsidRDefault="00DA7A54" w:rsidP="00DA7A54">
      <w:pPr>
        <w:rPr>
          <w:b/>
          <w:sz w:val="22"/>
          <w:szCs w:val="22"/>
        </w:rPr>
      </w:pPr>
    </w:p>
    <w:p w14:paraId="514492DB" w14:textId="77777777" w:rsidR="00DA7A54" w:rsidRDefault="00DA7A54" w:rsidP="00DA7A54">
      <w:pPr>
        <w:rPr>
          <w:sz w:val="22"/>
          <w:szCs w:val="22"/>
          <w:u w:val="single"/>
        </w:rPr>
      </w:pPr>
    </w:p>
    <w:p w14:paraId="4EC2C595" w14:textId="77777777" w:rsidR="00DA7A54" w:rsidRDefault="00DA7A54" w:rsidP="00DA7A54">
      <w:pPr>
        <w:rPr>
          <w:sz w:val="22"/>
          <w:szCs w:val="22"/>
        </w:rPr>
      </w:pPr>
      <w:r>
        <w:rPr>
          <w:sz w:val="22"/>
          <w:szCs w:val="22"/>
          <w:u w:val="single"/>
        </w:rPr>
        <w:t>Grading</w:t>
      </w:r>
      <w:r>
        <w:rPr>
          <w:sz w:val="22"/>
          <w:szCs w:val="22"/>
        </w:rPr>
        <w:t xml:space="preserve"> –</w:t>
      </w:r>
    </w:p>
    <w:p w14:paraId="2122BFCB" w14:textId="77777777" w:rsidR="00DA7A54" w:rsidRDefault="00DA7A54" w:rsidP="00DA7A54">
      <w:pPr>
        <w:rPr>
          <w:sz w:val="22"/>
          <w:szCs w:val="22"/>
        </w:rPr>
      </w:pPr>
      <w:r>
        <w:rPr>
          <w:sz w:val="22"/>
          <w:szCs w:val="22"/>
        </w:rPr>
        <w:tab/>
        <w:t>Final Paper or CEP</w:t>
      </w:r>
      <w:r>
        <w:rPr>
          <w:sz w:val="22"/>
          <w:szCs w:val="22"/>
        </w:rPr>
        <w:tab/>
      </w:r>
      <w:r>
        <w:rPr>
          <w:sz w:val="22"/>
          <w:szCs w:val="22"/>
        </w:rPr>
        <w:tab/>
        <w:t>30%</w:t>
      </w:r>
    </w:p>
    <w:p w14:paraId="4D24A058" w14:textId="77777777" w:rsidR="00DA7A54" w:rsidRDefault="00DA7A54" w:rsidP="00DA7A54">
      <w:pPr>
        <w:rPr>
          <w:sz w:val="22"/>
          <w:szCs w:val="22"/>
        </w:rPr>
      </w:pPr>
      <w:r>
        <w:rPr>
          <w:sz w:val="22"/>
          <w:szCs w:val="22"/>
        </w:rPr>
        <w:tab/>
        <w:t>Unit Papers</w:t>
      </w:r>
      <w:r>
        <w:rPr>
          <w:sz w:val="22"/>
          <w:szCs w:val="22"/>
        </w:rPr>
        <w:tab/>
      </w:r>
      <w:r>
        <w:rPr>
          <w:sz w:val="22"/>
          <w:szCs w:val="22"/>
        </w:rPr>
        <w:tab/>
      </w:r>
      <w:r>
        <w:rPr>
          <w:sz w:val="22"/>
          <w:szCs w:val="22"/>
        </w:rPr>
        <w:tab/>
        <w:t>20% each (for a total of 40%)</w:t>
      </w:r>
    </w:p>
    <w:p w14:paraId="11282265" w14:textId="77777777" w:rsidR="00DA7A54" w:rsidRDefault="00DA7A54" w:rsidP="00DA7A54">
      <w:pPr>
        <w:rPr>
          <w:sz w:val="22"/>
          <w:szCs w:val="22"/>
        </w:rPr>
      </w:pPr>
      <w:r>
        <w:rPr>
          <w:sz w:val="22"/>
          <w:szCs w:val="22"/>
        </w:rPr>
        <w:tab/>
        <w:t xml:space="preserve">Discussion </w:t>
      </w:r>
      <w:r>
        <w:rPr>
          <w:sz w:val="22"/>
          <w:szCs w:val="22"/>
        </w:rPr>
        <w:tab/>
      </w:r>
      <w:r>
        <w:rPr>
          <w:sz w:val="22"/>
          <w:szCs w:val="22"/>
        </w:rPr>
        <w:tab/>
      </w:r>
      <w:r>
        <w:rPr>
          <w:sz w:val="22"/>
          <w:szCs w:val="22"/>
        </w:rPr>
        <w:tab/>
        <w:t>20%</w:t>
      </w:r>
    </w:p>
    <w:p w14:paraId="4BBC28AD" w14:textId="77777777" w:rsidR="00DA7A54" w:rsidRDefault="00DA7A54" w:rsidP="00DA7A54">
      <w:pPr>
        <w:rPr>
          <w:sz w:val="22"/>
          <w:szCs w:val="22"/>
        </w:rPr>
      </w:pPr>
      <w:r>
        <w:rPr>
          <w:sz w:val="22"/>
          <w:szCs w:val="22"/>
        </w:rPr>
        <w:tab/>
        <w:t>Reaction Papers</w:t>
      </w:r>
      <w:r>
        <w:rPr>
          <w:sz w:val="22"/>
          <w:szCs w:val="22"/>
        </w:rPr>
        <w:tab/>
      </w:r>
      <w:r>
        <w:rPr>
          <w:sz w:val="22"/>
          <w:szCs w:val="22"/>
        </w:rPr>
        <w:tab/>
      </w:r>
      <w:r>
        <w:rPr>
          <w:sz w:val="22"/>
          <w:szCs w:val="22"/>
        </w:rPr>
        <w:tab/>
        <w:t>10%</w:t>
      </w:r>
    </w:p>
    <w:p w14:paraId="0C71403B" w14:textId="77777777" w:rsidR="00DA7A54" w:rsidRDefault="00DA7A54" w:rsidP="00DA7A54">
      <w:pPr>
        <w:rPr>
          <w:sz w:val="22"/>
          <w:szCs w:val="22"/>
        </w:rPr>
      </w:pPr>
    </w:p>
    <w:p w14:paraId="6FB9C091" w14:textId="77777777" w:rsidR="00DA7A54" w:rsidRDefault="00DA7A54" w:rsidP="00DA7A54">
      <w:pPr>
        <w:rPr>
          <w:sz w:val="22"/>
          <w:szCs w:val="22"/>
        </w:rPr>
      </w:pPr>
      <w:r>
        <w:rPr>
          <w:sz w:val="22"/>
          <w:szCs w:val="22"/>
          <w:u w:val="single"/>
        </w:rPr>
        <w:t>Late Papers</w:t>
      </w:r>
      <w:r>
        <w:rPr>
          <w:sz w:val="22"/>
          <w:szCs w:val="22"/>
        </w:rPr>
        <w:t xml:space="preserve"> – Only late papers accompanied by a valid excuse (illness with doctor's note, university sanctioned extra-curricular activity, family emergency, etc.) will be accepted without penalty.  All other late papers will be penalized one full letter grade on the day following the due date (A to B) and one third of a letter grade (B to B-) for each day after that.  Missed assignments will be assigned a score of zero.</w:t>
      </w:r>
    </w:p>
    <w:p w14:paraId="441D702A" w14:textId="77777777" w:rsidR="00DA7A54" w:rsidRDefault="00DA7A54" w:rsidP="00DA7A54">
      <w:pPr>
        <w:rPr>
          <w:sz w:val="22"/>
          <w:szCs w:val="22"/>
        </w:rPr>
      </w:pPr>
    </w:p>
    <w:p w14:paraId="3864CDE8" w14:textId="77777777" w:rsidR="00DA7A54" w:rsidRDefault="00DA7A54" w:rsidP="00DA7A54">
      <w:pPr>
        <w:rPr>
          <w:sz w:val="22"/>
          <w:szCs w:val="22"/>
        </w:rPr>
      </w:pPr>
      <w:r>
        <w:rPr>
          <w:sz w:val="22"/>
          <w:szCs w:val="22"/>
          <w:u w:val="single"/>
        </w:rPr>
        <w:t>Attendance</w:t>
      </w:r>
      <w:r>
        <w:rPr>
          <w:sz w:val="22"/>
          <w:szCs w:val="22"/>
        </w:rPr>
        <w:t xml:space="preserve"> – Attending class is not mandatory but is </w:t>
      </w:r>
      <w:r>
        <w:rPr>
          <w:i/>
          <w:sz w:val="22"/>
          <w:szCs w:val="22"/>
        </w:rPr>
        <w:t>highly recommended</w:t>
      </w:r>
      <w:r>
        <w:rPr>
          <w:sz w:val="22"/>
          <w:szCs w:val="22"/>
        </w:rPr>
        <w:t>.  Regular attendance will improve your grade.  Attendance will affect your participation grade, and absences will adversely impact your participation: how can you participate in discussions if you aren’t here?</w:t>
      </w:r>
    </w:p>
    <w:p w14:paraId="0E3BFE2C" w14:textId="77777777" w:rsidR="00DA7A54" w:rsidRDefault="00DA7A54" w:rsidP="00DA7A54">
      <w:pPr>
        <w:rPr>
          <w:sz w:val="22"/>
          <w:szCs w:val="22"/>
        </w:rPr>
      </w:pPr>
    </w:p>
    <w:p w14:paraId="2E929D00" w14:textId="77777777" w:rsidR="00DA7A54" w:rsidRDefault="00DA7A54" w:rsidP="00DA7A54">
      <w:pPr>
        <w:rPr>
          <w:sz w:val="22"/>
          <w:szCs w:val="22"/>
        </w:rPr>
      </w:pPr>
      <w:r>
        <w:rPr>
          <w:sz w:val="22"/>
          <w:szCs w:val="22"/>
          <w:u w:val="single"/>
        </w:rPr>
        <w:t>During class:</w:t>
      </w:r>
      <w:r>
        <w:rPr>
          <w:sz w:val="22"/>
          <w:szCs w:val="22"/>
        </w:rPr>
        <w:t xml:space="preserve"> Be on time.  Either turn your cell phone off or set it on ―</w:t>
      </w:r>
      <w:proofErr w:type="gramStart"/>
      <w:r>
        <w:rPr>
          <w:sz w:val="22"/>
          <w:szCs w:val="22"/>
        </w:rPr>
        <w:t>silent.</w:t>
      </w:r>
      <w:r>
        <w:rPr>
          <w:rFonts w:ascii="Cambria Math" w:eastAsia="Cambria Math" w:hAnsi="Cambria Math" w:cs="Cambria Math"/>
          <w:sz w:val="22"/>
          <w:szCs w:val="22"/>
        </w:rPr>
        <w:t>‖</w:t>
      </w:r>
      <w:proofErr w:type="gramEnd"/>
      <w:r>
        <w:rPr>
          <w:sz w:val="22"/>
          <w:szCs w:val="22"/>
        </w:rPr>
        <w:t xml:space="preserve"> Do not leave it on vibrate. No texting in class. Laptops are not permitted in class, as they tend to distract not only the </w:t>
      </w:r>
      <w:proofErr w:type="gramStart"/>
      <w:r>
        <w:rPr>
          <w:sz w:val="22"/>
          <w:szCs w:val="22"/>
        </w:rPr>
        <w:t>user</w:t>
      </w:r>
      <w:proofErr w:type="gramEnd"/>
      <w:r>
        <w:rPr>
          <w:sz w:val="22"/>
          <w:szCs w:val="22"/>
        </w:rPr>
        <w:t xml:space="preserve"> but people seated around him or her. Your focus during class should be on the material.</w:t>
      </w:r>
    </w:p>
    <w:p w14:paraId="499DD99F" w14:textId="77777777" w:rsidR="00DA7A54" w:rsidRDefault="00DA7A54" w:rsidP="00DA7A54">
      <w:pPr>
        <w:pBdr>
          <w:top w:val="nil"/>
          <w:left w:val="nil"/>
          <w:bottom w:val="nil"/>
          <w:right w:val="nil"/>
          <w:between w:val="nil"/>
        </w:pBdr>
        <w:rPr>
          <w:color w:val="000000"/>
          <w:sz w:val="22"/>
          <w:szCs w:val="22"/>
        </w:rPr>
      </w:pPr>
      <w:r>
        <w:rPr>
          <w:color w:val="000000"/>
          <w:sz w:val="22"/>
          <w:szCs w:val="22"/>
          <w:u w:val="single"/>
        </w:rPr>
        <w:t>Academic Integrity</w:t>
      </w:r>
      <w:r>
        <w:rPr>
          <w:color w:val="000000"/>
          <w:sz w:val="22"/>
          <w:szCs w:val="22"/>
        </w:rPr>
        <w:t>:</w:t>
      </w:r>
      <w:r>
        <w:rPr>
          <w:b/>
          <w:color w:val="000000"/>
          <w:sz w:val="22"/>
          <w:szCs w:val="22"/>
        </w:rPr>
        <w:t xml:space="preserve"> Please do your own work.  Plagiarism will not be tolerated in any form.  </w:t>
      </w:r>
      <w:r>
        <w:rPr>
          <w:color w:val="000000"/>
          <w:sz w:val="22"/>
          <w:szCs w:val="22"/>
        </w:rPr>
        <w:t xml:space="preserve">The students and faculty of Denison University are committed to academic integrity and will not tolerate any violation of this principle.  Academic honesty, the cornerstone of teaching and learning, lays the foundation for lifelong integrity. </w:t>
      </w:r>
      <w:r>
        <w:rPr>
          <w:noProof/>
        </w:rPr>
        <w:drawing>
          <wp:anchor distT="0" distB="0" distL="114300" distR="114300" simplePos="0" relativeHeight="251659264" behindDoc="0" locked="0" layoutInCell="1" hidden="0" allowOverlap="1" wp14:anchorId="2F478C52" wp14:editId="66DEEC72">
            <wp:simplePos x="0" y="0"/>
            <wp:positionH relativeFrom="column">
              <wp:posOffset>4457700</wp:posOffset>
            </wp:positionH>
            <wp:positionV relativeFrom="paragraph">
              <wp:posOffset>182880</wp:posOffset>
            </wp:positionV>
            <wp:extent cx="1028700" cy="1514475"/>
            <wp:effectExtent l="0" t="0" r="0" b="0"/>
            <wp:wrapSquare wrapText="bothSides" distT="0" distB="0" distL="114300" distR="114300"/>
            <wp:docPr id="387140791" name="image1.jpg" descr="AI_logo_bw"/>
            <wp:cNvGraphicFramePr/>
            <a:graphic xmlns:a="http://schemas.openxmlformats.org/drawingml/2006/main">
              <a:graphicData uri="http://schemas.openxmlformats.org/drawingml/2006/picture">
                <pic:pic xmlns:pic="http://schemas.openxmlformats.org/drawingml/2006/picture">
                  <pic:nvPicPr>
                    <pic:cNvPr id="0" name="image1.jpg" descr="AI_logo_bw"/>
                    <pic:cNvPicPr preferRelativeResize="0"/>
                  </pic:nvPicPr>
                  <pic:blipFill>
                    <a:blip r:embed="rId5"/>
                    <a:srcRect/>
                    <a:stretch>
                      <a:fillRect/>
                    </a:stretch>
                  </pic:blipFill>
                  <pic:spPr>
                    <a:xfrm>
                      <a:off x="0" y="0"/>
                      <a:ext cx="1028700" cy="1514475"/>
                    </a:xfrm>
                    <a:prstGeom prst="rect">
                      <a:avLst/>
                    </a:prstGeom>
                    <a:ln/>
                  </pic:spPr>
                </pic:pic>
              </a:graphicData>
            </a:graphic>
          </wp:anchor>
        </w:drawing>
      </w:r>
    </w:p>
    <w:p w14:paraId="47B293AF" w14:textId="77777777" w:rsidR="00DA7A54" w:rsidRDefault="00DA7A54" w:rsidP="00DA7A54">
      <w:pPr>
        <w:rPr>
          <w:sz w:val="22"/>
          <w:szCs w:val="22"/>
        </w:rPr>
      </w:pPr>
      <w:r>
        <w:rPr>
          <w:sz w:val="22"/>
          <w:szCs w:val="22"/>
        </w:rPr>
        <w:t xml:space="preserve">Academic dishonesty is, in most cases, intellectual theft. It includes, but is not limited to, providing or receiving assistance in a manner not authorized by the instructor in the creation of work to be submitted for evaluation. This standard applies to all work ranging from daily homework assignments to major exams. Students must clearly cite any sources consulted—not only for quoted phrases but also for ideas and information that are not common knowledge. Neither ignorance nor carelessness is an acceptable defense in cases of plagiarism. It is the student’s responsibility to follow the appropriate format for citations. Students should ask the professor for assistance in determining what sorts of materials and assistance are appropriate for assignments and for guidance in citing such materials clearly. </w:t>
      </w:r>
    </w:p>
    <w:p w14:paraId="28D88222" w14:textId="77777777" w:rsidR="00DA7A54" w:rsidRDefault="00DA7A54" w:rsidP="00DA7A54">
      <w:pPr>
        <w:rPr>
          <w:sz w:val="22"/>
          <w:szCs w:val="22"/>
        </w:rPr>
      </w:pPr>
    </w:p>
    <w:p w14:paraId="150518DD" w14:textId="77777777" w:rsidR="00DA7A54" w:rsidRDefault="00DA7A54" w:rsidP="00DA7A54">
      <w:pPr>
        <w:rPr>
          <w:sz w:val="22"/>
          <w:szCs w:val="22"/>
        </w:rPr>
      </w:pPr>
      <w:r>
        <w:rPr>
          <w:sz w:val="22"/>
          <w:szCs w:val="22"/>
        </w:rPr>
        <w:t xml:space="preserve">Proposed and developed by Denison students, passed unanimously by DCGA and Denison’s faculty, the </w:t>
      </w:r>
      <w:r>
        <w:rPr>
          <w:b/>
          <w:sz w:val="22"/>
          <w:szCs w:val="22"/>
        </w:rPr>
        <w:t>Code of Academic Integrity</w:t>
      </w:r>
      <w:r>
        <w:rPr>
          <w:sz w:val="22"/>
          <w:szCs w:val="22"/>
        </w:rPr>
        <w:t xml:space="preserve"> requires that instructors notify the Associate Provost of cases of academic dishonesty, and it requires that cases be heard by the Academic Integrity Board. Further, the code makes students responsible for promoting a culture of integrity on campus and acting in instances in which </w:t>
      </w:r>
      <w:r>
        <w:rPr>
          <w:sz w:val="22"/>
          <w:szCs w:val="22"/>
        </w:rPr>
        <w:lastRenderedPageBreak/>
        <w:t xml:space="preserve">integrity is violated.  The punishment for plagiarism/academic dishonesty in this class will be a grade of zero for the assignment in question and potentially a failing grade for the course in egregious cases.  </w:t>
      </w:r>
    </w:p>
    <w:p w14:paraId="7F9786D6" w14:textId="77777777" w:rsidR="00DA7A54" w:rsidRDefault="00DA7A54" w:rsidP="00DA7A54">
      <w:pPr>
        <w:rPr>
          <w:sz w:val="22"/>
          <w:szCs w:val="22"/>
        </w:rPr>
      </w:pPr>
      <w:r>
        <w:rPr>
          <w:sz w:val="22"/>
          <w:szCs w:val="22"/>
        </w:rPr>
        <w:t xml:space="preserve">  </w:t>
      </w:r>
    </w:p>
    <w:p w14:paraId="731CB48D" w14:textId="77777777" w:rsidR="00DA7A54" w:rsidRDefault="00DA7A54" w:rsidP="00DA7A54">
      <w:pPr>
        <w:rPr>
          <w:sz w:val="22"/>
          <w:szCs w:val="22"/>
        </w:rPr>
      </w:pPr>
      <w:r>
        <w:rPr>
          <w:sz w:val="22"/>
          <w:szCs w:val="22"/>
          <w:u w:val="single"/>
        </w:rPr>
        <w:t>Disability Statement</w:t>
      </w:r>
      <w:r>
        <w:rPr>
          <w:sz w:val="22"/>
          <w:szCs w:val="22"/>
        </w:rPr>
        <w:t xml:space="preserve"> – Any student who feels he or she may need an accommodation based on the impact of a disability should contact me privately as soon as possible to discuss his or her specific needs.  I rely on the Academic Support &amp; Enrichment Center in 104 Doane to verify the need for reasonable accommodations.</w:t>
      </w:r>
    </w:p>
    <w:p w14:paraId="0672C8A8" w14:textId="77777777" w:rsidR="00E244D4" w:rsidRDefault="00E244D4"/>
    <w:sectPr w:rsidR="00E244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27174"/>
    <w:multiLevelType w:val="multilevel"/>
    <w:tmpl w:val="8B3C20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99929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A54"/>
    <w:rsid w:val="003F4ACB"/>
    <w:rsid w:val="00601DBE"/>
    <w:rsid w:val="00C1195F"/>
    <w:rsid w:val="00DA7A54"/>
    <w:rsid w:val="00E244D4"/>
    <w:rsid w:val="00F71841"/>
    <w:rsid w:val="00F93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4EF959"/>
  <w15:chartTrackingRefBased/>
  <w15:docId w15:val="{F57A3E90-AA22-FF4E-8FE8-EC16E867D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A5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A7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A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A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A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A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A54"/>
    <w:rPr>
      <w:rFonts w:eastAsiaTheme="majorEastAsia" w:cstheme="majorBidi"/>
      <w:color w:val="272727" w:themeColor="text1" w:themeTint="D8"/>
    </w:rPr>
  </w:style>
  <w:style w:type="paragraph" w:styleId="Title">
    <w:name w:val="Title"/>
    <w:basedOn w:val="Normal"/>
    <w:next w:val="Normal"/>
    <w:link w:val="TitleChar"/>
    <w:uiPriority w:val="10"/>
    <w:qFormat/>
    <w:rsid w:val="00DA7A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A54"/>
    <w:pPr>
      <w:spacing w:before="160"/>
      <w:jc w:val="center"/>
    </w:pPr>
    <w:rPr>
      <w:i/>
      <w:iCs/>
      <w:color w:val="404040" w:themeColor="text1" w:themeTint="BF"/>
    </w:rPr>
  </w:style>
  <w:style w:type="character" w:customStyle="1" w:styleId="QuoteChar">
    <w:name w:val="Quote Char"/>
    <w:basedOn w:val="DefaultParagraphFont"/>
    <w:link w:val="Quote"/>
    <w:uiPriority w:val="29"/>
    <w:rsid w:val="00DA7A54"/>
    <w:rPr>
      <w:i/>
      <w:iCs/>
      <w:color w:val="404040" w:themeColor="text1" w:themeTint="BF"/>
    </w:rPr>
  </w:style>
  <w:style w:type="paragraph" w:styleId="ListParagraph">
    <w:name w:val="List Paragraph"/>
    <w:basedOn w:val="Normal"/>
    <w:uiPriority w:val="34"/>
    <w:qFormat/>
    <w:rsid w:val="00DA7A54"/>
    <w:pPr>
      <w:ind w:left="720"/>
      <w:contextualSpacing/>
    </w:pPr>
  </w:style>
  <w:style w:type="character" w:styleId="IntenseEmphasis">
    <w:name w:val="Intense Emphasis"/>
    <w:basedOn w:val="DefaultParagraphFont"/>
    <w:uiPriority w:val="21"/>
    <w:qFormat/>
    <w:rsid w:val="00DA7A54"/>
    <w:rPr>
      <w:i/>
      <w:iCs/>
      <w:color w:val="0F4761" w:themeColor="accent1" w:themeShade="BF"/>
    </w:rPr>
  </w:style>
  <w:style w:type="paragraph" w:styleId="IntenseQuote">
    <w:name w:val="Intense Quote"/>
    <w:basedOn w:val="Normal"/>
    <w:next w:val="Normal"/>
    <w:link w:val="IntenseQuoteChar"/>
    <w:uiPriority w:val="30"/>
    <w:qFormat/>
    <w:rsid w:val="00DA7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A54"/>
    <w:rPr>
      <w:i/>
      <w:iCs/>
      <w:color w:val="0F4761" w:themeColor="accent1" w:themeShade="BF"/>
    </w:rPr>
  </w:style>
  <w:style w:type="character" w:styleId="IntenseReference">
    <w:name w:val="Intense Reference"/>
    <w:basedOn w:val="DefaultParagraphFont"/>
    <w:uiPriority w:val="32"/>
    <w:qFormat/>
    <w:rsid w:val="00DA7A54"/>
    <w:rPr>
      <w:b/>
      <w:bCs/>
      <w:smallCaps/>
      <w:color w:val="0F4761" w:themeColor="accent1" w:themeShade="BF"/>
      <w:spacing w:val="5"/>
    </w:rPr>
  </w:style>
  <w:style w:type="character" w:styleId="CommentReference">
    <w:name w:val="annotation reference"/>
    <w:basedOn w:val="DefaultParagraphFont"/>
    <w:semiHidden/>
    <w:rsid w:val="00DA7A54"/>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1710</Words>
  <Characters>8843</Characters>
  <Application>Microsoft Office Word</Application>
  <DocSecurity>0</DocSecurity>
  <Lines>157</Lines>
  <Paragraphs>59</Paragraphs>
  <ScaleCrop>false</ScaleCrop>
  <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Trey Proctor III</dc:creator>
  <cp:keywords/>
  <dc:description/>
  <cp:lastModifiedBy>Trey Proctor III</cp:lastModifiedBy>
  <cp:revision>2</cp:revision>
  <dcterms:created xsi:type="dcterms:W3CDTF">2026-01-20T01:40:00Z</dcterms:created>
  <dcterms:modified xsi:type="dcterms:W3CDTF">2026-01-20T01:40:00Z</dcterms:modified>
</cp:coreProperties>
</file>