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7C92" w14:textId="77777777" w:rsidR="00BD7784" w:rsidRPr="009A7731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center"/>
        <w:rPr>
          <w:rFonts w:ascii="Georgia" w:hAnsi="Georgia"/>
          <w:b/>
          <w:sz w:val="22"/>
          <w:szCs w:val="22"/>
        </w:rPr>
      </w:pPr>
      <w:r w:rsidRPr="009A7731">
        <w:rPr>
          <w:rFonts w:ascii="Georgia" w:hAnsi="Georgia"/>
          <w:b/>
          <w:sz w:val="22"/>
          <w:szCs w:val="22"/>
        </w:rPr>
        <w:t>Weekly Schedule (Subject to Change)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6880"/>
      </w:tblGrid>
      <w:tr w:rsidR="00BD7784" w:rsidRPr="009A7731" w14:paraId="3CD69424" w14:textId="77777777" w:rsidTr="00BD7784">
        <w:tc>
          <w:tcPr>
            <w:tcW w:w="1548" w:type="dxa"/>
          </w:tcPr>
          <w:p w14:paraId="3556A38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1</w:t>
            </w:r>
          </w:p>
        </w:tc>
        <w:tc>
          <w:tcPr>
            <w:tcW w:w="6880" w:type="dxa"/>
          </w:tcPr>
          <w:p w14:paraId="57CBB47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4A21F377" w14:textId="77777777" w:rsidTr="00BD7784">
        <w:tc>
          <w:tcPr>
            <w:tcW w:w="1548" w:type="dxa"/>
          </w:tcPr>
          <w:p w14:paraId="0EFE064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Aug 30</w:t>
            </w:r>
          </w:p>
        </w:tc>
        <w:tc>
          <w:tcPr>
            <w:tcW w:w="6880" w:type="dxa"/>
          </w:tcPr>
          <w:p w14:paraId="42441D3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Intro</w:t>
            </w:r>
          </w:p>
        </w:tc>
      </w:tr>
      <w:tr w:rsidR="00BD7784" w:rsidRPr="009A7731" w14:paraId="2A6C9D64" w14:textId="77777777" w:rsidTr="00BD7784">
        <w:tc>
          <w:tcPr>
            <w:tcW w:w="1548" w:type="dxa"/>
          </w:tcPr>
          <w:p w14:paraId="1385FB5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1</w:t>
            </w:r>
          </w:p>
        </w:tc>
        <w:tc>
          <w:tcPr>
            <w:tcW w:w="6880" w:type="dxa"/>
          </w:tcPr>
          <w:p w14:paraId="1607192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Theoretical Frameworks</w:t>
            </w:r>
          </w:p>
          <w:p w14:paraId="295CFF5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bCs/>
                <w:sz w:val="22"/>
                <w:szCs w:val="22"/>
              </w:rPr>
            </w:pP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Octavio Paz, “The Sons of La Malinche,” from </w:t>
            </w:r>
            <w:r w:rsidRPr="009A7731">
              <w:rPr>
                <w:rFonts w:ascii="Georgia" w:hAnsi="Georgia"/>
                <w:bCs/>
                <w:i/>
                <w:sz w:val="22"/>
                <w:szCs w:val="22"/>
              </w:rPr>
              <w:t>The Labyrinth of Solitude and Other Writings</w:t>
            </w: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 (New York: Grove Press, 1985): 73-89.</w:t>
            </w:r>
          </w:p>
          <w:p w14:paraId="6FBD082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bCs/>
                <w:sz w:val="22"/>
                <w:szCs w:val="22"/>
              </w:rPr>
            </w:pPr>
          </w:p>
          <w:p w14:paraId="41EE553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Susan Kellogg, “</w:t>
            </w:r>
            <w:hyperlink r:id="rId4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The Woman's Room: Some Aspects of Gender Relations in Tenochtitlan in the Late Pre-Hispanic Period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Style w:val="HTMLCite"/>
                <w:rFonts w:ascii="Georgia" w:eastAsiaTheme="majorEastAsia" w:hAnsi="Georgia"/>
                <w:sz w:val="22"/>
                <w:szCs w:val="22"/>
              </w:rPr>
              <w:t>Ethnohistory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42:4 (1995); </w:t>
            </w:r>
            <w:commentRangeStart w:id="0"/>
            <w:r w:rsidRPr="009A7731">
              <w:rPr>
                <w:rFonts w:ascii="Georgia" w:hAnsi="Georgia"/>
                <w:sz w:val="22"/>
                <w:szCs w:val="22"/>
              </w:rPr>
              <w:t>563-576.</w:t>
            </w:r>
            <w:commentRangeEnd w:id="0"/>
            <w:r w:rsidRPr="009A7731">
              <w:rPr>
                <w:rStyle w:val="CommentReference"/>
                <w:rFonts w:ascii="Georgia" w:hAnsi="Georgia"/>
                <w:sz w:val="22"/>
                <w:szCs w:val="22"/>
              </w:rPr>
              <w:commentReference w:id="0"/>
            </w:r>
          </w:p>
          <w:p w14:paraId="6F48473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bCs/>
                <w:sz w:val="22"/>
                <w:szCs w:val="22"/>
              </w:rPr>
            </w:pP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Jeffrey Weeks, “The Social Construction of Sexuality” and Rictor Norton, “Essentialism and Queer History,” in </w:t>
            </w:r>
            <w:r w:rsidRPr="009A7731">
              <w:rPr>
                <w:rFonts w:ascii="Georgia" w:hAnsi="Georgia"/>
                <w:bCs/>
                <w:i/>
                <w:sz w:val="22"/>
                <w:szCs w:val="22"/>
              </w:rPr>
              <w:t>Major Problems in the History of American Sexuality</w:t>
            </w:r>
            <w:r w:rsidRPr="009A7731">
              <w:rPr>
                <w:rFonts w:ascii="Georgia" w:hAnsi="Georgia"/>
                <w:bCs/>
                <w:sz w:val="22"/>
                <w:szCs w:val="22"/>
              </w:rPr>
              <w:t>, 2-24.</w:t>
            </w:r>
          </w:p>
          <w:p w14:paraId="42E01AB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</w:p>
        </w:tc>
      </w:tr>
      <w:tr w:rsidR="00BD7784" w:rsidRPr="009A7731" w14:paraId="0048E78F" w14:textId="77777777" w:rsidTr="00BD7784">
        <w:tc>
          <w:tcPr>
            <w:tcW w:w="1548" w:type="dxa"/>
          </w:tcPr>
          <w:p w14:paraId="23DEDBC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2</w:t>
            </w:r>
          </w:p>
        </w:tc>
        <w:tc>
          <w:tcPr>
            <w:tcW w:w="6880" w:type="dxa"/>
          </w:tcPr>
          <w:p w14:paraId="37A2EC1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Unit One: Sex, Conquest and Colonialism</w:t>
            </w:r>
          </w:p>
        </w:tc>
      </w:tr>
      <w:tr w:rsidR="00BD7784" w:rsidRPr="009A7731" w14:paraId="7FDDC515" w14:textId="77777777" w:rsidTr="00BD7784">
        <w:tc>
          <w:tcPr>
            <w:tcW w:w="1548" w:type="dxa"/>
          </w:tcPr>
          <w:p w14:paraId="07E8165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6</w:t>
            </w:r>
          </w:p>
        </w:tc>
        <w:tc>
          <w:tcPr>
            <w:tcW w:w="6880" w:type="dxa"/>
          </w:tcPr>
          <w:p w14:paraId="6DACF23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Sex and Conquest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1ED46F6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Richard Trexler, “Gender Subordination and Political Hierarchy in Pre-Hispanic America,”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Infamous Desire: Male Homosexuality in Colonial Latin America</w:t>
            </w:r>
            <w:r w:rsidRPr="009A7731">
              <w:rPr>
                <w:rFonts w:ascii="Georgia" w:hAnsi="Georgia"/>
                <w:sz w:val="22"/>
                <w:szCs w:val="22"/>
              </w:rPr>
              <w:t>, Pete Sigal, ed., (Chicago: Univ. of Chicago Press, 2003), 70-101.*</w:t>
            </w:r>
          </w:p>
          <w:p w14:paraId="56C287B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Style w:val="Strong"/>
                <w:rFonts w:ascii="Georgia" w:eastAsiaTheme="majorEastAsia" w:hAnsi="Georgia"/>
                <w:b w:val="0"/>
                <w:sz w:val="22"/>
                <w:szCs w:val="22"/>
              </w:rPr>
              <w:t>Pete Sigal,</w:t>
            </w:r>
            <w:r w:rsidRPr="009A7731">
              <w:rPr>
                <w:rStyle w:val="Strong"/>
                <w:rFonts w:ascii="Georgia" w:eastAsiaTheme="majorEastAsia" w:hAnsi="Georgia"/>
                <w:sz w:val="22"/>
                <w:szCs w:val="22"/>
              </w:rPr>
              <w:t xml:space="preserve"> “</w:t>
            </w:r>
            <w:hyperlink r:id="rId8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Queer Nahuatl: Sahagún's Faggots and Sodomites, Lesbians and Hermaphrodites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Ethnohistory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54:1 (2007); 9-34.</w:t>
            </w:r>
          </w:p>
        </w:tc>
      </w:tr>
    </w:tbl>
    <w:p w14:paraId="79DEA0A6" w14:textId="58115543" w:rsidR="00BD7784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548"/>
        <w:gridCol w:w="6880"/>
      </w:tblGrid>
      <w:tr w:rsidR="00BD7784" w:rsidRPr="009A7731" w14:paraId="5A8BF059" w14:textId="77777777" w:rsidTr="00A37A2F">
        <w:tc>
          <w:tcPr>
            <w:tcW w:w="1548" w:type="dxa"/>
          </w:tcPr>
          <w:p w14:paraId="6CC6016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8</w:t>
            </w:r>
          </w:p>
        </w:tc>
        <w:tc>
          <w:tcPr>
            <w:tcW w:w="6880" w:type="dxa"/>
          </w:tcPr>
          <w:p w14:paraId="0330CB6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Early Colonial Period –Spanish Views of Native Sexualities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01F8C39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Rebecca Overmyer-Velázquez, “</w:t>
            </w:r>
            <w:hyperlink r:id="rId9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Christian Morality Revealed in New Spain: the Inimical Nahua Woman in Book Ten of the Florentine</w:t>
              </w:r>
              <w:r w:rsidRPr="009A7731">
                <w:rPr>
                  <w:rStyle w:val="Hyperlink"/>
                  <w:rFonts w:ascii="Georgia" w:eastAsiaTheme="majorEastAsia" w:hAnsi="Georgia"/>
                  <w:b/>
                  <w:sz w:val="22"/>
                  <w:szCs w:val="22"/>
                </w:rPr>
                <w:t xml:space="preserve"> </w:t>
              </w:r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Codex</w:t>
              </w:r>
            </w:hyperlink>
            <w:r w:rsidRPr="009A7731">
              <w:rPr>
                <w:rStyle w:val="Strong"/>
                <w:rFonts w:ascii="Georgia" w:eastAsiaTheme="majorEastAsia" w:hAnsi="Georgia"/>
                <w:b w:val="0"/>
                <w:sz w:val="22"/>
                <w:szCs w:val="22"/>
              </w:rPr>
              <w:t>,”</w:t>
            </w:r>
            <w:r w:rsidRPr="009A7731">
              <w:rPr>
                <w:rStyle w:val="Strong"/>
                <w:rFonts w:ascii="Georgia" w:eastAsiaTheme="majorEastAsia" w:hAnsi="Georgia"/>
                <w:sz w:val="22"/>
                <w:szCs w:val="22"/>
              </w:rPr>
              <w:t xml:space="preserve">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Journal of Women's History</w:t>
            </w:r>
            <w:r w:rsidRPr="009A7731">
              <w:rPr>
                <w:rFonts w:ascii="Georgia" w:hAnsi="Georgia"/>
                <w:sz w:val="22"/>
                <w:szCs w:val="22"/>
              </w:rPr>
              <w:t>, 10:2 (1998); 9-38.</w:t>
            </w:r>
          </w:p>
          <w:p w14:paraId="3F73DA5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Serge Gruzinski, “Individualization and Acculturation: Confession among the Nahuas of Mexico from the Sixteenth to the Eighteenth Century,” in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Sexuality and Marriage in Colonial Latin America</w:t>
            </w:r>
            <w:r w:rsidRPr="009A7731">
              <w:rPr>
                <w:rFonts w:ascii="Georgia" w:hAnsi="Georgia"/>
                <w:sz w:val="22"/>
                <w:szCs w:val="22"/>
              </w:rPr>
              <w:t>, Asunción Lavrin, ed., (Lincoln: U of Nebraska Press, 1989): 96-117.*</w:t>
            </w:r>
          </w:p>
        </w:tc>
      </w:tr>
      <w:tr w:rsidR="00BD7784" w:rsidRPr="009A7731" w14:paraId="332FA997" w14:textId="77777777" w:rsidTr="00A37A2F">
        <w:tc>
          <w:tcPr>
            <w:tcW w:w="1548" w:type="dxa"/>
          </w:tcPr>
          <w:p w14:paraId="45907A1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Week 3 </w:t>
            </w:r>
          </w:p>
        </w:tc>
        <w:tc>
          <w:tcPr>
            <w:tcW w:w="6880" w:type="dxa"/>
          </w:tcPr>
          <w:p w14:paraId="52A8DCE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31A55C69" w14:textId="77777777" w:rsidTr="00A37A2F">
        <w:tc>
          <w:tcPr>
            <w:tcW w:w="1548" w:type="dxa"/>
          </w:tcPr>
          <w:p w14:paraId="4689E29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13</w:t>
            </w:r>
          </w:p>
        </w:tc>
        <w:tc>
          <w:tcPr>
            <w:tcW w:w="6880" w:type="dxa"/>
          </w:tcPr>
          <w:p w14:paraId="32C79C4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Women and Crime (</w:t>
            </w:r>
            <w:commentRangeStart w:id="1"/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commentRangeEnd w:id="1"/>
            <w:r w:rsidRPr="009A7731">
              <w:rPr>
                <w:rStyle w:val="CommentReference"/>
                <w:rFonts w:ascii="Georgia" w:hAnsi="Georgia"/>
                <w:sz w:val="22"/>
                <w:szCs w:val="22"/>
                <w:u w:val="single"/>
              </w:rPr>
              <w:commentReference w:id="1"/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2EC3BB5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Murriel Nazzari, “An Urgent Need to Conceal: The System of Honor and Shame in Colonial Brazil,”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The Faces of Honor: Sex, Shame, and Violence in Colonial Latin America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, Lyman L. Johnson and Sonya Lipsett-Rivera, eds., (Albuquerque: U of New Mexico Press, 1998): 103-26. </w:t>
            </w:r>
          </w:p>
          <w:p w14:paraId="25F7E1F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lastRenderedPageBreak/>
              <w:t xml:space="preserve">Steven Stern, “An Invitation to Readers” and “Women, Men, and Authority: The Contested Boundaries of Gender Right and Obligation,” in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The Secret History of Gender: Women, Men, &amp; Power in Late Colonial Mexico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(Chapel Hill: U of North Carolina Press, 1995): 3-10, &amp; 70-111.</w:t>
            </w:r>
          </w:p>
        </w:tc>
      </w:tr>
      <w:tr w:rsidR="00BD7784" w:rsidRPr="009A7731" w14:paraId="76E46521" w14:textId="77777777" w:rsidTr="00A37A2F">
        <w:tc>
          <w:tcPr>
            <w:tcW w:w="1548" w:type="dxa"/>
          </w:tcPr>
          <w:p w14:paraId="2FD6F62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lastRenderedPageBreak/>
              <w:t>Sept 15</w:t>
            </w:r>
          </w:p>
        </w:tc>
        <w:tc>
          <w:tcPr>
            <w:tcW w:w="6880" w:type="dxa"/>
          </w:tcPr>
          <w:p w14:paraId="64ADC6A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  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 xml:space="preserve">Women’s Sexual Desire and Sexual </w:t>
            </w:r>
            <w:commentRangeStart w:id="2"/>
            <w:r w:rsidRPr="009A7731">
              <w:rPr>
                <w:rFonts w:ascii="Georgia" w:hAnsi="Georgia"/>
                <w:sz w:val="22"/>
                <w:szCs w:val="22"/>
                <w:u w:val="single"/>
              </w:rPr>
              <w:t xml:space="preserve">Power </w:t>
            </w:r>
            <w:commentRangeEnd w:id="2"/>
            <w:r w:rsidRPr="009A7731">
              <w:rPr>
                <w:rStyle w:val="CommentReference"/>
                <w:rFonts w:ascii="Georgia" w:hAnsi="Georgia"/>
                <w:sz w:val="22"/>
                <w:szCs w:val="22"/>
                <w:u w:val="single"/>
              </w:rPr>
              <w:commentReference w:id="2"/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79AACD0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Ruth Behar, “Sexual Witchcraft, Colonialism, and Women’s Powers: Views from the Mexican Inquisition,” in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Sexuality and Marriage in Colonial Latin America</w:t>
            </w:r>
            <w:r w:rsidRPr="009A7731">
              <w:rPr>
                <w:rFonts w:ascii="Georgia" w:hAnsi="Georgia"/>
                <w:sz w:val="22"/>
                <w:szCs w:val="22"/>
              </w:rPr>
              <w:t>, 178-208.*</w:t>
            </w:r>
          </w:p>
          <w:p w14:paraId="2887A57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Zeb Tortorici, “Masturbation, Salvation, and Desire: Connecting Sexuality and Religiousity in Colonial Mexico,”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Journal of the History of Sexuality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16:3 (2007): 355-72.</w:t>
            </w:r>
          </w:p>
        </w:tc>
      </w:tr>
      <w:tr w:rsidR="00BD7784" w:rsidRPr="009A7731" w14:paraId="2683613B" w14:textId="77777777" w:rsidTr="00A37A2F">
        <w:tc>
          <w:tcPr>
            <w:tcW w:w="1548" w:type="dxa"/>
          </w:tcPr>
          <w:p w14:paraId="3308901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Week 4 </w:t>
            </w:r>
          </w:p>
        </w:tc>
        <w:tc>
          <w:tcPr>
            <w:tcW w:w="6880" w:type="dxa"/>
          </w:tcPr>
          <w:p w14:paraId="6A8C617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BD7784" w:rsidRPr="009A7731" w14:paraId="60E47008" w14:textId="77777777" w:rsidTr="00A37A2F">
        <w:tc>
          <w:tcPr>
            <w:tcW w:w="1548" w:type="dxa"/>
          </w:tcPr>
          <w:p w14:paraId="1935CFD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20</w:t>
            </w:r>
          </w:p>
        </w:tc>
        <w:tc>
          <w:tcPr>
            <w:tcW w:w="6880" w:type="dxa"/>
          </w:tcPr>
          <w:p w14:paraId="4073B99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Colonial Homosexualities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32A4603A" w14:textId="77777777" w:rsidR="00BD7784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Ward Stavig, “Political “Abomination” and Private Reservation: The Nefarious Sin, Homosexuality, and Cultural Values in Colonial Peru,”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 xml:space="preserve">Infamous Desire, </w:t>
            </w:r>
            <w:r w:rsidRPr="009A7731">
              <w:rPr>
                <w:rFonts w:ascii="Georgia" w:hAnsi="Georgia"/>
                <w:sz w:val="22"/>
                <w:szCs w:val="22"/>
              </w:rPr>
              <w:t>70-101. *</w:t>
            </w:r>
          </w:p>
          <w:p w14:paraId="670C60A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Zeb Tortorici, “‘</w:t>
            </w:r>
            <w:r w:rsidRPr="00367CF4">
              <w:rPr>
                <w:rFonts w:ascii="Georgia" w:hAnsi="Georgia"/>
                <w:sz w:val="22"/>
                <w:szCs w:val="22"/>
              </w:rPr>
              <w:t>Heran Todos Putos’: Sodomitical Subcultures and Disordered Desire in Early Colonial Mexico,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Ethnohistory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54:1 (2007): 35-67.</w:t>
            </w:r>
          </w:p>
        </w:tc>
      </w:tr>
      <w:tr w:rsidR="00BD7784" w:rsidRPr="009A7731" w14:paraId="77023C87" w14:textId="77777777" w:rsidTr="00A37A2F">
        <w:tc>
          <w:tcPr>
            <w:tcW w:w="1548" w:type="dxa"/>
          </w:tcPr>
          <w:p w14:paraId="36AAD7C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22</w:t>
            </w:r>
          </w:p>
        </w:tc>
        <w:tc>
          <w:tcPr>
            <w:tcW w:w="6880" w:type="dxa"/>
          </w:tcPr>
          <w:p w14:paraId="53256E5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Catalina de Erauso</w:t>
            </w:r>
          </w:p>
          <w:p w14:paraId="5E08145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Catalina de Erauso,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Lieutenant Nun: Memoir of a Basque Transvestite in the New World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, trans by Michele Septo and Gabriel Septo, (Boston: Beacon Press, 1996).  </w:t>
            </w:r>
            <w:r w:rsidRPr="009A7731">
              <w:rPr>
                <w:rFonts w:ascii="Georgia" w:hAnsi="Georgia"/>
                <w:b/>
                <w:bCs/>
                <w:sz w:val="22"/>
                <w:szCs w:val="22"/>
              </w:rPr>
              <w:t>Entire</w:t>
            </w:r>
          </w:p>
        </w:tc>
      </w:tr>
    </w:tbl>
    <w:p w14:paraId="2BD8F3D7" w14:textId="2C00CAF3" w:rsidR="00BD7784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548"/>
        <w:gridCol w:w="6880"/>
      </w:tblGrid>
      <w:tr w:rsidR="00BD7784" w:rsidRPr="009A7731" w14:paraId="55CB7350" w14:textId="77777777" w:rsidTr="00A37A2F">
        <w:tc>
          <w:tcPr>
            <w:tcW w:w="1548" w:type="dxa"/>
          </w:tcPr>
          <w:p w14:paraId="3D0F4F0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5</w:t>
            </w:r>
          </w:p>
        </w:tc>
        <w:tc>
          <w:tcPr>
            <w:tcW w:w="6880" w:type="dxa"/>
          </w:tcPr>
          <w:p w14:paraId="0F589EA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Unit Two: Sexuality and State Building</w:t>
            </w:r>
          </w:p>
        </w:tc>
      </w:tr>
      <w:tr w:rsidR="00BD7784" w:rsidRPr="009A7731" w14:paraId="0DD67E4E" w14:textId="77777777" w:rsidTr="00A37A2F">
        <w:tc>
          <w:tcPr>
            <w:tcW w:w="1548" w:type="dxa"/>
          </w:tcPr>
          <w:p w14:paraId="7913AD8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27</w:t>
            </w:r>
          </w:p>
        </w:tc>
        <w:tc>
          <w:tcPr>
            <w:tcW w:w="6880" w:type="dxa"/>
          </w:tcPr>
          <w:p w14:paraId="02F63D9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Late 19</w:t>
            </w:r>
            <w:r w:rsidRPr="009A7731">
              <w:rPr>
                <w:rFonts w:ascii="Georgia" w:hAnsi="Georgia"/>
                <w:sz w:val="22"/>
                <w:szCs w:val="22"/>
                <w:u w:val="single"/>
                <w:vertAlign w:val="superscript"/>
              </w:rPr>
              <w:t>th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-century State Building (lecture)</w:t>
            </w:r>
          </w:p>
          <w:p w14:paraId="3BA48578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William French, “</w:t>
            </w:r>
            <w:hyperlink r:id="rId10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Prostitutes and Guardian Angels: Women, Work, and the Family in Porfirian Mexico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Hispanic American Historical Review</w:t>
            </w:r>
            <w:r w:rsidRPr="009A7731">
              <w:rPr>
                <w:rFonts w:ascii="Georgia" w:hAnsi="Georgia"/>
                <w:sz w:val="22"/>
                <w:szCs w:val="22"/>
              </w:rPr>
              <w:t>, 72:4 (1992); 529-553.</w:t>
            </w:r>
          </w:p>
          <w:p w14:paraId="31A1235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Paper #1 Due</w:t>
            </w:r>
          </w:p>
        </w:tc>
      </w:tr>
      <w:tr w:rsidR="00BD7784" w:rsidRPr="009A7731" w14:paraId="7BC46F07" w14:textId="77777777" w:rsidTr="00A37A2F">
        <w:tc>
          <w:tcPr>
            <w:tcW w:w="1548" w:type="dxa"/>
          </w:tcPr>
          <w:p w14:paraId="78B82FC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Sept 29</w:t>
            </w:r>
          </w:p>
        </w:tc>
        <w:tc>
          <w:tcPr>
            <w:tcW w:w="6880" w:type="dxa"/>
          </w:tcPr>
          <w:p w14:paraId="4D0ED7E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Homosexuality and the State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4D7D087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Christian Berco, “</w:t>
            </w:r>
            <w:hyperlink r:id="rId11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Silencing the Unmentionable: Non-reproductive Sex and the Creation of a Civilized Argentina, 1860-1900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The Americas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58:3 (2002): 419-44.</w:t>
            </w:r>
          </w:p>
          <w:p w14:paraId="50B99CE2" w14:textId="77777777" w:rsidR="00BD7784" w:rsidRPr="00367CF4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James Green,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Beyond Carnival: Male Homosexuality in Twentieth-Century Brazil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(Chicago: U of Chicago Press, 1999), 1-106.</w:t>
            </w:r>
          </w:p>
        </w:tc>
      </w:tr>
      <w:tr w:rsidR="00BD7784" w:rsidRPr="009A7731" w14:paraId="42D8D551" w14:textId="77777777" w:rsidTr="00A37A2F">
        <w:tc>
          <w:tcPr>
            <w:tcW w:w="1548" w:type="dxa"/>
          </w:tcPr>
          <w:p w14:paraId="39E4531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6</w:t>
            </w:r>
          </w:p>
        </w:tc>
        <w:tc>
          <w:tcPr>
            <w:tcW w:w="6880" w:type="dxa"/>
          </w:tcPr>
          <w:p w14:paraId="075429E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Georgia" w:hAnsi="Georgia"/>
                <w:b/>
                <w:sz w:val="22"/>
                <w:szCs w:val="22"/>
              </w:rPr>
            </w:pPr>
          </w:p>
        </w:tc>
      </w:tr>
      <w:tr w:rsidR="00BD7784" w:rsidRPr="009A7731" w14:paraId="7C5ED111" w14:textId="77777777" w:rsidTr="00A37A2F">
        <w:tc>
          <w:tcPr>
            <w:tcW w:w="1548" w:type="dxa"/>
          </w:tcPr>
          <w:p w14:paraId="137C601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lastRenderedPageBreak/>
              <w:t>Oct 4</w:t>
            </w:r>
          </w:p>
        </w:tc>
        <w:tc>
          <w:tcPr>
            <w:tcW w:w="6880" w:type="dxa"/>
          </w:tcPr>
          <w:p w14:paraId="257E254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Sex, Crime, and the State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7368B1A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Pablo Piccato, “‘</w:t>
            </w:r>
            <w:hyperlink r:id="rId12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El Chalequero’ or the Mexican Jack the Ripper: The Meanings of Sexual Violence in Turn-of-the-Century Mexico City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Hispanic American Historical Review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81:3-4 (2001): 623-51.</w:t>
            </w:r>
          </w:p>
          <w:p w14:paraId="1273B7C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Kristin Ruggiero, “</w:t>
            </w:r>
            <w:hyperlink r:id="rId13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Honor, Maternity, and the Disciplining of Women: Infanticide in Late Nineteenth-Century Buenos Aires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Style w:val="HTMLCite"/>
                <w:rFonts w:ascii="Georgia" w:eastAsiaTheme="majorEastAsia" w:hAnsi="Georgia"/>
                <w:sz w:val="22"/>
                <w:szCs w:val="22"/>
              </w:rPr>
              <w:t>The Hispanic American Historical Review</w:t>
            </w:r>
            <w:r w:rsidRPr="009A7731">
              <w:rPr>
                <w:rFonts w:ascii="Georgia" w:hAnsi="Georgia"/>
                <w:sz w:val="22"/>
                <w:szCs w:val="22"/>
              </w:rPr>
              <w:t>, 72:3 (1992); 353-73.</w:t>
            </w:r>
          </w:p>
        </w:tc>
      </w:tr>
      <w:tr w:rsidR="00BD7784" w:rsidRPr="009A7731" w14:paraId="2950D8E0" w14:textId="77777777" w:rsidTr="00A37A2F">
        <w:tc>
          <w:tcPr>
            <w:tcW w:w="1548" w:type="dxa"/>
          </w:tcPr>
          <w:p w14:paraId="5C876FB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6</w:t>
            </w:r>
          </w:p>
        </w:tc>
        <w:tc>
          <w:tcPr>
            <w:tcW w:w="6880" w:type="dxa"/>
          </w:tcPr>
          <w:p w14:paraId="52D58098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Gender, Homosexuality, and “Modern” Science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63B31B2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Green,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Beyond Carnival</w:t>
            </w:r>
            <w:r w:rsidRPr="009A7731">
              <w:rPr>
                <w:rFonts w:ascii="Georgia" w:hAnsi="Georgia"/>
                <w:iCs/>
                <w:sz w:val="22"/>
                <w:szCs w:val="22"/>
              </w:rPr>
              <w:t>, 107-46.</w:t>
            </w:r>
          </w:p>
          <w:p w14:paraId="6924F85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Alejandra Bronfman, “Mismeasured Women: Gender and Social Science on the Eve of Female Suffrage in Cuba,” in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Gender, Sexuality, and Power</w:t>
            </w:r>
            <w:r w:rsidRPr="009A7731">
              <w:rPr>
                <w:rFonts w:ascii="Georgia" w:hAnsi="Georgia"/>
                <w:iCs/>
                <w:sz w:val="22"/>
                <w:szCs w:val="22"/>
              </w:rPr>
              <w:t>, 71-86.</w:t>
            </w:r>
          </w:p>
          <w:p w14:paraId="4A57E74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Pablo Ben, “Plebian Masculinity and Sexual Comedy in Buenos Aires, 1880-1930”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Journal of the History of Sexuality</w:t>
            </w: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 16:3 (2007): 436-458.</w:t>
            </w:r>
          </w:p>
        </w:tc>
      </w:tr>
      <w:tr w:rsidR="00BD7784" w:rsidRPr="009A7731" w14:paraId="18912683" w14:textId="77777777" w:rsidTr="00A37A2F">
        <w:tc>
          <w:tcPr>
            <w:tcW w:w="1548" w:type="dxa"/>
          </w:tcPr>
          <w:p w14:paraId="1D9CDEC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7</w:t>
            </w:r>
          </w:p>
        </w:tc>
        <w:tc>
          <w:tcPr>
            <w:tcW w:w="6880" w:type="dxa"/>
          </w:tcPr>
          <w:p w14:paraId="261BEE49" w14:textId="77777777" w:rsidR="00BD7784" w:rsidRPr="009A7731" w:rsidRDefault="00BD7784" w:rsidP="00BD7784">
            <w:pPr>
              <w:pStyle w:val="Heading1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0A8C9F82" w14:textId="77777777" w:rsidTr="00A37A2F">
        <w:tc>
          <w:tcPr>
            <w:tcW w:w="1548" w:type="dxa"/>
          </w:tcPr>
          <w:p w14:paraId="137F27B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11</w:t>
            </w:r>
          </w:p>
        </w:tc>
        <w:tc>
          <w:tcPr>
            <w:tcW w:w="6880" w:type="dxa"/>
          </w:tcPr>
          <w:p w14:paraId="10234CD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Senhora</w:t>
            </w:r>
          </w:p>
          <w:p w14:paraId="3547477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José de Alencar,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Senhora: Profile of a Woman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, trans. by Catarina Feldman Edinger, (Austin: U of Texas Press, 1994). 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Entire (Focus on pgs 3-98</w:t>
            </w:r>
            <w:r w:rsidRPr="009A7731">
              <w:rPr>
                <w:rFonts w:ascii="Georgia" w:hAnsi="Georgia"/>
                <w:sz w:val="22"/>
                <w:szCs w:val="22"/>
              </w:rPr>
              <w:t>).</w:t>
            </w:r>
          </w:p>
        </w:tc>
      </w:tr>
      <w:tr w:rsidR="00BD7784" w:rsidRPr="009A7731" w14:paraId="7296CE7B" w14:textId="77777777" w:rsidTr="00A37A2F">
        <w:tc>
          <w:tcPr>
            <w:tcW w:w="1548" w:type="dxa"/>
          </w:tcPr>
          <w:p w14:paraId="4FCFEF7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6880" w:type="dxa"/>
          </w:tcPr>
          <w:p w14:paraId="77221BF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Unit 3: Revolutionary Sexualities?</w:t>
            </w:r>
          </w:p>
        </w:tc>
      </w:tr>
      <w:tr w:rsidR="00BD7784" w:rsidRPr="009A7731" w14:paraId="7DAC710C" w14:textId="77777777" w:rsidTr="00A37A2F">
        <w:tc>
          <w:tcPr>
            <w:tcW w:w="1548" w:type="dxa"/>
          </w:tcPr>
          <w:p w14:paraId="1E7C2E1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13</w:t>
            </w:r>
          </w:p>
        </w:tc>
        <w:tc>
          <w:tcPr>
            <w:tcW w:w="6880" w:type="dxa"/>
          </w:tcPr>
          <w:p w14:paraId="1D01B18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20</w:t>
            </w:r>
            <w:r w:rsidRPr="009A7731">
              <w:rPr>
                <w:rFonts w:ascii="Georgia" w:hAnsi="Georgia"/>
                <w:sz w:val="22"/>
                <w:szCs w:val="22"/>
                <w:u w:val="single"/>
                <w:vertAlign w:val="superscript"/>
              </w:rPr>
              <w:t>th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 xml:space="preserve"> century Revs (lecture)</w:t>
            </w:r>
          </w:p>
          <w:p w14:paraId="65045B36" w14:textId="77777777" w:rsidR="00BD7784" w:rsidRPr="009A7731" w:rsidRDefault="00BD7784" w:rsidP="00BD7784">
            <w:pPr>
              <w:pStyle w:val="PlainTex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Sandra McGee Deutsch, "</w:t>
            </w:r>
            <w:hyperlink r:id="rId14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Gender and Sociopolitical Change in 20th Century Latin America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,"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Hispanic American Historical Review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71:2 (1991): 259-306.</w:t>
            </w:r>
          </w:p>
          <w:p w14:paraId="732C1848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Paper #2 Due</w:t>
            </w:r>
          </w:p>
        </w:tc>
      </w:tr>
    </w:tbl>
    <w:p w14:paraId="5B79D2F7" w14:textId="35769D6D" w:rsidR="00BD7784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548"/>
        <w:gridCol w:w="6880"/>
      </w:tblGrid>
      <w:tr w:rsidR="00BD7784" w:rsidRPr="009A7731" w14:paraId="2F41D376" w14:textId="77777777" w:rsidTr="00A37A2F">
        <w:tc>
          <w:tcPr>
            <w:tcW w:w="1548" w:type="dxa"/>
          </w:tcPr>
          <w:p w14:paraId="6B9F467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8</w:t>
            </w:r>
          </w:p>
        </w:tc>
        <w:tc>
          <w:tcPr>
            <w:tcW w:w="6880" w:type="dxa"/>
          </w:tcPr>
          <w:p w14:paraId="585E286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</w:p>
        </w:tc>
      </w:tr>
      <w:tr w:rsidR="00BD7784" w:rsidRPr="009A7731" w14:paraId="5C927C9F" w14:textId="77777777" w:rsidTr="00A37A2F">
        <w:tc>
          <w:tcPr>
            <w:tcW w:w="1548" w:type="dxa"/>
          </w:tcPr>
          <w:p w14:paraId="0B5A24F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18</w:t>
            </w:r>
          </w:p>
        </w:tc>
        <w:tc>
          <w:tcPr>
            <w:tcW w:w="6880" w:type="dxa"/>
          </w:tcPr>
          <w:p w14:paraId="1C49F6EC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Fall Break</w:t>
            </w:r>
          </w:p>
        </w:tc>
      </w:tr>
      <w:tr w:rsidR="00BD7784" w:rsidRPr="009A7731" w14:paraId="0F0C202C" w14:textId="77777777" w:rsidTr="00A37A2F">
        <w:tc>
          <w:tcPr>
            <w:tcW w:w="1548" w:type="dxa"/>
          </w:tcPr>
          <w:p w14:paraId="7AC3C52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20</w:t>
            </w:r>
          </w:p>
        </w:tc>
        <w:tc>
          <w:tcPr>
            <w:tcW w:w="6880" w:type="dxa"/>
          </w:tcPr>
          <w:p w14:paraId="436EC6B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Mexican Revolution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0BC9ABF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Katherine Bliss, “</w:t>
            </w:r>
            <w:hyperlink r:id="rId15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The Science of Redemption: Syphilis, Sexual Promiscuity, and Reformism in Revolutionary Mexico City,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HAHR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79:1 (Feb. 1999): 1-40.</w:t>
            </w:r>
          </w:p>
          <w:p w14:paraId="52D66AD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lastRenderedPageBreak/>
              <w:t xml:space="preserve"> </w:t>
            </w:r>
            <w:r w:rsidRPr="009A7731">
              <w:rPr>
                <w:rFonts w:ascii="Georgia" w:hAnsi="Georgia"/>
                <w:sz w:val="22"/>
                <w:szCs w:val="22"/>
              </w:rPr>
              <w:t>Robert Buffington, “</w:t>
            </w:r>
            <w:hyperlink r:id="rId16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La ‘Dancing” Mexicana: Danzón and the Transformation of Intimacy in Post-Revolutionary Mexico City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Journal of Latin American Cultural Studies</w:t>
            </w:r>
            <w:r w:rsidRPr="009A7731">
              <w:rPr>
                <w:rFonts w:ascii="Georgia" w:hAnsi="Georgia"/>
                <w:sz w:val="22"/>
                <w:szCs w:val="22"/>
              </w:rPr>
              <w:t>, 14:1 (2005); 87-108.</w:t>
            </w:r>
          </w:p>
          <w:p w14:paraId="06CD5A4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Katherine Bliss and Ann S. Blum, “Dangerous Driving: Adolescence, Sex, and the Gendered Experience of Public Space in Early-Twentieth-Century Mexico City,”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Gender, Sexuality, and Power</w:t>
            </w:r>
            <w:r w:rsidRPr="009A7731">
              <w:rPr>
                <w:rFonts w:ascii="Georgia" w:hAnsi="Georgia"/>
                <w:sz w:val="22"/>
                <w:szCs w:val="22"/>
              </w:rPr>
              <w:t>, 163-86.</w:t>
            </w:r>
          </w:p>
        </w:tc>
      </w:tr>
      <w:tr w:rsidR="00BD7784" w:rsidRPr="009A7731" w14:paraId="1C28AB25" w14:textId="77777777" w:rsidTr="00A37A2F">
        <w:tc>
          <w:tcPr>
            <w:tcW w:w="1548" w:type="dxa"/>
          </w:tcPr>
          <w:p w14:paraId="5F3AE01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lastRenderedPageBreak/>
              <w:t>Week 9</w:t>
            </w:r>
          </w:p>
        </w:tc>
        <w:tc>
          <w:tcPr>
            <w:tcW w:w="6880" w:type="dxa"/>
          </w:tcPr>
          <w:p w14:paraId="70B2F33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Georgia" w:hAnsi="Georgia"/>
                <w:b/>
                <w:sz w:val="22"/>
                <w:szCs w:val="22"/>
              </w:rPr>
            </w:pPr>
          </w:p>
        </w:tc>
      </w:tr>
      <w:tr w:rsidR="00BD7784" w:rsidRPr="009A7731" w14:paraId="05F1B43B" w14:textId="77777777" w:rsidTr="00A37A2F">
        <w:tc>
          <w:tcPr>
            <w:tcW w:w="1548" w:type="dxa"/>
          </w:tcPr>
          <w:p w14:paraId="5F3A6628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25</w:t>
            </w:r>
          </w:p>
        </w:tc>
        <w:tc>
          <w:tcPr>
            <w:tcW w:w="6880" w:type="dxa"/>
          </w:tcPr>
          <w:p w14:paraId="5E6E03D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Women and the Cuban and Nicaraguan Revolutions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3D95495C" w14:textId="77777777" w:rsidR="00BD7784" w:rsidRPr="009A7731" w:rsidRDefault="00BD7784" w:rsidP="00BD7784">
            <w:pPr>
              <w:pStyle w:val="Heading1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Lois M. Smith and Alfred Padula, </w:t>
            </w:r>
            <w:r w:rsidRPr="009A7731">
              <w:rPr>
                <w:rStyle w:val="Strong"/>
                <w:rFonts w:ascii="Georgia" w:hAnsi="Georgia"/>
                <w:i/>
                <w:sz w:val="22"/>
                <w:szCs w:val="22"/>
              </w:rPr>
              <w:t>Sex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 xml:space="preserve"> and Revolution: Women in Socialist Cuba</w:t>
            </w:r>
            <w:r w:rsidRPr="009A7731">
              <w:rPr>
                <w:rFonts w:ascii="Georgia" w:hAnsi="Georgia"/>
                <w:sz w:val="22"/>
                <w:szCs w:val="22"/>
              </w:rPr>
              <w:t>.</w:t>
            </w:r>
            <w:r w:rsidRPr="009A7731">
              <w:rPr>
                <w:rStyle w:val="HTMLTypewriter"/>
                <w:rFonts w:ascii="Georgia" w:eastAsiaTheme="majorEastAsia" w:hAnsi="Georgia" w:cs="Times New Roman"/>
                <w:sz w:val="22"/>
                <w:szCs w:val="22"/>
              </w:rPr>
              <w:t>  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(New York: Oxford Univ. Press, 1996) pgs. TBA</w:t>
            </w:r>
          </w:p>
          <w:p w14:paraId="232C1F7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Maxine Molyneux, “Mobilization Without Emancipation? Women’s Interests, the State, and Revolution in Nicaragua”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Feminist Studies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11 (1985): 227-254</w:t>
            </w:r>
          </w:p>
          <w:p w14:paraId="6EC1132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  <w:p w14:paraId="00083B47" w14:textId="77777777" w:rsidR="00BD7784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Decision Date: CEP or Final Research Paper</w:t>
            </w:r>
          </w:p>
          <w:p w14:paraId="56D6B52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b/>
                <w:sz w:val="22"/>
                <w:szCs w:val="22"/>
              </w:rPr>
            </w:pPr>
          </w:p>
        </w:tc>
      </w:tr>
      <w:tr w:rsidR="00BD7784" w:rsidRPr="009A7731" w14:paraId="0EFB4A93" w14:textId="77777777" w:rsidTr="00A37A2F">
        <w:tc>
          <w:tcPr>
            <w:tcW w:w="1548" w:type="dxa"/>
          </w:tcPr>
          <w:p w14:paraId="249BE89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Oct 27</w:t>
            </w:r>
          </w:p>
        </w:tc>
        <w:tc>
          <w:tcPr>
            <w:tcW w:w="6880" w:type="dxa"/>
          </w:tcPr>
          <w:p w14:paraId="0C37BD2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Cuban Revolution and Homosexuality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5161680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Cs/>
                <w:sz w:val="22"/>
                <w:szCs w:val="22"/>
              </w:rPr>
            </w:pP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Ian Lumseden, “Institutionalized Homophobia,” in </w:t>
            </w:r>
            <w:r w:rsidRPr="009A7731">
              <w:rPr>
                <w:rFonts w:ascii="Georgia" w:hAnsi="Georgia"/>
                <w:bCs/>
                <w:i/>
                <w:sz w:val="22"/>
                <w:szCs w:val="22"/>
              </w:rPr>
              <w:t>Machos, Maricones, and Gays: Cuba and Homosexuality</w:t>
            </w: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 (Philadelphia: Temple University Press, 1996), 55-81. </w:t>
            </w:r>
          </w:p>
          <w:p w14:paraId="20DF9D1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Marvin Leiner, “AIDS: Cuba’s Efforts to Contain,” in </w:t>
            </w:r>
            <w:r w:rsidRPr="009A7731">
              <w:rPr>
                <w:rFonts w:ascii="Georgia" w:hAnsi="Georgia"/>
                <w:bCs/>
                <w:i/>
                <w:sz w:val="22"/>
                <w:szCs w:val="22"/>
              </w:rPr>
              <w:t>Sexual Politics in Cuba: Machismo, Homosexuality, and AIDS</w:t>
            </w:r>
            <w:r w:rsidRPr="009A7731">
              <w:rPr>
                <w:rFonts w:ascii="Georgia" w:hAnsi="Georgia"/>
                <w:bCs/>
                <w:sz w:val="22"/>
                <w:szCs w:val="22"/>
              </w:rPr>
              <w:t xml:space="preserve"> (Boulder: Westview Press, 1994): 117-58.</w:t>
            </w:r>
            <w:r w:rsidRPr="009A7731">
              <w:rPr>
                <w:rFonts w:ascii="Georgia" w:hAnsi="Georgia"/>
                <w:sz w:val="22"/>
                <w:szCs w:val="22"/>
              </w:rPr>
              <w:t>*</w:t>
            </w:r>
          </w:p>
          <w:p w14:paraId="3D9B6EE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In Class Handouts</w:t>
            </w:r>
          </w:p>
        </w:tc>
      </w:tr>
      <w:tr w:rsidR="00BD7784" w:rsidRPr="009A7731" w14:paraId="4D3635F1" w14:textId="77777777" w:rsidTr="00A37A2F">
        <w:tc>
          <w:tcPr>
            <w:tcW w:w="1548" w:type="dxa"/>
          </w:tcPr>
          <w:p w14:paraId="5968A00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10</w:t>
            </w:r>
          </w:p>
        </w:tc>
        <w:tc>
          <w:tcPr>
            <w:tcW w:w="6880" w:type="dxa"/>
          </w:tcPr>
          <w:p w14:paraId="1DCFEFF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35A9F970" w14:textId="77777777" w:rsidTr="00A37A2F">
        <w:tc>
          <w:tcPr>
            <w:tcW w:w="1548" w:type="dxa"/>
          </w:tcPr>
          <w:p w14:paraId="33C03C8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1</w:t>
            </w:r>
          </w:p>
        </w:tc>
        <w:tc>
          <w:tcPr>
            <w:tcW w:w="6880" w:type="dxa"/>
          </w:tcPr>
          <w:p w14:paraId="70DE3EE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Women and Authoritarianism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191F676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color w:val="000000"/>
                <w:sz w:val="22"/>
                <w:szCs w:val="22"/>
              </w:rPr>
              <w:t xml:space="preserve">Ximena Bunster, “Surviving Beyond Fear: Women and Torture in Latin America,” in </w:t>
            </w:r>
            <w:r w:rsidRPr="009A7731">
              <w:rPr>
                <w:rFonts w:ascii="Georgia" w:hAnsi="Georgia"/>
                <w:i/>
                <w:color w:val="000000"/>
                <w:sz w:val="22"/>
                <w:szCs w:val="22"/>
              </w:rPr>
              <w:t>Violence and Women</w:t>
            </w:r>
            <w:r w:rsidRPr="009A7731">
              <w:rPr>
                <w:rFonts w:ascii="Georgia" w:hAnsi="Georgia"/>
                <w:color w:val="000000"/>
                <w:sz w:val="22"/>
                <w:szCs w:val="22"/>
              </w:rPr>
              <w:t xml:space="preserve">, Miranda Davis, comp. </w:t>
            </w:r>
            <w:r w:rsidRPr="009A7731">
              <w:rPr>
                <w:rStyle w:val="Strong"/>
                <w:rFonts w:ascii="Georgia" w:eastAsiaTheme="majorEastAsia" w:hAnsi="Georgia"/>
                <w:b w:val="0"/>
                <w:sz w:val="22"/>
                <w:szCs w:val="22"/>
              </w:rPr>
              <w:t>(Altantic Heights, NJ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: Zed Books, 1994), 156-76. </w:t>
            </w:r>
          </w:p>
          <w:p w14:paraId="64CDB0B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Joanne Hershfield, “</w:t>
            </w:r>
            <w:hyperlink r:id="rId17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More than Pawns: Right Wing Women in Chile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Journal of Women’s History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16:3 (2004); 138-51.</w:t>
            </w:r>
          </w:p>
          <w:p w14:paraId="4200D9A2" w14:textId="77777777" w:rsidR="00BD7784" w:rsidRPr="009A7731" w:rsidRDefault="00BD7784" w:rsidP="00BD7784">
            <w:pPr>
              <w:pStyle w:val="Heading1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Marysa Navarro, “The Personal is Political: las </w:t>
            </w:r>
            <w:r w:rsidRPr="009A7731">
              <w:rPr>
                <w:rStyle w:val="Strong"/>
                <w:rFonts w:ascii="Georgia" w:hAnsi="Georgia"/>
                <w:sz w:val="22"/>
                <w:szCs w:val="22"/>
              </w:rPr>
              <w:t>Madres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9A7731">
              <w:rPr>
                <w:rStyle w:val="Strong"/>
                <w:rFonts w:ascii="Georgia" w:hAnsi="Georgia"/>
                <w:sz w:val="22"/>
                <w:szCs w:val="22"/>
              </w:rPr>
              <w:t>de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9A7731">
              <w:rPr>
                <w:rStyle w:val="Strong"/>
                <w:rFonts w:ascii="Georgia" w:hAnsi="Georgia"/>
                <w:sz w:val="22"/>
                <w:szCs w:val="22"/>
              </w:rPr>
              <w:t>Plaza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9A7731">
              <w:rPr>
                <w:rStyle w:val="Strong"/>
                <w:rFonts w:ascii="Georgia" w:hAnsi="Georgia"/>
                <w:sz w:val="22"/>
                <w:szCs w:val="22"/>
              </w:rPr>
              <w:t>de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9A7731">
              <w:rPr>
                <w:rStyle w:val="Strong"/>
                <w:rFonts w:ascii="Georgia" w:hAnsi="Georgia"/>
                <w:sz w:val="22"/>
                <w:szCs w:val="22"/>
              </w:rPr>
              <w:t>Mayo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Power and Popular Protest: Latin American Social Movements</w:t>
            </w:r>
            <w:r w:rsidRPr="009A7731">
              <w:rPr>
                <w:rFonts w:ascii="Georgia" w:hAnsi="Georgia"/>
                <w:sz w:val="22"/>
                <w:szCs w:val="22"/>
              </w:rPr>
              <w:t>, Susan Eckstein, ed., (Berkeley: Univ. of California Press, 1989), 241-58.</w:t>
            </w:r>
          </w:p>
        </w:tc>
      </w:tr>
      <w:tr w:rsidR="00BD7784" w:rsidRPr="009A7731" w14:paraId="3C0E5E41" w14:textId="77777777" w:rsidTr="00A37A2F">
        <w:tc>
          <w:tcPr>
            <w:tcW w:w="1548" w:type="dxa"/>
          </w:tcPr>
          <w:p w14:paraId="54D3128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3</w:t>
            </w:r>
          </w:p>
        </w:tc>
        <w:tc>
          <w:tcPr>
            <w:tcW w:w="6880" w:type="dxa"/>
          </w:tcPr>
          <w:p w14:paraId="4079D06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Nicaraguan Revolution and Sexuality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1C3BFA3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367CF4">
              <w:rPr>
                <w:rFonts w:ascii="Georgia" w:hAnsi="Georgia"/>
                <w:sz w:val="22"/>
                <w:szCs w:val="22"/>
              </w:rPr>
              <w:lastRenderedPageBreak/>
              <w:t>David Kunzle, “</w:t>
            </w:r>
            <w:hyperlink r:id="rId18" w:history="1">
              <w:r w:rsidRPr="00367CF4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 xml:space="preserve">Róger Sánchez’s “Humor Erótico” and the </w:t>
              </w:r>
              <w:r w:rsidRPr="00367CF4">
                <w:rPr>
                  <w:rStyle w:val="Hyperlink"/>
                  <w:rFonts w:ascii="Georgia" w:eastAsiaTheme="majorEastAsia" w:hAnsi="Georgia"/>
                  <w:i/>
                  <w:sz w:val="22"/>
                  <w:szCs w:val="22"/>
                </w:rPr>
                <w:t>Semana Cómica</w:t>
              </w:r>
              <w:r w:rsidRPr="00367CF4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: A Sexual Revolution in Sandinista Nicaragua?</w:t>
              </w:r>
            </w:hyperlink>
            <w:r w:rsidRPr="00367CF4">
              <w:rPr>
                <w:rFonts w:ascii="Georgia" w:hAnsi="Georgia"/>
                <w:sz w:val="22"/>
                <w:szCs w:val="22"/>
              </w:rPr>
              <w:t xml:space="preserve">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Latin American Perspectives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25:4 (1998): 89-120.</w:t>
            </w:r>
          </w:p>
          <w:p w14:paraId="43FA2BA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Rodger Lancaster, “‘That We Should All Turn Queer?’ Homosexual Stigma in the Making of Manhood and the Breaking of a Revolution in Nicaragua." Richard Parker and John Gagnon, eds. </w:t>
            </w:r>
            <w:r w:rsidRPr="009A7731">
              <w:rPr>
                <w:rStyle w:val="style3"/>
                <w:rFonts w:ascii="Georgia" w:hAnsi="Georgia"/>
                <w:i/>
                <w:sz w:val="22"/>
                <w:szCs w:val="22"/>
              </w:rPr>
              <w:t>Conceiving Sexuality: Approaches to Sex Research in a Postmodern World</w:t>
            </w:r>
            <w:r w:rsidRPr="009A7731">
              <w:rPr>
                <w:rFonts w:ascii="Georgia" w:hAnsi="Georgia"/>
                <w:sz w:val="22"/>
                <w:szCs w:val="22"/>
              </w:rPr>
              <w:t>. (New York: Routledge, 1995), 135-157.</w:t>
            </w:r>
          </w:p>
          <w:p w14:paraId="6F69773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Lois Wessel, “Reproductive Rights in Nicarauga”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Feminist Studies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17:3 (1991): 536-549.</w:t>
            </w:r>
          </w:p>
        </w:tc>
      </w:tr>
      <w:tr w:rsidR="00BD7784" w:rsidRPr="009A7731" w14:paraId="778BBDC2" w14:textId="77777777" w:rsidTr="00A37A2F">
        <w:tc>
          <w:tcPr>
            <w:tcW w:w="1548" w:type="dxa"/>
          </w:tcPr>
          <w:p w14:paraId="0E42BA2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lastRenderedPageBreak/>
              <w:t>Week 11</w:t>
            </w:r>
          </w:p>
        </w:tc>
        <w:tc>
          <w:tcPr>
            <w:tcW w:w="6880" w:type="dxa"/>
          </w:tcPr>
          <w:p w14:paraId="30EC628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052ECB4F" w14:textId="77777777" w:rsidTr="00A37A2F">
        <w:tc>
          <w:tcPr>
            <w:tcW w:w="1548" w:type="dxa"/>
          </w:tcPr>
          <w:p w14:paraId="46FBC5F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8</w:t>
            </w:r>
          </w:p>
        </w:tc>
        <w:tc>
          <w:tcPr>
            <w:tcW w:w="6880" w:type="dxa"/>
          </w:tcPr>
          <w:p w14:paraId="43E5A22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Sexuality and Popular Culture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5B8B098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Green,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Beyond Carnival</w:t>
            </w:r>
            <w:r w:rsidRPr="009A7731">
              <w:rPr>
                <w:rFonts w:ascii="Georgia" w:hAnsi="Georgia"/>
                <w:sz w:val="22"/>
                <w:szCs w:val="22"/>
              </w:rPr>
              <w:t>, 147-242.</w:t>
            </w:r>
          </w:p>
          <w:p w14:paraId="7FF8C1C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Eduardo Archetti, “Masculinity, Primitivism, and Power: Gaucho, Tango, and the Shaping of Argentine National Identity,”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Gender, Sexuality, and Power</w:t>
            </w:r>
            <w:r w:rsidRPr="009A7731">
              <w:rPr>
                <w:rFonts w:ascii="Georgia" w:hAnsi="Georgia"/>
                <w:sz w:val="22"/>
                <w:szCs w:val="22"/>
              </w:rPr>
              <w:t>, 212-29.</w:t>
            </w:r>
          </w:p>
        </w:tc>
      </w:tr>
      <w:tr w:rsidR="00BD7784" w:rsidRPr="009A7731" w14:paraId="38D4110C" w14:textId="77777777" w:rsidTr="00A37A2F">
        <w:tc>
          <w:tcPr>
            <w:tcW w:w="1548" w:type="dxa"/>
          </w:tcPr>
          <w:p w14:paraId="6F3A4B4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10</w:t>
            </w:r>
          </w:p>
        </w:tc>
        <w:tc>
          <w:tcPr>
            <w:tcW w:w="6880" w:type="dxa"/>
          </w:tcPr>
          <w:p w14:paraId="2A66916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Redemocratization, Gender, and Gay Liberation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3BE4CF2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Green,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 xml:space="preserve">Beyond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Carnival</w:t>
            </w:r>
            <w:r w:rsidRPr="009A7731">
              <w:rPr>
                <w:rFonts w:ascii="Georgia" w:hAnsi="Georgia"/>
                <w:sz w:val="22"/>
                <w:szCs w:val="22"/>
              </w:rPr>
              <w:t>, 242-79.</w:t>
            </w:r>
          </w:p>
          <w:p w14:paraId="53EB9728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Millie Thayer, “</w:t>
            </w:r>
            <w:hyperlink r:id="rId19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>Identity, Revolution, and Democracy: Lesbian Movements in Central America,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Social Problems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44:3 (Aug </w:t>
            </w:r>
            <w:commentRangeStart w:id="3"/>
            <w:r w:rsidRPr="009A7731">
              <w:rPr>
                <w:rFonts w:ascii="Georgia" w:hAnsi="Georgia"/>
                <w:sz w:val="22"/>
                <w:szCs w:val="22"/>
              </w:rPr>
              <w:t>1997</w:t>
            </w:r>
            <w:commentRangeEnd w:id="3"/>
            <w:r w:rsidRPr="009A7731">
              <w:rPr>
                <w:rStyle w:val="CommentReference"/>
                <w:rFonts w:ascii="Georgia" w:hAnsi="Georgia"/>
                <w:sz w:val="22"/>
                <w:szCs w:val="22"/>
              </w:rPr>
              <w:commentReference w:id="3"/>
            </w:r>
            <w:r w:rsidRPr="009A7731">
              <w:rPr>
                <w:rFonts w:ascii="Georgia" w:hAnsi="Georgia"/>
                <w:sz w:val="22"/>
                <w:szCs w:val="22"/>
              </w:rPr>
              <w:t>): 386-407.</w:t>
            </w:r>
          </w:p>
          <w:p w14:paraId="1012B5C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iCs/>
                <w:spacing w:val="-3"/>
                <w:sz w:val="22"/>
                <w:szCs w:val="22"/>
              </w:rPr>
              <w:t>“How Pink is the´Pink Tide´? Feminist and LBGT Activists Challenge the Left,”</w:t>
            </w:r>
            <w:r w:rsidRPr="009A7731">
              <w:rPr>
                <w:rFonts w:ascii="Georgia" w:hAnsi="Georgia"/>
                <w:i/>
                <w:iCs/>
                <w:spacing w:val="-3"/>
                <w:sz w:val="22"/>
                <w:szCs w:val="22"/>
              </w:rPr>
              <w:t xml:space="preserve">Nacla Report on the Americas </w:t>
            </w:r>
            <w:r w:rsidRPr="009A7731">
              <w:rPr>
                <w:rFonts w:ascii="Georgia" w:hAnsi="Georgia"/>
                <w:iCs/>
                <w:spacing w:val="-3"/>
                <w:sz w:val="22"/>
                <w:szCs w:val="22"/>
              </w:rPr>
              <w:t>40:2 (March-April 2007), 16-44.</w:t>
            </w:r>
          </w:p>
        </w:tc>
      </w:tr>
      <w:tr w:rsidR="00BD7784" w:rsidRPr="009A7731" w14:paraId="1D3EE411" w14:textId="77777777" w:rsidTr="00A37A2F">
        <w:tc>
          <w:tcPr>
            <w:tcW w:w="1548" w:type="dxa"/>
          </w:tcPr>
          <w:p w14:paraId="3A9EC1F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12</w:t>
            </w:r>
          </w:p>
        </w:tc>
        <w:tc>
          <w:tcPr>
            <w:tcW w:w="6880" w:type="dxa"/>
          </w:tcPr>
          <w:p w14:paraId="7783FAF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8B198A" w14:paraId="278F3CA1" w14:textId="77777777" w:rsidTr="00A37A2F">
        <w:tc>
          <w:tcPr>
            <w:tcW w:w="1548" w:type="dxa"/>
          </w:tcPr>
          <w:p w14:paraId="10C0250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15</w:t>
            </w:r>
          </w:p>
        </w:tc>
        <w:tc>
          <w:tcPr>
            <w:tcW w:w="6880" w:type="dxa"/>
          </w:tcPr>
          <w:p w14:paraId="3659A156" w14:textId="77777777" w:rsidR="00BD7784" w:rsidRPr="00163B5B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  <w:lang w:val="es-MX"/>
              </w:rPr>
            </w:pPr>
            <w:r w:rsidRPr="00367CF4">
              <w:rPr>
                <w:rFonts w:ascii="Georgia" w:hAnsi="Georgia"/>
                <w:b/>
                <w:sz w:val="22"/>
                <w:szCs w:val="22"/>
                <w:lang w:val="es-ES_tradnl"/>
              </w:rPr>
              <w:t xml:space="preserve">Film: </w:t>
            </w:r>
            <w:r w:rsidRPr="009A7731">
              <w:rPr>
                <w:rFonts w:ascii="Georgia" w:hAnsi="Georgia"/>
                <w:b/>
                <w:sz w:val="22"/>
                <w:szCs w:val="22"/>
                <w:lang w:val="es-MX"/>
              </w:rPr>
              <w:t>Y Tu Mama También</w:t>
            </w:r>
          </w:p>
        </w:tc>
      </w:tr>
      <w:tr w:rsidR="00BD7784" w:rsidRPr="009A7731" w14:paraId="29AB498D" w14:textId="77777777" w:rsidTr="00A37A2F">
        <w:tc>
          <w:tcPr>
            <w:tcW w:w="1548" w:type="dxa"/>
          </w:tcPr>
          <w:p w14:paraId="3D15C4E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17</w:t>
            </w:r>
          </w:p>
        </w:tc>
        <w:tc>
          <w:tcPr>
            <w:tcW w:w="6880" w:type="dxa"/>
          </w:tcPr>
          <w:p w14:paraId="072FB8A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Modern Mexican Sexualities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4CCB6CE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Ernesto R. Acevedo-Muñoz, “</w:t>
            </w:r>
            <w:hyperlink r:id="rId20" w:history="1">
              <w:r w:rsidRPr="009A7731">
                <w:rPr>
                  <w:rStyle w:val="Hyperlink"/>
                  <w:rFonts w:ascii="Georgia" w:eastAsiaTheme="majorEastAsia" w:hAnsi="Georgia"/>
                  <w:sz w:val="22"/>
                  <w:szCs w:val="22"/>
                </w:rPr>
                <w:t xml:space="preserve">Sex, Class, and Mexico in Alfonso Cuarón’s </w:t>
              </w:r>
              <w:r w:rsidRPr="009A7731">
                <w:rPr>
                  <w:rStyle w:val="Hyperlink"/>
                  <w:rFonts w:ascii="Georgia" w:eastAsiaTheme="majorEastAsia" w:hAnsi="Georgia"/>
                  <w:i/>
                  <w:sz w:val="22"/>
                  <w:szCs w:val="22"/>
                </w:rPr>
                <w:t>Y tu mama también</w:t>
              </w:r>
            </w:hyperlink>
            <w:r w:rsidRPr="009A7731">
              <w:rPr>
                <w:rFonts w:ascii="Georgia" w:hAnsi="Georgia"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Film and History</w:t>
            </w:r>
            <w:r w:rsidRPr="009A7731">
              <w:rPr>
                <w:rFonts w:ascii="Georgia" w:hAnsi="Georgia"/>
                <w:sz w:val="22"/>
                <w:szCs w:val="22"/>
              </w:rPr>
              <w:t>, 34:1 (2004), 39-48</w:t>
            </w:r>
          </w:p>
          <w:p w14:paraId="331DC76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Héctor Carrillo, “Neither Machos nor Maricones: Masculinity and Emerging Male Homosexual Identities in Mexico,” in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Changing Men and Masculinities in Latin America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, Mathew Guttman, ed., (Durham: Duke Univ Press, 2003), 351-69. </w:t>
            </w:r>
          </w:p>
          <w:p w14:paraId="1877094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Gabriela Soto Lavega, “ ‘Let’s Become Fewer: Soap Operas, the Pill, and Population Campains, 1976-1986,”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Sexuality Research and Social Policy Journal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4:3 (2007): 19-33</w:t>
            </w:r>
          </w:p>
        </w:tc>
      </w:tr>
      <w:tr w:rsidR="00BD7784" w:rsidRPr="009A7731" w14:paraId="08625119" w14:textId="77777777" w:rsidTr="00A37A2F">
        <w:tc>
          <w:tcPr>
            <w:tcW w:w="1548" w:type="dxa"/>
          </w:tcPr>
          <w:p w14:paraId="2B31638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6880" w:type="dxa"/>
          </w:tcPr>
          <w:p w14:paraId="20C388C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Thanksgiving Break Nov. 23-27</w:t>
            </w:r>
          </w:p>
        </w:tc>
      </w:tr>
    </w:tbl>
    <w:p w14:paraId="3ECDDEA9" w14:textId="22822D93" w:rsidR="00BD7784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548"/>
        <w:gridCol w:w="6880"/>
      </w:tblGrid>
      <w:tr w:rsidR="00BD7784" w:rsidRPr="009A7731" w14:paraId="36238F09" w14:textId="77777777" w:rsidTr="00A37A2F">
        <w:tc>
          <w:tcPr>
            <w:tcW w:w="1548" w:type="dxa"/>
          </w:tcPr>
          <w:p w14:paraId="7AE3C42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13</w:t>
            </w:r>
          </w:p>
        </w:tc>
        <w:tc>
          <w:tcPr>
            <w:tcW w:w="6880" w:type="dxa"/>
          </w:tcPr>
          <w:p w14:paraId="0EE9B07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4FE782C4" w14:textId="77777777" w:rsidTr="00A37A2F">
        <w:tc>
          <w:tcPr>
            <w:tcW w:w="1548" w:type="dxa"/>
          </w:tcPr>
          <w:p w14:paraId="0D3322E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Nov 29</w:t>
            </w:r>
          </w:p>
        </w:tc>
        <w:tc>
          <w:tcPr>
            <w:tcW w:w="6880" w:type="dxa"/>
          </w:tcPr>
          <w:p w14:paraId="7DCE3767" w14:textId="77777777" w:rsidR="00BD7784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 xml:space="preserve">Film: </w:t>
            </w:r>
            <w:r w:rsidRPr="009A7731">
              <w:rPr>
                <w:rFonts w:ascii="Georgia" w:hAnsi="Georgia"/>
                <w:b/>
                <w:i/>
                <w:sz w:val="22"/>
                <w:szCs w:val="22"/>
              </w:rPr>
              <w:t>Señorita Extraviada</w:t>
            </w:r>
          </w:p>
          <w:p w14:paraId="6B305B8F" w14:textId="77777777" w:rsidR="00BD7784" w:rsidRPr="007230FF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>
              <w:rPr>
                <w:rFonts w:ascii="Georgia" w:hAnsi="Georgia"/>
                <w:b/>
                <w:sz w:val="22"/>
                <w:szCs w:val="22"/>
              </w:rPr>
              <w:t>Course Evaluations – Fellows 201 @11am</w:t>
            </w:r>
          </w:p>
          <w:p w14:paraId="3935616E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Paper Topic and Bibliography Due</w:t>
            </w:r>
          </w:p>
        </w:tc>
      </w:tr>
      <w:tr w:rsidR="00BD7784" w:rsidRPr="009A7731" w14:paraId="612B9D7D" w14:textId="77777777" w:rsidTr="00A37A2F">
        <w:tc>
          <w:tcPr>
            <w:tcW w:w="1548" w:type="dxa"/>
          </w:tcPr>
          <w:p w14:paraId="7F906FD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Dec 1</w:t>
            </w:r>
          </w:p>
        </w:tc>
        <w:tc>
          <w:tcPr>
            <w:tcW w:w="6880" w:type="dxa"/>
          </w:tcPr>
          <w:p w14:paraId="631EA43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Ciudad Juarez: Sex and Murder (</w:t>
            </w: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RXN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)</w:t>
            </w:r>
          </w:p>
          <w:p w14:paraId="298F364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Mariana Katzarova, “Letter from Juarez,”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 xml:space="preserve">The </w:t>
            </w:r>
            <w:r w:rsidRPr="009A7731">
              <w:rPr>
                <w:rStyle w:val="Strong"/>
                <w:rFonts w:ascii="Georgia" w:eastAsiaTheme="majorEastAsia" w:hAnsi="Georgia"/>
                <w:b w:val="0"/>
                <w:i/>
                <w:sz w:val="22"/>
                <w:szCs w:val="22"/>
              </w:rPr>
              <w:t>Nation</w:t>
            </w:r>
            <w:r w:rsidRPr="009A7731">
              <w:rPr>
                <w:rStyle w:val="medium-font"/>
                <w:rFonts w:ascii="Georgia" w:hAnsi="Georgia"/>
                <w:sz w:val="22"/>
                <w:szCs w:val="22"/>
              </w:rPr>
              <w:t xml:space="preserve"> 278:12 (March 29, 2004): 8.</w:t>
            </w:r>
          </w:p>
          <w:p w14:paraId="762279F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Alma Guillermoprieto, “A Hundred Women. Why Has a Decade Long String of Murders Gone Unsolved?”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The New Yorker</w:t>
            </w:r>
            <w:r w:rsidRPr="009A7731">
              <w:rPr>
                <w:rFonts w:ascii="Georgia" w:hAnsi="Georgia"/>
                <w:iCs/>
                <w:sz w:val="22"/>
                <w:szCs w:val="22"/>
              </w:rPr>
              <w:t>,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Sept. 29, 2003, 83-93. </w:t>
            </w:r>
          </w:p>
          <w:p w14:paraId="23ADE4B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iCs/>
                <w:sz w:val="22"/>
                <w:szCs w:val="22"/>
              </w:rPr>
              <w:t>Jessica Livingston, “</w:t>
            </w:r>
            <w:hyperlink r:id="rId21" w:history="1">
              <w:r w:rsidRPr="009A7731">
                <w:rPr>
                  <w:rStyle w:val="Hyperlink"/>
                  <w:rFonts w:ascii="Georgia" w:eastAsiaTheme="majorEastAsia" w:hAnsi="Georgia"/>
                  <w:iCs/>
                  <w:sz w:val="22"/>
                  <w:szCs w:val="22"/>
                </w:rPr>
                <w:t>Murder in Juárez: Gender, Sexual Violence, and the Global Assembly Line</w:t>
              </w:r>
            </w:hyperlink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,” </w:t>
            </w:r>
            <w:r w:rsidRPr="009A7731">
              <w:rPr>
                <w:rFonts w:ascii="Georgia" w:hAnsi="Georgia"/>
                <w:i/>
                <w:iCs/>
                <w:sz w:val="22"/>
                <w:szCs w:val="22"/>
              </w:rPr>
              <w:t>Frontiers: A Journal of Womens Studies</w:t>
            </w:r>
            <w:r w:rsidRPr="009A7731">
              <w:rPr>
                <w:rFonts w:ascii="Georgia" w:hAnsi="Georgia"/>
                <w:iCs/>
                <w:sz w:val="22"/>
                <w:szCs w:val="22"/>
              </w:rPr>
              <w:t xml:space="preserve"> 25:1 (2004); 59-76.</w:t>
            </w:r>
          </w:p>
        </w:tc>
      </w:tr>
      <w:tr w:rsidR="00BD7784" w:rsidRPr="009A7731" w14:paraId="438DDD65" w14:textId="77777777" w:rsidTr="00A37A2F">
        <w:tc>
          <w:tcPr>
            <w:tcW w:w="1548" w:type="dxa"/>
          </w:tcPr>
          <w:p w14:paraId="6145A4E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14</w:t>
            </w:r>
          </w:p>
        </w:tc>
        <w:tc>
          <w:tcPr>
            <w:tcW w:w="6880" w:type="dxa"/>
          </w:tcPr>
          <w:p w14:paraId="47D4A36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3DAA4A3E" w14:textId="77777777" w:rsidTr="00A37A2F">
        <w:tc>
          <w:tcPr>
            <w:tcW w:w="1548" w:type="dxa"/>
          </w:tcPr>
          <w:p w14:paraId="347334E6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Dec 6</w:t>
            </w:r>
          </w:p>
        </w:tc>
        <w:tc>
          <w:tcPr>
            <w:tcW w:w="6880" w:type="dxa"/>
          </w:tcPr>
          <w:p w14:paraId="42C120CA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Women’s Health in 20</w:t>
            </w:r>
            <w:r w:rsidRPr="009A7731">
              <w:rPr>
                <w:rFonts w:ascii="Georgia" w:hAnsi="Georgia"/>
                <w:sz w:val="22"/>
                <w:szCs w:val="22"/>
                <w:u w:val="single"/>
                <w:vertAlign w:val="superscript"/>
              </w:rPr>
              <w:t>th</w:t>
            </w:r>
            <w:r w:rsidRPr="009A7731">
              <w:rPr>
                <w:rFonts w:ascii="Georgia" w:hAnsi="Georgia"/>
                <w:sz w:val="22"/>
                <w:szCs w:val="22"/>
                <w:u w:val="single"/>
              </w:rPr>
              <w:t>-century Latin America</w:t>
            </w:r>
          </w:p>
          <w:p w14:paraId="0613B8E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Primary Source Module: “Women and Health in Latin America” from</w:t>
            </w:r>
            <w:r w:rsidRPr="009A7731">
              <w:rPr>
                <w:rFonts w:ascii="Georgia" w:hAnsi="Georgia"/>
                <w:b/>
                <w:i/>
                <w:sz w:val="22"/>
                <w:szCs w:val="22"/>
              </w:rPr>
              <w:t xml:space="preserve"> Women in History </w:t>
            </w:r>
            <w:r w:rsidRPr="009A7731">
              <w:rPr>
                <w:rFonts w:ascii="Georgia" w:hAnsi="Georgia"/>
                <w:b/>
                <w:sz w:val="22"/>
                <w:szCs w:val="22"/>
              </w:rPr>
              <w:t xml:space="preserve">(Center for History and New Media, George Mason University)  </w:t>
            </w:r>
            <w:r w:rsidRPr="009A7731">
              <w:rPr>
                <w:rFonts w:ascii="Georgia" w:hAnsi="Georgia"/>
                <w:sz w:val="22"/>
                <w:szCs w:val="22"/>
              </w:rPr>
              <w:t>http://chnm.gmu.edu/wwh/modules/lesson15/lesson15.php?s=0</w:t>
            </w:r>
          </w:p>
        </w:tc>
      </w:tr>
      <w:tr w:rsidR="00BD7784" w:rsidRPr="009A7731" w14:paraId="4D23B841" w14:textId="77777777" w:rsidTr="00A37A2F">
        <w:tc>
          <w:tcPr>
            <w:tcW w:w="1548" w:type="dxa"/>
          </w:tcPr>
          <w:p w14:paraId="48EF06D0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Dec 8</w:t>
            </w:r>
          </w:p>
        </w:tc>
        <w:tc>
          <w:tcPr>
            <w:tcW w:w="6880" w:type="dxa"/>
          </w:tcPr>
          <w:p w14:paraId="14E52EAF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 xml:space="preserve">Where Are we </w:t>
            </w:r>
            <w:commentRangeStart w:id="4"/>
            <w:r w:rsidRPr="009A7731">
              <w:rPr>
                <w:rFonts w:ascii="Georgia" w:hAnsi="Georgia"/>
                <w:b/>
                <w:sz w:val="22"/>
                <w:szCs w:val="22"/>
                <w:u w:val="single"/>
              </w:rPr>
              <w:t>Now</w:t>
            </w:r>
            <w:commentRangeEnd w:id="4"/>
            <w:r w:rsidRPr="009A7731">
              <w:rPr>
                <w:rStyle w:val="CommentReference"/>
                <w:rFonts w:ascii="Georgia" w:hAnsi="Georgia"/>
                <w:b/>
                <w:sz w:val="22"/>
                <w:szCs w:val="22"/>
                <w:u w:val="single"/>
              </w:rPr>
              <w:commentReference w:id="4"/>
            </w:r>
          </w:p>
          <w:p w14:paraId="373CB03D" w14:textId="77777777" w:rsidR="00BD7784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Anna Uziel, “Homosexuality and Adoption in Brazil,”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 xml:space="preserve"> Reproductive Health Matters</w:t>
            </w:r>
            <w:r w:rsidRPr="009A7731">
              <w:rPr>
                <w:rFonts w:ascii="Georgia" w:hAnsi="Georgia"/>
                <w:sz w:val="22"/>
                <w:szCs w:val="22"/>
              </w:rPr>
              <w:t xml:space="preserve"> 9:19 (2001): 34-42.</w:t>
            </w:r>
          </w:p>
          <w:p w14:paraId="2E41E4A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sz w:val="22"/>
                <w:szCs w:val="22"/>
              </w:rPr>
            </w:pPr>
            <w:commentRangeStart w:id="5"/>
            <w:r>
              <w:t xml:space="preserve">Omar G. Encarnación. "Latin America's Gay Rights Revolution." </w:t>
            </w:r>
            <w:r>
              <w:rPr>
                <w:u w:val="single"/>
              </w:rPr>
              <w:t>Journal of Democracy</w:t>
            </w:r>
            <w:r>
              <w:t xml:space="preserve"> 22.2 (2011): 104-118. </w:t>
            </w:r>
            <w:r>
              <w:rPr>
                <w:i/>
                <w:iCs/>
              </w:rPr>
              <w:t>Project MUSE</w:t>
            </w:r>
            <w:r>
              <w:t>. Web. 18 Apr. 2011. &lt;http://muse.jhu.edu/&gt;.</w:t>
            </w:r>
            <w:commentRangeEnd w:id="5"/>
            <w:r w:rsidRPr="009A7731">
              <w:rPr>
                <w:rStyle w:val="CommentReference"/>
                <w:rFonts w:ascii="Georgia" w:hAnsi="Georgia"/>
                <w:sz w:val="22"/>
                <w:szCs w:val="22"/>
              </w:rPr>
              <w:commentReference w:id="5"/>
            </w:r>
          </w:p>
          <w:p w14:paraId="30ECF7D7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  <w:u w:val="single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 xml:space="preserve">Seah Flynn, “Where they Love Americans…for a Living,” </w:t>
            </w:r>
            <w:r w:rsidRPr="009A7731">
              <w:rPr>
                <w:rFonts w:ascii="Georgia" w:hAnsi="Georgia"/>
                <w:i/>
                <w:sz w:val="22"/>
                <w:szCs w:val="22"/>
              </w:rPr>
              <w:t>The Best Travel Writing 2006</w:t>
            </w:r>
            <w:r w:rsidRPr="009A7731">
              <w:rPr>
                <w:rFonts w:ascii="Georgia" w:hAnsi="Georgia"/>
                <w:sz w:val="22"/>
                <w:szCs w:val="22"/>
              </w:rPr>
              <w:t>, Tim Cahill, ed., (Boston: Houghton Mifflin, 2006), 105-112.</w:t>
            </w:r>
          </w:p>
          <w:p w14:paraId="0DECB68B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iCs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iCs/>
                <w:sz w:val="22"/>
                <w:szCs w:val="22"/>
              </w:rPr>
              <w:t>Additional Readings TBA</w:t>
            </w:r>
          </w:p>
        </w:tc>
      </w:tr>
      <w:tr w:rsidR="00BD7784" w:rsidRPr="009A7731" w14:paraId="4E817303" w14:textId="77777777" w:rsidTr="00A37A2F">
        <w:tc>
          <w:tcPr>
            <w:tcW w:w="1548" w:type="dxa"/>
          </w:tcPr>
          <w:p w14:paraId="6E607392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Week 15</w:t>
            </w:r>
          </w:p>
        </w:tc>
        <w:tc>
          <w:tcPr>
            <w:tcW w:w="6880" w:type="dxa"/>
          </w:tcPr>
          <w:p w14:paraId="053E9FB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24990374" w14:textId="77777777" w:rsidTr="00A37A2F">
        <w:tc>
          <w:tcPr>
            <w:tcW w:w="1548" w:type="dxa"/>
          </w:tcPr>
          <w:p w14:paraId="572623E3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Dec 13</w:t>
            </w:r>
          </w:p>
        </w:tc>
        <w:tc>
          <w:tcPr>
            <w:tcW w:w="6880" w:type="dxa"/>
          </w:tcPr>
          <w:p w14:paraId="6D3BA795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Paper #3 Due</w:t>
            </w:r>
          </w:p>
        </w:tc>
      </w:tr>
      <w:tr w:rsidR="00BD7784" w:rsidRPr="009A7731" w14:paraId="3918DB6A" w14:textId="77777777" w:rsidTr="00A37A2F">
        <w:tc>
          <w:tcPr>
            <w:tcW w:w="1548" w:type="dxa"/>
          </w:tcPr>
          <w:p w14:paraId="1D264A71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36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6880" w:type="dxa"/>
          </w:tcPr>
          <w:p w14:paraId="61028799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Georgia" w:hAnsi="Georgia"/>
                <w:sz w:val="22"/>
                <w:szCs w:val="22"/>
              </w:rPr>
            </w:pPr>
          </w:p>
        </w:tc>
      </w:tr>
      <w:tr w:rsidR="00BD7784" w:rsidRPr="009A7731" w14:paraId="62D7500A" w14:textId="77777777" w:rsidTr="00A37A2F">
        <w:tc>
          <w:tcPr>
            <w:tcW w:w="1548" w:type="dxa"/>
          </w:tcPr>
          <w:p w14:paraId="09A63B64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360"/>
              <w:rPr>
                <w:rFonts w:ascii="Georgia" w:hAnsi="Georgia"/>
                <w:sz w:val="22"/>
                <w:szCs w:val="22"/>
              </w:rPr>
            </w:pPr>
            <w:r w:rsidRPr="009A7731">
              <w:rPr>
                <w:rFonts w:ascii="Georgia" w:hAnsi="Georgia"/>
                <w:sz w:val="22"/>
                <w:szCs w:val="22"/>
              </w:rPr>
              <w:t>Dec 16</w:t>
            </w:r>
          </w:p>
        </w:tc>
        <w:tc>
          <w:tcPr>
            <w:tcW w:w="6880" w:type="dxa"/>
          </w:tcPr>
          <w:p w14:paraId="4941228D" w14:textId="77777777" w:rsidR="00BD7784" w:rsidRPr="009A7731" w:rsidRDefault="00BD7784" w:rsidP="00BD77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0" w:after="120"/>
              <w:rPr>
                <w:rFonts w:ascii="Georgia" w:hAnsi="Georgia"/>
                <w:b/>
                <w:sz w:val="22"/>
                <w:szCs w:val="22"/>
              </w:rPr>
            </w:pPr>
            <w:r w:rsidRPr="009A7731">
              <w:rPr>
                <w:rFonts w:ascii="Georgia" w:hAnsi="Georgia"/>
                <w:b/>
                <w:sz w:val="22"/>
                <w:szCs w:val="22"/>
              </w:rPr>
              <w:t>Final Paper Due: Friday, December 16</w:t>
            </w:r>
            <w:r w:rsidRPr="009A7731">
              <w:rPr>
                <w:rFonts w:ascii="Georgia" w:hAnsi="Georgia"/>
                <w:b/>
                <w:sz w:val="22"/>
                <w:szCs w:val="22"/>
                <w:vertAlign w:val="superscript"/>
              </w:rPr>
              <w:t>th</w:t>
            </w:r>
            <w:r w:rsidRPr="009A7731">
              <w:rPr>
                <w:rFonts w:ascii="Georgia" w:hAnsi="Georgia"/>
                <w:b/>
                <w:sz w:val="22"/>
                <w:szCs w:val="22"/>
              </w:rPr>
              <w:t>, 2011 at 4:00pm</w:t>
            </w:r>
          </w:p>
        </w:tc>
      </w:tr>
    </w:tbl>
    <w:p w14:paraId="79268125" w14:textId="77777777" w:rsidR="00BD7784" w:rsidRPr="009A7731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Georgia" w:hAnsi="Georgia"/>
          <w:sz w:val="22"/>
          <w:szCs w:val="22"/>
        </w:rPr>
      </w:pPr>
    </w:p>
    <w:p w14:paraId="55356FC3" w14:textId="77777777" w:rsidR="00BD7784" w:rsidRPr="009A7731" w:rsidRDefault="00BD778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Georgia" w:hAnsi="Georgia"/>
          <w:sz w:val="22"/>
          <w:szCs w:val="22"/>
        </w:rPr>
      </w:pPr>
    </w:p>
    <w:p w14:paraId="26411A42" w14:textId="77777777" w:rsidR="00E244D4" w:rsidRDefault="00E244D4" w:rsidP="00BD77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sectPr w:rsidR="00E244D4" w:rsidSect="00BD778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UWindows7" w:date="2012-02-17T12:20:00Z" w:initials="D">
    <w:p w14:paraId="7E0D6753" w14:textId="77777777" w:rsidR="00BD7784" w:rsidRPr="00FB66A9" w:rsidRDefault="00BD7784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Might combine this with Silverblatt, and then Gender Models in Alfonso X's Siete partidas: The Sexual Politics of 'Nature' and 'Society' / </w:t>
      </w:r>
      <w:hyperlink r:id="rId1" w:history="1">
        <w:r>
          <w:rPr>
            <w:rStyle w:val="Hyperlink"/>
            <w:rFonts w:eastAsiaTheme="majorEastAsia"/>
          </w:rPr>
          <w:t>Roberto J. Gonzalez-Casanovas</w:t>
        </w:r>
      </w:hyperlink>
      <w:r>
        <w:t xml:space="preserve"> in </w:t>
      </w:r>
      <w:r>
        <w:rPr>
          <w:i/>
        </w:rPr>
        <w:t>Desire and Dscipline</w:t>
      </w:r>
      <w:r>
        <w:t xml:space="preserve"> to get a sense of base lines?</w:t>
      </w:r>
    </w:p>
  </w:comment>
  <w:comment w:id="1" w:author="DUWindows7" w:date="2012-02-18T17:05:00Z" w:initials="D">
    <w:p w14:paraId="6341D309" w14:textId="77777777" w:rsidR="00BD7784" w:rsidRPr="00B55440" w:rsidRDefault="00BD7784">
      <w:pPr>
        <w:pStyle w:val="CommentText"/>
        <w:rPr>
          <w:color w:val="0000FF"/>
          <w:sz w:val="27"/>
          <w:szCs w:val="27"/>
        </w:rPr>
      </w:pPr>
      <w:r>
        <w:rPr>
          <w:rStyle w:val="CommentReference"/>
          <w:rFonts w:eastAsiaTheme="majorEastAsia"/>
        </w:rPr>
        <w:annotationRef/>
      </w:r>
      <w:r>
        <w:t xml:space="preserve">Not sure where this fits, but look at </w:t>
      </w:r>
      <w:r>
        <w:rPr>
          <w:color w:val="0000FF"/>
          <w:sz w:val="27"/>
          <w:szCs w:val="27"/>
        </w:rPr>
        <w:t>"'Not Just Indecent but Positively Obscene': Lascivious Pictures and the Inquisition in New Spain, 1691-1812,"</w:t>
      </w:r>
      <w:r>
        <w:rPr>
          <w:color w:val="0000FF"/>
          <w:sz w:val="27"/>
          <w:szCs w:val="27"/>
        </w:rPr>
        <w:br/>
        <w:t>by Kelly Donahue-Wallace and Elizabeth Alice Lamar Latham in CLAHR 2007</w:t>
      </w:r>
    </w:p>
  </w:comment>
  <w:comment w:id="2" w:author="DUWindows7" w:date="2012-09-20T12:43:00Z" w:initials="D">
    <w:p w14:paraId="6F49F215" w14:textId="77777777" w:rsidR="00BD7784" w:rsidRPr="008B198A" w:rsidRDefault="00BD7784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Take a look as Mratin’s discussion of the tapadas in Lima, in his </w:t>
      </w:r>
      <w:r>
        <w:rPr>
          <w:i/>
        </w:rPr>
        <w:t>Daughters of the Conquistadors</w:t>
      </w:r>
      <w:r>
        <w:t>, pg 280-309</w:t>
      </w:r>
    </w:p>
  </w:comment>
  <w:comment w:id="3" w:author="DUWindows7" w:date="2012-04-21T11:46:00Z" w:initials="D">
    <w:p w14:paraId="02D90C77" w14:textId="77777777" w:rsidR="00BD7784" w:rsidRPr="0032503A" w:rsidRDefault="00BD7784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Look for work by </w:t>
      </w:r>
      <w:r>
        <w:rPr>
          <w:rFonts w:ascii="Times" w:hAnsi="Times" w:cs="Times"/>
        </w:rPr>
        <w:t xml:space="preserve">Lucinda Grinnell’s paper </w:t>
      </w:r>
      <w:r>
        <w:rPr>
          <w:rFonts w:ascii="Times" w:hAnsi="Times" w:cs="Times"/>
          <w:i/>
          <w:iCs/>
        </w:rPr>
        <w:t xml:space="preserve">Grassroots and Global?: Lesbian Rights as Human Rights in Mexico </w:t>
      </w:r>
      <w:r>
        <w:rPr>
          <w:rFonts w:ascii="Times" w:hAnsi="Times" w:cs="Times"/>
          <w:iCs/>
        </w:rPr>
        <w:t>(saw this in a CLAH panel)</w:t>
      </w:r>
    </w:p>
  </w:comment>
  <w:comment w:id="4" w:author="Denison University" w:date="2015-02-10T14:37:00Z" w:initials="DU">
    <w:p w14:paraId="5BBFD5DE" w14:textId="77777777" w:rsidR="00BD7784" w:rsidRDefault="00BD7784" w:rsidP="00BD7784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Happier ending?  </w:t>
      </w:r>
    </w:p>
    <w:tbl>
      <w:tblPr>
        <w:tblW w:w="12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0"/>
      </w:tblGrid>
      <w:tr w:rsidR="00BD7784" w:rsidRPr="00C20DA0" w14:paraId="7F358B48" w14:textId="77777777" w:rsidTr="00C20DA0">
        <w:tc>
          <w:tcPr>
            <w:tcW w:w="0" w:type="auto"/>
            <w:tcMar>
              <w:top w:w="135" w:type="dxa"/>
              <w:left w:w="270" w:type="dxa"/>
              <w:bottom w:w="135" w:type="dxa"/>
              <w:right w:w="270" w:type="dxa"/>
            </w:tcMar>
            <w:hideMark/>
          </w:tcPr>
          <w:p w14:paraId="697C9F08" w14:textId="77777777" w:rsidR="00BD7784" w:rsidRPr="00C20DA0" w:rsidRDefault="00BD7784" w:rsidP="00C20DA0">
            <w:pPr>
              <w:jc w:val="center"/>
              <w:rPr>
                <w:rFonts w:ascii="Arial" w:hAnsi="Arial" w:cs="Arial"/>
                <w:color w:val="222222"/>
                <w:sz w:val="23"/>
                <w:szCs w:val="23"/>
              </w:rPr>
            </w:pPr>
            <w:r w:rsidRPr="00C20DA0">
              <w:rPr>
                <w:rFonts w:ascii="Arial" w:hAnsi="Arial" w:cs="Arial"/>
                <w:b/>
                <w:bCs/>
                <w:color w:val="222222"/>
                <w:sz w:val="23"/>
                <w:szCs w:val="23"/>
              </w:rPr>
              <w:t>GOALS FOR GIRLS: A STORY OF WOMEN WITH BALLS</w:t>
            </w:r>
            <w:r w:rsidRPr="00C20DA0">
              <w:rPr>
                <w:rFonts w:ascii="Arial" w:hAnsi="Arial" w:cs="Arial"/>
                <w:color w:val="222222"/>
                <w:sz w:val="23"/>
                <w:szCs w:val="23"/>
              </w:rPr>
              <w:br/>
              <w:t>Feature documentary about the struggle of women to play a football in Argentina </w:t>
            </w:r>
          </w:p>
          <w:p w14:paraId="6CEDF0A3" w14:textId="77777777" w:rsidR="00BD7784" w:rsidRPr="00C20DA0" w:rsidRDefault="00BD7784" w:rsidP="00C20DA0">
            <w:pPr>
              <w:jc w:val="center"/>
              <w:rPr>
                <w:rFonts w:ascii="Arial" w:hAnsi="Arial" w:cs="Arial"/>
                <w:color w:val="222222"/>
                <w:sz w:val="23"/>
                <w:szCs w:val="23"/>
              </w:rPr>
            </w:pPr>
            <w:r w:rsidRPr="00C20DA0">
              <w:rPr>
                <w:rFonts w:ascii="Arial" w:hAnsi="Arial" w:cs="Arial"/>
                <w:color w:val="222222"/>
                <w:sz w:val="23"/>
                <w:szCs w:val="23"/>
              </w:rPr>
              <w:t>now available for purchase by your educational institution</w:t>
            </w:r>
          </w:p>
        </w:tc>
      </w:tr>
    </w:tbl>
    <w:p w14:paraId="442D42EA" w14:textId="77777777" w:rsidR="00BD7784" w:rsidRPr="00C20DA0" w:rsidRDefault="00BD7784" w:rsidP="00BD7784">
      <w:pPr>
        <w:rPr>
          <w:rFonts w:ascii="Times" w:hAnsi="Times"/>
          <w:sz w:val="20"/>
          <w:szCs w:val="20"/>
        </w:rPr>
      </w:pPr>
    </w:p>
    <w:p w14:paraId="176CEB4B" w14:textId="77777777" w:rsidR="00BD7784" w:rsidRDefault="00BD7784">
      <w:pPr>
        <w:pStyle w:val="CommentText"/>
      </w:pPr>
    </w:p>
  </w:comment>
  <w:comment w:id="5" w:author="DUWindows7" w:date="2011-12-06T09:32:00Z" w:initials="D">
    <w:p w14:paraId="25D702DA" w14:textId="77777777" w:rsidR="00BD7784" w:rsidRDefault="00BD7784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>Consider, and fix citaiton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0D6753" w15:done="0"/>
  <w15:commentEx w15:paraId="6341D309" w15:done="0"/>
  <w15:commentEx w15:paraId="6F49F215" w15:done="0"/>
  <w15:commentEx w15:paraId="02D90C77" w15:done="0"/>
  <w15:commentEx w15:paraId="176CEB4B" w15:done="0"/>
  <w15:commentEx w15:paraId="25D702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0D6753" w16cid:durableId="7108FAAC"/>
  <w16cid:commentId w16cid:paraId="6341D309" w16cid:durableId="00857CE4"/>
  <w16cid:commentId w16cid:paraId="6F49F215" w16cid:durableId="1C14F997"/>
  <w16cid:commentId w16cid:paraId="02D90C77" w16cid:durableId="6BB7E9A0"/>
  <w16cid:commentId w16cid:paraId="176CEB4B" w16cid:durableId="04B5A550"/>
  <w16cid:commentId w16cid:paraId="25D702DA" w16cid:durableId="06F94D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84"/>
    <w:rsid w:val="003F4ACB"/>
    <w:rsid w:val="00601DBE"/>
    <w:rsid w:val="00BD7784"/>
    <w:rsid w:val="00E244D4"/>
    <w:rsid w:val="00F71841"/>
    <w:rsid w:val="00F9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569B4"/>
  <w15:chartTrackingRefBased/>
  <w15:docId w15:val="{94C17017-3875-0B48-9500-AB56A7A6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8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D77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7784"/>
    <w:rPr>
      <w:b/>
      <w:bCs/>
    </w:rPr>
  </w:style>
  <w:style w:type="character" w:styleId="CommentReference">
    <w:name w:val="annotation reference"/>
    <w:basedOn w:val="DefaultParagraphFont"/>
    <w:semiHidden/>
    <w:rsid w:val="00BD778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77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D778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rsid w:val="00BD7784"/>
    <w:rPr>
      <w:color w:val="0000FF"/>
      <w:u w:val="single"/>
    </w:rPr>
  </w:style>
  <w:style w:type="paragraph" w:styleId="PlainText">
    <w:name w:val="Plain Text"/>
    <w:basedOn w:val="Normal"/>
    <w:link w:val="PlainTextChar"/>
    <w:rsid w:val="00BD7784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D7784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character" w:styleId="HTMLTypewriter">
    <w:name w:val="HTML Typewriter"/>
    <w:basedOn w:val="DefaultParagraphFont"/>
    <w:uiPriority w:val="99"/>
    <w:rsid w:val="00BD7784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unhideWhenUsed/>
    <w:rsid w:val="00BD7784"/>
    <w:rPr>
      <w:i/>
      <w:iCs/>
    </w:rPr>
  </w:style>
  <w:style w:type="character" w:customStyle="1" w:styleId="style3">
    <w:name w:val="style_3"/>
    <w:basedOn w:val="DefaultParagraphFont"/>
    <w:rsid w:val="00BD7784"/>
  </w:style>
  <w:style w:type="character" w:customStyle="1" w:styleId="medium-font">
    <w:name w:val="medium-font"/>
    <w:basedOn w:val="DefaultParagraphFont"/>
    <w:rsid w:val="00BD7784"/>
  </w:style>
  <w:style w:type="paragraph" w:styleId="Revision">
    <w:name w:val="Revision"/>
    <w:hidden/>
    <w:uiPriority w:val="99"/>
    <w:semiHidden/>
    <w:rsid w:val="00BD778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consort.library.denison.edu/search%7ES6/a?Gonz%7B226%7Dalez-Casanovas%2C+Roberto+J.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-search.ebscohost.com.dewey2.library.denison.edu/login.aspx?direct=true&amp;db=a9h&amp;AN=23628881&amp;site=ehost-live" TargetMode="External"/><Relationship Id="rId13" Type="http://schemas.openxmlformats.org/officeDocument/2006/relationships/hyperlink" Target="http://www.jstor.org/stable/2515989" TargetMode="External"/><Relationship Id="rId18" Type="http://schemas.openxmlformats.org/officeDocument/2006/relationships/hyperlink" Target="http://www.jstor.org/stable/263400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0-search.ebscohost.com.dewey2.library.denison.edu/login.aspx?direct=true&amp;db=qth&amp;AN=13726177&amp;site=ehost-live" TargetMode="External"/><Relationship Id="rId7" Type="http://schemas.microsoft.com/office/2016/09/relationships/commentsIds" Target="commentsIds.xml"/><Relationship Id="rId12" Type="http://schemas.openxmlformats.org/officeDocument/2006/relationships/hyperlink" Target="http://muse.jhu.edu/journals/hispanic_american_historical_review/v081/81.3piccato.pdf" TargetMode="External"/><Relationship Id="rId17" Type="http://schemas.openxmlformats.org/officeDocument/2006/relationships/hyperlink" Target="http://muse.jhu.edu/journals/journal_of_womens_history/v016/16.3power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0-search.ebscohost.com.dewey2.library.denison.edu/login.aspx?direct=true&amp;db=a9h&amp;AN=17384995&amp;site=ehost-live" TargetMode="External"/><Relationship Id="rId20" Type="http://schemas.openxmlformats.org/officeDocument/2006/relationships/hyperlink" Target="http://muse.jhu.edu/journals/film_and_history/v034/34.1acevedo-munoz.pdf" TargetMode="Externa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hyperlink" Target="http://www.jstor.org/stable/1007861" TargetMode="External"/><Relationship Id="rId5" Type="http://schemas.openxmlformats.org/officeDocument/2006/relationships/comments" Target="comments.xml"/><Relationship Id="rId15" Type="http://schemas.openxmlformats.org/officeDocument/2006/relationships/hyperlink" Target="http://www.jstor.org/stable/251821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jstor.org/stable/2516659" TargetMode="External"/><Relationship Id="rId19" Type="http://schemas.openxmlformats.org/officeDocument/2006/relationships/hyperlink" Target="http://www.jstor.org/stable/3097184" TargetMode="External"/><Relationship Id="rId4" Type="http://schemas.openxmlformats.org/officeDocument/2006/relationships/hyperlink" Target="http://0-www.jstor.org.dewey2.library.denison.edu/stable/483143" TargetMode="External"/><Relationship Id="rId9" Type="http://schemas.openxmlformats.org/officeDocument/2006/relationships/hyperlink" Target="http://0-proquest.umi.com.dewey2.library.denison.edu/pqdweb?did=34091115&amp;sid=1&amp;Fmt=6&amp;clientId=21128&amp;RQT=309&amp;VName=PQD" TargetMode="External"/><Relationship Id="rId14" Type="http://schemas.openxmlformats.org/officeDocument/2006/relationships/hyperlink" Target="http://www.jstor.org/stable/251564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1770</Words>
  <Characters>9366</Characters>
  <Application>Microsoft Office Word</Application>
  <DocSecurity>0</DocSecurity>
  <Lines>203</Lines>
  <Paragraphs>103</Paragraphs>
  <ScaleCrop>false</ScaleCrop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Proctor III</dc:creator>
  <cp:keywords/>
  <dc:description/>
  <cp:lastModifiedBy>Trey Proctor III</cp:lastModifiedBy>
  <cp:revision>1</cp:revision>
  <dcterms:created xsi:type="dcterms:W3CDTF">2026-01-15T14:25:00Z</dcterms:created>
  <dcterms:modified xsi:type="dcterms:W3CDTF">2026-01-15T14:33:00Z</dcterms:modified>
</cp:coreProperties>
</file>