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The Principal — Software Requirements Specification</w:t>
      </w:r>
    </w:p>
    <w:p>
      <w:pPr/>
      <w:r>
        <w:t xml:space="preserve">School Management Software powered by FiSH+ER</w:t>
      </w:r>
    </w:p>
    <w:p>
      <w:pPr/>
      <w:r>
        <w:t xml:space="preserve">Sep 17, 2026</w:t>
      </w:r>
      <w:r>
        <w:t xml:space="preserve"> · Prepared for </w:t>
      </w:r>
      <w:r>
        <w:t xml:space="preserve">@Someone</w:t>
      </w:r>
    </w:p>
    <w:p>
      <w:pPr>
        <w:pStyle w:val="Heading2"/>
      </w:pPr>
      <w:r>
        <w:t xml:space="preserve">1. Introduction</w:t>
      </w:r>
    </w:p>
    <w:p>
      <w:pPr>
        <w:pStyle w:val="Heading3"/>
      </w:pPr>
      <w:r>
        <w:t xml:space="preserve">1.1 Purpose</w:t>
      </w:r>
    </w:p>
    <w:p>
      <w:pPr/>
      <w:r>
        <w:t xml:space="preserve">This Software Requirements Specification (SRS) defines the functional and non-functional requirements for </w:t>
      </w:r>
      <w:r>
        <w:rPr>
          <w:b/>
        </w:rPr>
        <w:t xml:space="preserve">The Principal</w:t>
      </w:r>
      <w:r>
        <w:t xml:space="preserve">, the school management product of the </w:t>
      </w:r>
      <w:r>
        <w:rPr>
          <w:b/>
        </w:rPr>
        <w:t xml:space="preserve">FiSH+ER</w:t>
      </w:r>
      <w:r>
        <w:t xml:space="preserve"> platform. It is intended to guide design, development, QA, and stakeholder sign-off for the initial release, and to serve as the contractual baseline between Policy and Strategy Initiatives CIC (the product owner) and the engineering team.</w:t>
      </w:r>
    </w:p>
    <w:p>
      <w:pPr>
        <w:pStyle w:val="Heading3"/>
      </w:pPr>
      <w:r>
        <w:t xml:space="preserve">1.2 Scope</w:t>
      </w:r>
    </w:p>
    <w:p>
      <w:pPr/>
      <w:r>
        <w:t xml:space="preserve">The Principal is the school-operations layer of a larger Education Management Information System (EMIS) SaaS venture targeting Nigerian schools. It unifies admissions, student records, classroom and attendance management, assessment, fee collection, parent communication, and regulatory compliance into a single product, while delegating financial ledger accounting to </w:t>
      </w:r>
      <w:r>
        <w:rPr>
          <w:b/>
        </w:rPr>
        <w:t xml:space="preserve">FiSH</w:t>
      </w:r>
      <w:r>
        <w:t xml:space="preserve"> (the Financial Spine) and shared administration/operations/UX services to </w:t>
      </w:r>
      <w:r>
        <w:rPr>
          <w:b/>
        </w:rPr>
        <w:t xml:space="preserve">ER</w:t>
      </w:r>
      <w:r>
        <w:t xml:space="preserve"> (the Enterprise Runtime).</w:t>
      </w:r>
    </w:p>
    <w:p>
      <w:pPr/>
      <w:r>
        <w:t xml:space="preserve">In scope for this SRS:</w:t>
      </w:r>
    </w:p>
    <w:p>
      <w:pPr>
        <w:pStyle w:val="ListParagraph"/>
        <w:numPr>
          <w:ilvl w:val="0"/>
          <w:numId w:val="2"/>
        </w:numPr>
      </w:pPr>
      <w:r>
        <w:t xml:space="preserve">The Principal's eight core modules: Admissions Office, Student Register, Classroom Manager, Attendance Officer, Assessment Hub, Fee Desk, Parent Gateway, Compliance Centre</w:t>
      </w:r>
    </w:p>
    <w:p>
      <w:pPr>
        <w:pStyle w:val="ListParagraph"/>
        <w:numPr>
          <w:ilvl w:val="0"/>
          <w:numId w:val="2"/>
        </w:numPr>
      </w:pPr>
      <w:r>
        <w:t xml:space="preserve">Event contracts published from The Principal to FiSH SOP (the operational event processor)</w:t>
      </w:r>
    </w:p>
    <w:p>
      <w:pPr>
        <w:pStyle w:val="ListParagraph"/>
        <w:numPr>
          <w:ilvl w:val="0"/>
          <w:numId w:val="2"/>
        </w:numPr>
      </w:pPr>
      <w:r>
        <w:t xml:space="preserve">The proprietary Teacher Productivity Index (TPI) and Student Productivity Index (SPI) as they are computed, surfaced, and consumed within The Principal</w:t>
      </w:r>
    </w:p>
    <w:p>
      <w:pPr>
        <w:pStyle w:val="ListParagraph"/>
        <w:numPr>
          <w:ilvl w:val="0"/>
          <w:numId w:val="2"/>
        </w:numPr>
      </w:pPr>
      <w:r>
        <w:t xml:space="preserve">Mobile-first, offline-capable operation for low-connectivity Nigerian school environments</w:t>
      </w:r>
    </w:p>
    <w:p>
      <w:pPr/>
      <w:r>
        <w:t xml:space="preserve">Out of scope:</w:t>
      </w:r>
    </w:p>
    <w:p>
      <w:pPr>
        <w:pStyle w:val="ListParagraph"/>
        <w:numPr>
          <w:ilvl w:val="0"/>
          <w:numId w:val="3"/>
        </w:numPr>
      </w:pPr>
      <w:r>
        <w:t xml:space="preserve">FiSH General Ledger accounting logic (posting rules, chart of accounts) — specified separately under the FiSH SRS</w:t>
      </w:r>
    </w:p>
    <w:p>
      <w:pPr>
        <w:pStyle w:val="ListParagraph"/>
        <w:numPr>
          <w:ilvl w:val="0"/>
          <w:numId w:val="3"/>
        </w:numPr>
      </w:pPr>
      <w:r>
        <w:t xml:space="preserve">ER's cross-product admin/identity services — specified separately under the ER SRS</w:t>
      </w:r>
    </w:p>
    <w:p>
      <w:pPr>
        <w:pStyle w:val="ListParagraph"/>
        <w:numPr>
          <w:ilvl w:val="0"/>
          <w:numId w:val="3"/>
        </w:numPr>
      </w:pPr>
      <w:r>
        <w:t xml:space="preserve">Learning management (course content delivery) — explicitly excluded from The Principal's brand positioning</w:t>
      </w:r>
    </w:p>
    <w:p>
      <w:pPr>
        <w:pStyle w:val="Heading3"/>
      </w:pPr>
      <w:r>
        <w:t xml:space="preserve">1.3 Definitions, Acronyms and Abbreviations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Term</w:t>
            </w:r>
          </w:p>
        </w:tc>
        <w:tc>
          <w:tcPr>
            <w:tcW w:w="4680" w:type="dxa"/>
            <w:shd w:val="clear" w:color="auto" w:fill="F2F2F2"/>
          </w:tcPr>
          <w:p>
            <w:pPr/>
            <w:r>
              <w:t xml:space="preserve">Definition</w:t>
            </w:r>
          </w:p>
        </w:tc>
      </w:tr>
      <w:tr>
        <w:tc>
          <w:tcPr>
            <w:tcW w:w="4680" w:type="dxa"/>
          </w:tcPr>
          <w:p>
            <w:pPr/>
            <w:r>
              <w:t xml:space="preserve">EMIS</w:t>
            </w:r>
          </w:p>
        </w:tc>
        <w:tc>
          <w:tcPr>
            <w:tcW w:w="4680" w:type="dxa"/>
          </w:tcPr>
          <w:p>
            <w:pPr/>
            <w:r>
              <w:t xml:space="preserve">Education Management Information System — the overall SaaS venture</w:t>
            </w:r>
          </w:p>
        </w:tc>
      </w:tr>
      <w:tr>
        <w:tc>
          <w:tcPr>
            <w:tcW w:w="4680" w:type="dxa"/>
          </w:tcPr>
          <w:p>
            <w:pPr/>
            <w:r>
              <w:t xml:space="preserve">FiSH</w:t>
            </w:r>
          </w:p>
        </w:tc>
        <w:tc>
          <w:tcPr>
            <w:tcW w:w="4680" w:type="dxa"/>
          </w:tcPr>
          <w:p>
            <w:pPr/>
            <w:r>
              <w:t xml:space="preserve">The Financial Spine — the platform's financial/GL engine</w:t>
            </w:r>
          </w:p>
        </w:tc>
      </w:tr>
      <w:tr>
        <w:tc>
          <w:tcPr>
            <w:tcW w:w="4680" w:type="dxa"/>
          </w:tcPr>
          <w:p>
            <w:pPr/>
            <w:r>
              <w:t xml:space="preserve">ER</w:t>
            </w:r>
          </w:p>
        </w:tc>
        <w:tc>
          <w:tcPr>
            <w:tcW w:w="4680" w:type="dxa"/>
          </w:tcPr>
          <w:p>
            <w:pPr/>
            <w:r>
              <w:t xml:space="preserve">Enterprise Runtime — shared Admin, Operations and UX services</w:t>
            </w:r>
          </w:p>
        </w:tc>
      </w:tr>
      <w:tr>
        <w:tc>
          <w:tcPr>
            <w:tcW w:w="4680" w:type="dxa"/>
          </w:tcPr>
          <w:p>
            <w:pPr/>
            <w:r>
              <w:t xml:space="preserve">FiSH SOP</w:t>
            </w:r>
          </w:p>
        </w:tc>
        <w:tc>
          <w:tcPr>
            <w:tcW w:w="4680" w:type="dxa"/>
          </w:tcPr>
          <w:p>
            <w:pPr/>
            <w:r>
              <w:t xml:space="preserve">FiSH's operational event processor, which ingests domain events from products such as The Principal</w:t>
            </w:r>
          </w:p>
        </w:tc>
      </w:tr>
      <w:tr>
        <w:tc>
          <w:tcPr>
            <w:tcW w:w="4680" w:type="dxa"/>
          </w:tcPr>
          <w:p>
            <w:pPr/>
            <w:r>
              <w:t xml:space="preserve">SchoolSOP</w:t>
            </w:r>
          </w:p>
        </w:tc>
        <w:tc>
          <w:tcPr>
            <w:tcW w:w="4680" w:type="dxa"/>
          </w:tcPr>
          <w:p>
            <w:pPr/>
            <w:r>
              <w:t xml:space="preserve">The school-domain logic layer beneath The Principal's UI</w:t>
            </w:r>
          </w:p>
        </w:tc>
      </w:tr>
      <w:tr>
        <w:tc>
          <w:tcPr>
            <w:tcW w:w="4680" w:type="dxa"/>
          </w:tcPr>
          <w:p>
            <w:pPr/>
            <w:r>
              <w:t xml:space="preserve">TPI</w:t>
            </w:r>
          </w:p>
        </w:tc>
        <w:tc>
          <w:tcPr>
            <w:tcW w:w="4680" w:type="dxa"/>
          </w:tcPr>
          <w:p>
            <w:pPr/>
            <w:r>
              <w:t xml:space="preserve">Teacher Productivity Index — proprietary metric for teacher performance/accountability</w:t>
            </w:r>
          </w:p>
        </w:tc>
      </w:tr>
      <w:tr>
        <w:tc>
          <w:tcPr>
            <w:tcW w:w="4680" w:type="dxa"/>
          </w:tcPr>
          <w:p>
            <w:pPr/>
            <w:r>
              <w:t xml:space="preserve">SPI</w:t>
            </w:r>
          </w:p>
        </w:tc>
        <w:tc>
          <w:tcPr>
            <w:tcW w:w="4680" w:type="dxa"/>
          </w:tcPr>
          <w:p>
            <w:pPr/>
            <w:r>
              <w:t xml:space="preserve">Student Productivity Index — proprietary metric for student performance/accountability</w:t>
            </w:r>
          </w:p>
        </w:tc>
      </w:tr>
      <w:tr>
        <w:tc>
          <w:tcPr>
            <w:tcW w:w="4680" w:type="dxa"/>
          </w:tcPr>
          <w:p>
            <w:pPr/>
            <w:r>
              <w:t xml:space="preserve">SRS</w:t>
            </w:r>
          </w:p>
        </w:tc>
        <w:tc>
          <w:tcPr>
            <w:tcW w:w="4680" w:type="dxa"/>
          </w:tcPr>
          <w:p>
            <w:pPr/>
            <w:r>
              <w:t xml:space="preserve">Software Requirements Specification</w:t>
            </w:r>
          </w:p>
        </w:tc>
      </w:tr>
      <w:tr>
        <w:tc>
          <w:tcPr>
            <w:tcW w:w="4680" w:type="dxa"/>
          </w:tcPr>
          <w:p>
            <w:pPr/>
            <w:r>
              <w:t xml:space="preserve">GL</w:t>
            </w:r>
          </w:p>
        </w:tc>
        <w:tc>
          <w:tcPr>
            <w:tcW w:w="4680" w:type="dxa"/>
          </w:tcPr>
          <w:p>
            <w:pPr/>
            <w:r>
              <w:t xml:space="preserve">General Ledger</w:t>
            </w:r>
          </w:p>
        </w:tc>
      </w:tr>
      <w:tr>
        <w:tc>
          <w:tcPr>
            <w:tcW w:w="4680" w:type="dxa"/>
          </w:tcPr>
          <w:p>
            <w:pPr/>
            <w:r>
              <w:t xml:space="preserve">WCAG</w:t>
            </w:r>
          </w:p>
        </w:tc>
        <w:tc>
          <w:tcPr>
            <w:tcW w:w="4680" w:type="dxa"/>
          </w:tcPr>
          <w:p>
            <w:pPr/>
            <w:r>
              <w:t xml:space="preserve">Web Content Accessibility Guidelines</w:t>
            </w:r>
          </w:p>
        </w:tc>
      </w:tr>
    </w:tbl>
    <w:p>
      <w:pPr>
        <w:pStyle w:val="Heading3"/>
      </w:pPr>
      <w:r>
        <w:t xml:space="preserve">1.4 References</w:t>
      </w:r>
    </w:p>
    <w:p>
      <w:pPr>
        <w:pStyle w:val="ListParagraph"/>
        <w:numPr>
          <w:ilvl w:val="0"/>
          <w:numId w:val="4"/>
        </w:numPr>
      </w:pPr>
      <w:r>
        <w:t xml:space="preserve">The Principal Brand Guidelines (internal brand specification, this working set)</w:t>
      </w:r>
    </w:p>
    <w:p>
      <w:pPr>
        <w:pStyle w:val="ListParagraph"/>
        <w:numPr>
          <w:ilvl w:val="0"/>
          <w:numId w:val="4"/>
        </w:numPr>
      </w:pPr>
      <w:r>
        <w:t xml:space="preserve">The Principal UI/UX System (internal design-system specification, this working set)</w:t>
      </w:r>
    </w:p>
    <w:p>
      <w:pPr>
        <w:pStyle w:val="ListParagraph"/>
        <w:numPr>
          <w:ilvl w:val="0"/>
          <w:numId w:val="4"/>
        </w:numPr>
      </w:pPr>
      <w:r>
        <w:t xml:space="preserve">EMIS Business Plan (Policy and Strategy Initiatives CIC, ~128 pages, canonical business reference)</w:t>
      </w:r>
    </w:p>
    <w:p>
      <w:pPr>
        <w:pStyle w:val="Heading3"/>
      </w:pPr>
      <w:r>
        <w:t xml:space="preserve">1.5 Overview</w:t>
      </w:r>
    </w:p>
    <w:p>
      <w:pPr/>
      <w:r>
        <w:t xml:space="preserve">Section 2 describes The Principal at a product level — its position in the FiSH+ER ecosystem, its user classes, and its constraints. Section 3 states functional requirements module by module. Section 4 covers data requirements, including TPI/SPI and event contracts. Section 5 covers external interfaces. Section 6 covers non-functional requirements. Section 7 holds supporting appendices.</w:t>
      </w:r>
    </w:p>
    <w:p>
      <w:pPr>
        <w:pStyle w:val="Heading2"/>
      </w:pPr>
      <w:r>
        <w:t xml:space="preserve">2. Overall Description</w:t>
      </w:r>
    </w:p>
    <w:p>
      <w:pPr>
        <w:pStyle w:val="Heading3"/>
      </w:pPr>
      <w:r>
        <w:t xml:space="preserve">2.1 Product Perspective</w:t>
      </w:r>
    </w:p>
    <w:p>
      <w:pPr/>
      <w:r>
        <w:t xml:space="preserve">The Principal is not a standalone application; it is the school-domain product inside the FiSH+ER ecosystem:</w:t>
      </w:r>
    </w:p>
    <w:p>
      <w:pPr>
        <w:pStyle w:val="Code"/>
      </w:pPr>
      <w:bookmarkStart w:id="1" w:name="bongo_lang_mermaid_1"/>
      <w:bookmarkEnd w:id="1"/>
      <w:r>
        <w:t xml:space="preserve">flowchart TD</w:t>
        <w:br/>
        <w:t xml:space="preserve">  A[The Principal&lt;br/&gt;School Management UI] --&gt; B[SchoolSOP&lt;br/&gt;domain logic]</w:t>
        <w:br/>
        <w:t xml:space="preserve">  B --&gt; C[FiSH SOP&lt;br/&gt;event processor]</w:t>
        <w:br/>
        <w:t xml:space="preserve">  C --&gt; D[FiSH GL&lt;br/&gt;financial engine]</w:t>
        <w:br/>
        <w:t xml:space="preserve">  A --&gt; E[ER&lt;br/&gt;Admin · Operations · UX]</w:t>
      </w:r>
    </w:p>
    <w:p>
      <w:pPr/>
      <w:r>
        <w:t xml:space="preserve">The Principal owns school-operations data and UX; it never posts accounting entries directly — it emits domain events (Section 4.2) that FiSH SOP consumes and that FiSH GL turns into ledger postings. ER supplies shared identity, admin, and cross-product UX services The Principal builds on rather than reimplements.</w:t>
      </w:r>
    </w:p>
    <w:p>
      <w:pPr>
        <w:pStyle w:val="Heading3"/>
      </w:pPr>
      <w:r>
        <w:t xml:space="preserve">2.2 Product Functions (Summary)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Module</w:t>
            </w:r>
          </w:p>
        </w:tc>
        <w:tc>
          <w:tcPr>
            <w:tcW w:w="4680" w:type="dxa"/>
            <w:shd w:val="clear" w:color="auto" w:fill="F2F2F2"/>
          </w:tcPr>
          <w:p>
            <w:pPr/>
            <w:r>
              <w:t xml:space="preserve">Primary function</w:t>
            </w:r>
          </w:p>
        </w:tc>
      </w:tr>
      <w:tr>
        <w:tc>
          <w:tcPr>
            <w:tcW w:w="4680" w:type="dxa"/>
          </w:tcPr>
          <w:p>
            <w:pPr/>
            <w:r>
              <w:t xml:space="preserve">Admissions Office</w:t>
            </w:r>
          </w:p>
        </w:tc>
        <w:tc>
          <w:tcPr>
            <w:tcW w:w="4680" w:type="dxa"/>
          </w:tcPr>
          <w:p>
            <w:pPr/>
            <w:r>
              <w:t xml:space="preserve">Application intake through enrolment</w:t>
            </w:r>
          </w:p>
        </w:tc>
      </w:tr>
      <w:tr>
        <w:tc>
          <w:tcPr>
            <w:tcW w:w="4680" w:type="dxa"/>
          </w:tcPr>
          <w:p>
            <w:pPr/>
            <w:r>
              <w:t xml:space="preserve">Student Register</w:t>
            </w:r>
          </w:p>
        </w:tc>
        <w:tc>
          <w:tcPr>
            <w:tcW w:w="4680" w:type="dxa"/>
          </w:tcPr>
          <w:p>
            <w:pPr/>
            <w:r>
              <w:t xml:space="preserve">Canonical student records</w:t>
            </w:r>
          </w:p>
        </w:tc>
      </w:tr>
      <w:tr>
        <w:tc>
          <w:tcPr>
            <w:tcW w:w="4680" w:type="dxa"/>
          </w:tcPr>
          <w:p>
            <w:pPr/>
            <w:r>
              <w:t xml:space="preserve">Classroom Manager</w:t>
            </w:r>
          </w:p>
        </w:tc>
        <w:tc>
          <w:tcPr>
            <w:tcW w:w="4680" w:type="dxa"/>
          </w:tcPr>
          <w:p>
            <w:pPr/>
            <w:r>
              <w:t xml:space="preserve">Class, timetable and section administration</w:t>
            </w:r>
          </w:p>
        </w:tc>
      </w:tr>
      <w:tr>
        <w:tc>
          <w:tcPr>
            <w:tcW w:w="4680" w:type="dxa"/>
          </w:tcPr>
          <w:p>
            <w:pPr/>
            <w:r>
              <w:t xml:space="preserve">Attendance Officer</w:t>
            </w:r>
          </w:p>
        </w:tc>
        <w:tc>
          <w:tcPr>
            <w:tcW w:w="4680" w:type="dxa"/>
          </w:tcPr>
          <w:p>
            <w:pPr/>
            <w:r>
              <w:t xml:space="preserve">Daily attendance capture and monitoring</w:t>
            </w:r>
          </w:p>
        </w:tc>
      </w:tr>
      <w:tr>
        <w:tc>
          <w:tcPr>
            <w:tcW w:w="4680" w:type="dxa"/>
          </w:tcPr>
          <w:p>
            <w:pPr/>
            <w:r>
              <w:t xml:space="preserve">Assessment Hub</w:t>
            </w:r>
          </w:p>
        </w:tc>
        <w:tc>
          <w:tcPr>
            <w:tcW w:w="4680" w:type="dxa"/>
          </w:tcPr>
          <w:p>
            <w:pPr/>
            <w:r>
              <w:t xml:space="preserve">Grade entry, reporting, SPI computation</w:t>
            </w:r>
          </w:p>
        </w:tc>
      </w:tr>
      <w:tr>
        <w:tc>
          <w:tcPr>
            <w:tcW w:w="4680" w:type="dxa"/>
          </w:tcPr>
          <w:p>
            <w:pPr/>
            <w:r>
              <w:t xml:space="preserve">Fee Desk</w:t>
            </w:r>
          </w:p>
        </w:tc>
        <w:tc>
          <w:tcPr>
            <w:tcW w:w="4680" w:type="dxa"/>
          </w:tcPr>
          <w:p>
            <w:pPr/>
            <w:r>
              <w:t xml:space="preserve">Invoicing and fee-status tracking (postings via FiSH)</w:t>
            </w:r>
          </w:p>
        </w:tc>
      </w:tr>
      <w:tr>
        <w:tc>
          <w:tcPr>
            <w:tcW w:w="4680" w:type="dxa"/>
          </w:tcPr>
          <w:p>
            <w:pPr/>
            <w:r>
              <w:t xml:space="preserve">Parent Gateway</w:t>
            </w:r>
          </w:p>
        </w:tc>
        <w:tc>
          <w:tcPr>
            <w:tcW w:w="4680" w:type="dxa"/>
          </w:tcPr>
          <w:p>
            <w:pPr/>
            <w:r>
              <w:t xml:space="preserve">Parent-facing visibility into attendance, grades, fees</w:t>
            </w:r>
          </w:p>
        </w:tc>
      </w:tr>
      <w:tr>
        <w:tc>
          <w:tcPr>
            <w:tcW w:w="4680" w:type="dxa"/>
          </w:tcPr>
          <w:p>
            <w:pPr/>
            <w:r>
              <w:t xml:space="preserve">Compliance Centre</w:t>
            </w:r>
          </w:p>
        </w:tc>
        <w:tc>
          <w:tcPr>
            <w:tcW w:w="4680" w:type="dxa"/>
          </w:tcPr>
          <w:p>
            <w:pPr/>
            <w:r>
              <w:t xml:space="preserve">Regulatory/safeguarding alerts and audit trail</w:t>
            </w:r>
          </w:p>
        </w:tc>
      </w:tr>
    </w:tbl>
    <w:p>
      <w:pPr>
        <w:pStyle w:val="Heading3"/>
      </w:pPr>
      <w:r>
        <w:t xml:space="preserve">2.3 User Classes and Characteristics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User class</w:t>
            </w:r>
          </w:p>
        </w:tc>
        <w:tc>
          <w:tcPr>
            <w:tcW w:w="3120" w:type="dxa"/>
            <w:shd w:val="clear" w:color="auto" w:fill="F2F2F2"/>
          </w:tcPr>
          <w:p>
            <w:pPr/>
            <w:r>
              <w:t xml:space="preserve">Description</w:t>
            </w:r>
          </w:p>
        </w:tc>
        <w:tc>
          <w:tcPr>
            <w:tcW w:w="3120" w:type="dxa"/>
            <w:shd w:val="clear" w:color="auto" w:fill="F2F2F2"/>
          </w:tcPr>
          <w:p>
            <w:pPr/>
            <w:r>
              <w:t xml:space="preserve">Technical proficiency</w:t>
            </w:r>
          </w:p>
        </w:tc>
      </w:tr>
      <w:tr>
        <w:tc>
          <w:tcPr>
            <w:tcW w:w="3120" w:type="dxa"/>
          </w:tcPr>
          <w:p>
            <w:pPr/>
            <w:r>
              <w:t xml:space="preserve">School administrator / Principal</w:t>
            </w:r>
          </w:p>
        </w:tc>
        <w:tc>
          <w:tcPr>
            <w:tcW w:w="3120" w:type="dxa"/>
          </w:tcPr>
          <w:p>
            <w:pPr/>
            <w:r>
              <w:t xml:space="preserve">Full oversight of school operations, compliance, and dashboards</w:t>
            </w:r>
          </w:p>
        </w:tc>
        <w:tc>
          <w:tcPr>
            <w:tcW w:w="3120" w:type="dxa"/>
          </w:tcPr>
          <w:p>
            <w:pPr/>
            <w:r>
              <w:t xml:space="preserve">Moderate</w:t>
            </w:r>
          </w:p>
        </w:tc>
      </w:tr>
      <w:tr>
        <w:tc>
          <w:tcPr>
            <w:tcW w:w="3120" w:type="dxa"/>
          </w:tcPr>
          <w:p>
            <w:pPr/>
            <w:r>
              <w:t xml:space="preserve">Teacher</w:t>
            </w:r>
          </w:p>
        </w:tc>
        <w:tc>
          <w:tcPr>
            <w:tcW w:w="3120" w:type="dxa"/>
          </w:tcPr>
          <w:p>
            <w:pPr/>
            <w:r>
              <w:t xml:space="preserve">Marks attendance, enters grades, views class rosters</w:t>
            </w:r>
          </w:p>
        </w:tc>
        <w:tc>
          <w:tcPr>
            <w:tcW w:w="3120" w:type="dxa"/>
          </w:tcPr>
          <w:p>
            <w:pPr/>
            <w:r>
              <w:t xml:space="preserve">Low–moderate</w:t>
            </w:r>
          </w:p>
        </w:tc>
      </w:tr>
      <w:tr>
        <w:tc>
          <w:tcPr>
            <w:tcW w:w="3120" w:type="dxa"/>
          </w:tcPr>
          <w:p>
            <w:pPr/>
            <w:r>
              <w:t xml:space="preserve">Attendance Officer / Registrar</w:t>
            </w:r>
          </w:p>
        </w:tc>
        <w:tc>
          <w:tcPr>
            <w:tcW w:w="3120" w:type="dxa"/>
          </w:tcPr>
          <w:p>
            <w:pPr/>
            <w:r>
              <w:t xml:space="preserve">Reviews and corrects attendance records, manages Student Register</w:t>
            </w:r>
          </w:p>
        </w:tc>
        <w:tc>
          <w:tcPr>
            <w:tcW w:w="3120" w:type="dxa"/>
          </w:tcPr>
          <w:p>
            <w:pPr/>
            <w:r>
              <w:t xml:space="preserve">Moderate</w:t>
            </w:r>
          </w:p>
        </w:tc>
      </w:tr>
      <w:tr>
        <w:tc>
          <w:tcPr>
            <w:tcW w:w="3120" w:type="dxa"/>
          </w:tcPr>
          <w:p>
            <w:pPr/>
            <w:r>
              <w:t xml:space="preserve">Fee Desk staff</w:t>
            </w:r>
          </w:p>
        </w:tc>
        <w:tc>
          <w:tcPr>
            <w:tcW w:w="3120" w:type="dxa"/>
          </w:tcPr>
          <w:p>
            <w:pPr/>
            <w:r>
              <w:t xml:space="preserve">Generates invoices, reconciles payments</w:t>
            </w:r>
          </w:p>
        </w:tc>
        <w:tc>
          <w:tcPr>
            <w:tcW w:w="3120" w:type="dxa"/>
          </w:tcPr>
          <w:p>
            <w:pPr/>
            <w:r>
              <w:t xml:space="preserve">Moderate</w:t>
            </w:r>
          </w:p>
        </w:tc>
      </w:tr>
      <w:tr>
        <w:tc>
          <w:tcPr>
            <w:tcW w:w="3120" w:type="dxa"/>
          </w:tcPr>
          <w:p>
            <w:pPr/>
            <w:r>
              <w:t xml:space="preserve">Parent/Guardian</w:t>
            </w:r>
          </w:p>
        </w:tc>
        <w:tc>
          <w:tcPr>
            <w:tcW w:w="3120" w:type="dxa"/>
          </w:tcPr>
          <w:p>
            <w:pPr/>
            <w:r>
              <w:t xml:space="preserve">Views child's attendance, grades, fee status via Parent Gateway</w:t>
            </w:r>
          </w:p>
        </w:tc>
        <w:tc>
          <w:tcPr>
            <w:tcW w:w="3120" w:type="dxa"/>
          </w:tcPr>
          <w:p>
            <w:pPr/>
            <w:r>
              <w:t xml:space="preserve">Low, primarily mobile</w:t>
            </w:r>
          </w:p>
        </w:tc>
      </w:tr>
      <w:tr>
        <w:tc>
          <w:tcPr>
            <w:tcW w:w="3120" w:type="dxa"/>
          </w:tcPr>
          <w:p>
            <w:pPr/>
            <w:r>
              <w:t xml:space="preserve">Compliance/Safeguarding officer</w:t>
            </w:r>
          </w:p>
        </w:tc>
        <w:tc>
          <w:tcPr>
            <w:tcW w:w="3120" w:type="dxa"/>
          </w:tcPr>
          <w:p>
            <w:pPr/>
            <w:r>
              <w:t xml:space="preserve">Reviews restricted pastoral notes, audit logs, compliance alerts</w:t>
            </w:r>
          </w:p>
        </w:tc>
        <w:tc>
          <w:tcPr>
            <w:tcW w:w="3120" w:type="dxa"/>
          </w:tcPr>
          <w:p>
            <w:pPr/>
            <w:r>
              <w:t xml:space="preserve">Moderate, requires elevated access</w:t>
            </w:r>
          </w:p>
        </w:tc>
      </w:tr>
      <w:tr>
        <w:tc>
          <w:tcPr>
            <w:tcW w:w="3120" w:type="dxa"/>
          </w:tcPr>
          <w:p>
            <w:pPr/>
            <w:r>
              <w:t xml:space="preserve">Government/regulatory reviewer</w:t>
            </w:r>
          </w:p>
        </w:tc>
        <w:tc>
          <w:tcPr>
            <w:tcW w:w="3120" w:type="dxa"/>
          </w:tcPr>
          <w:p>
            <w:pPr/>
            <w:r>
              <w:t xml:space="preserve">Consumes census, attendance, and exam-format exports</w:t>
            </w:r>
          </w:p>
        </w:tc>
        <w:tc>
          <w:tcPr>
            <w:tcW w:w="3120" w:type="dxa"/>
          </w:tcPr>
          <w:p>
            <w:pPr/>
            <w:r>
              <w:t xml:space="preserve">Low, view-only</w:t>
            </w:r>
          </w:p>
        </w:tc>
      </w:tr>
    </w:tbl>
    <w:p>
      <w:pPr>
        <w:pStyle w:val="Heading3"/>
      </w:pPr>
      <w:r>
        <w:t xml:space="preserve">2.4 Operating Environment</w:t>
      </w:r>
    </w:p>
    <w:p>
      <w:pPr>
        <w:pStyle w:val="ListParagraph"/>
        <w:numPr>
          <w:ilvl w:val="0"/>
          <w:numId w:val="5"/>
        </w:numPr>
      </w:pPr>
      <w:r>
        <w:t xml:space="preserve">Deployed as a cloud-first SaaS platform on AWS infrastructure</w:t>
      </w:r>
    </w:p>
    <w:p>
      <w:pPr>
        <w:pStyle w:val="ListParagraph"/>
        <w:numPr>
          <w:ilvl w:val="0"/>
          <w:numId w:val="5"/>
        </w:numPr>
      </w:pPr>
      <w:r>
        <w:t xml:space="preserve">Mobile-first, with an offline-capable mode for classroom and field use where connectivity is intermittent</w:t>
      </w:r>
    </w:p>
    <w:p>
      <w:pPr>
        <w:pStyle w:val="ListParagraph"/>
        <w:numPr>
          <w:ilvl w:val="0"/>
          <w:numId w:val="5"/>
        </w:numPr>
      </w:pPr>
      <w:r>
        <w:t xml:space="preserve">Recommended UI stack: React + TypeScript for web; Flutter (optional) for mobile</w:t>
      </w:r>
    </w:p>
    <w:p>
      <w:pPr>
        <w:pStyle w:val="ListParagraph"/>
        <w:numPr>
          <w:ilvl w:val="0"/>
          <w:numId w:val="5"/>
        </w:numPr>
      </w:pPr>
      <w:r>
        <w:t xml:space="preserve">Targets both private-school and government-contract deployments across Nigeria</w:t>
      </w:r>
    </w:p>
    <w:p>
      <w:pPr>
        <w:pStyle w:val="Heading3"/>
      </w:pPr>
      <w:r>
        <w:t xml:space="preserve">2.5 Design and Implementation Constraints</w:t>
      </w:r>
    </w:p>
    <w:p>
      <w:pPr>
        <w:pStyle w:val="ListParagraph"/>
        <w:numPr>
          <w:ilvl w:val="0"/>
          <w:numId w:val="6"/>
        </w:numPr>
      </w:pPr>
      <w:r>
        <w:t xml:space="preserve">Must conform to the brand and UI/UX specifications already established for The Principal (Authority Blue / Academic Gold palette, Merriweather/Inter typography, WCAG 2.1 AA)</w:t>
      </w:r>
    </w:p>
    <w:p>
      <w:pPr>
        <w:pStyle w:val="ListParagraph"/>
        <w:numPr>
          <w:ilvl w:val="0"/>
          <w:numId w:val="6"/>
        </w:numPr>
      </w:pPr>
      <w:r>
        <w:t xml:space="preserve">Financial data must never be written directly by The Principal — all monetary state changes flow through FiSH SOP events to preserve FiSH as the single source of financial truth</w:t>
      </w:r>
    </w:p>
    <w:p>
      <w:pPr>
        <w:pStyle w:val="ListParagraph"/>
        <w:numPr>
          <w:ilvl w:val="0"/>
          <w:numId w:val="6"/>
        </w:numPr>
      </w:pPr>
      <w:r>
        <w:t xml:space="preserve">Attendance codes, census fields, and exam-result formats must match Nigerian government-mandated formats and cannot be freely redefined by schools</w:t>
      </w:r>
    </w:p>
    <w:p>
      <w:pPr>
        <w:pStyle w:val="ListParagraph"/>
        <w:numPr>
          <w:ilvl w:val="0"/>
          <w:numId w:val="6"/>
        </w:numPr>
      </w:pPr>
      <w:r>
        <w:t xml:space="preserve">Must support low-bandwidth and intermittent-connectivity conditions typical of Nigerian school environments</w:t>
      </w:r>
    </w:p>
    <w:p>
      <w:pPr>
        <w:pStyle w:val="Heading3"/>
      </w:pPr>
      <w:r>
        <w:t xml:space="preserve">2.6 Assumptions and Dependencies</w:t>
      </w:r>
    </w:p>
    <w:p>
      <w:pPr>
        <w:pStyle w:val="ListParagraph"/>
        <w:numPr>
          <w:ilvl w:val="0"/>
          <w:numId w:val="7"/>
        </w:numPr>
      </w:pPr>
      <w:r>
        <w:t xml:space="preserve">FiSH GL and FiSH SOP are available as backing services and their event contracts are stable at integration time</w:t>
      </w:r>
    </w:p>
    <w:p>
      <w:pPr>
        <w:pStyle w:val="ListParagraph"/>
        <w:numPr>
          <w:ilvl w:val="0"/>
          <w:numId w:val="7"/>
        </w:numPr>
      </w:pPr>
      <w:r>
        <w:t xml:space="preserve">ER provides authentication, role-based access control, and shared navigation chrome that The Principal consumes rather than builds</w:t>
      </w:r>
    </w:p>
    <w:p>
      <w:pPr>
        <w:pStyle w:val="ListParagraph"/>
        <w:numPr>
          <w:ilvl w:val="0"/>
          <w:numId w:val="7"/>
        </w:numPr>
      </w:pPr>
      <w:r>
        <w:t xml:space="preserve">The EMIS business plan's scaling targets (5,000 schools, 1,000,000 students by Year 3) inform capacity planning (Section 6.5) but are business, not functional, requirements</w:t>
      </w:r>
    </w:p>
    <w:p>
      <w:pPr>
        <w:pStyle w:val="Heading2"/>
      </w:pPr>
      <w:r>
        <w:t xml:space="preserve">3. System Features (Functional Requirements)</w:t>
      </w:r>
    </w:p>
    <w:p>
      <w:pPr/>
      <w:r>
        <w:t xml:space="preserve">Each subsection lists numbered, testable requirements (</w:t>
      </w:r>
      <w:r>
        <w:rPr>
          <w:rStyle w:val="CodeChar"/>
        </w:rPr>
        <w:t xml:space="preserve">FR-&lt;module&gt;-&lt;n&gt;</w:t>
      </w:r>
      <w:r>
        <w:t xml:space="preserve">) and a priority: </w:t>
      </w:r>
      <w:r>
        <w:rPr>
          <w:b/>
        </w:rPr>
        <w:t xml:space="preserve">M</w:t>
      </w:r>
      <w:r>
        <w:t xml:space="preserve"> = Must have, </w:t>
      </w:r>
      <w:r>
        <w:rPr>
          <w:b/>
        </w:rPr>
        <w:t xml:space="preserve">S</w:t>
      </w:r>
      <w:r>
        <w:t xml:space="preserve"> = Should have, </w:t>
      </w:r>
      <w:r>
        <w:rPr>
          <w:b/>
        </w:rPr>
        <w:t xml:space="preserve">C</w:t>
      </w:r>
      <w:r>
        <w:t xml:space="preserve"> = Could have (MoSCoW).</w:t>
      </w:r>
    </w:p>
    <w:p>
      <w:pPr>
        <w:pStyle w:val="Heading3"/>
      </w:pPr>
      <w:r>
        <w:t xml:space="preserve">3.1 Admissions Office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Priority</w:t>
            </w:r>
          </w:p>
        </w:tc>
      </w:tr>
      <w:tr>
        <w:tc>
          <w:tcPr>
            <w:tcW w:w="3120" w:type="dxa"/>
          </w:tcPr>
          <w:p>
            <w:pPr/>
            <w:r>
              <w:t xml:space="preserve">FR-ADM-1</w:t>
            </w:r>
          </w:p>
        </w:tc>
        <w:tc>
          <w:tcPr>
            <w:tcW w:w="3120" w:type="dxa"/>
          </w:tcPr>
          <w:p>
            <w:pPr/>
            <w:r>
              <w:t xml:space="preserve">System shall allow staff to create and track an application record through defined stages (Submitted → Under Review → Offered → Accepted → Enrolled)</w:t>
            </w:r>
          </w:p>
        </w:tc>
        <w:tc>
          <w:tcPr>
            <w:tcW w:w="3120" w:type="dxa"/>
          </w:tcPr>
          <w:p>
            <w:pPr/>
            <w:r>
              <w:t xml:space="preserve">M</w:t>
            </w:r>
          </w:p>
        </w:tc>
      </w:tr>
      <w:tr>
        <w:tc>
          <w:tcPr>
            <w:tcW w:w="3120" w:type="dxa"/>
          </w:tcPr>
          <w:p>
            <w:pPr/>
            <w:r>
              <w:t xml:space="preserve">FR-ADM-2</w:t>
            </w:r>
          </w:p>
        </w:tc>
        <w:tc>
          <w:tcPr>
            <w:tcW w:w="3120" w:type="dxa"/>
          </w:tcPr>
          <w:p>
            <w:pPr/>
            <w:r>
              <w:t xml:space="preserve">System shall support document upload and review against an admissions checklist</w:t>
            </w:r>
          </w:p>
        </w:tc>
        <w:tc>
          <w:tcPr>
            <w:tcW w:w="3120" w:type="dxa"/>
          </w:tcPr>
          <w:p>
            <w:pPr/>
            <w:r>
              <w:t xml:space="preserve">M</w:t>
            </w:r>
          </w:p>
        </w:tc>
      </w:tr>
      <w:tr>
        <w:tc>
          <w:tcPr>
            <w:tcW w:w="3120" w:type="dxa"/>
          </w:tcPr>
          <w:p>
            <w:pPr/>
            <w:r>
              <w:t xml:space="preserve">FR-ADM-3</w:t>
            </w:r>
          </w:p>
        </w:tc>
        <w:tc>
          <w:tcPr>
            <w:tcW w:w="3120" w:type="dxa"/>
          </w:tcPr>
          <w:p>
            <w:pPr/>
            <w:r>
              <w:t xml:space="preserve">System shall generate offer letters and accept/decline responses from guardians</w:t>
            </w:r>
          </w:p>
        </w:tc>
        <w:tc>
          <w:tcPr>
            <w:tcW w:w="3120" w:type="dxa"/>
          </w:tcPr>
          <w:p>
            <w:pPr/>
            <w:r>
              <w:t xml:space="preserve">S</w:t>
            </w:r>
          </w:p>
        </w:tc>
      </w:tr>
      <w:tr>
        <w:tc>
          <w:tcPr>
            <w:tcW w:w="3120" w:type="dxa"/>
          </w:tcPr>
          <w:p>
            <w:pPr/>
            <w:r>
              <w:t xml:space="preserve">FR-ADM-4</w:t>
            </w:r>
          </w:p>
        </w:tc>
        <w:tc>
          <w:tcPr>
            <w:tcW w:w="3120" w:type="dxa"/>
          </w:tcPr>
          <w:p>
            <w:pPr/>
            <w:r>
              <w:t xml:space="preserve">On enrolment, system shall emit a </w:t>
            </w:r>
            <w:r>
              <w:rPr>
                <w:rStyle w:val="CodeChar"/>
              </w:rPr>
              <w:t xml:space="preserve">StudentEnrolled</w:t>
            </w:r>
            <w:r>
              <w:t xml:space="preserve"> event to FiSH SOP (Section 4.2)</w:t>
            </w:r>
          </w:p>
        </w:tc>
        <w:tc>
          <w:tcPr>
            <w:tcW w:w="3120" w:type="dxa"/>
          </w:tcPr>
          <w:p>
            <w:pPr/>
            <w:r>
              <w:t xml:space="preserve">M</w:t>
            </w:r>
          </w:p>
        </w:tc>
      </w:tr>
      <w:tr>
        <w:tc>
          <w:tcPr>
            <w:tcW w:w="3120" w:type="dxa"/>
          </w:tcPr>
          <w:p>
            <w:pPr/>
            <w:r>
              <w:t xml:space="preserve">FR-ADM-5</w:t>
            </w:r>
          </w:p>
        </w:tc>
        <w:tc>
          <w:tcPr>
            <w:tcW w:w="3120" w:type="dxa"/>
          </w:tcPr>
          <w:p>
            <w:pPr/>
            <w:r>
              <w:t xml:space="preserve">System shall prevent duplicate enrolment of the same student within one academic year</w:t>
            </w:r>
          </w:p>
        </w:tc>
        <w:tc>
          <w:tcPr>
            <w:tcW w:w="3120" w:type="dxa"/>
          </w:tcPr>
          <w:p>
            <w:pPr/>
            <w:r>
              <w:t xml:space="preserve">M</w:t>
            </w:r>
          </w:p>
        </w:tc>
      </w:tr>
    </w:tbl>
    <w:p>
      <w:pPr>
        <w:pStyle w:val="Heading3"/>
      </w:pPr>
      <w:r>
        <w:t xml:space="preserve">3.2 Student Register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Priority</w:t>
            </w:r>
          </w:p>
        </w:tc>
      </w:tr>
      <w:tr>
        <w:tc>
          <w:tcPr>
            <w:tcW w:w="3120" w:type="dxa"/>
          </w:tcPr>
          <w:p>
            <w:pPr/>
            <w:r>
              <w:t xml:space="preserve">FR-REG-1</w:t>
            </w:r>
          </w:p>
        </w:tc>
        <w:tc>
          <w:tcPr>
            <w:tcW w:w="3120" w:type="dxa"/>
          </w:tcPr>
          <w:p>
            <w:pPr/>
            <w:r>
              <w:t xml:space="preserve">System shall maintain a canonical student profile (bio-data, guardian contacts, class assignment, medical/safeguarding flags)</w:t>
            </w:r>
          </w:p>
        </w:tc>
        <w:tc>
          <w:tcPr>
            <w:tcW w:w="3120" w:type="dxa"/>
          </w:tcPr>
          <w:p>
            <w:pPr/>
            <w:r>
              <w:t xml:space="preserve">M</w:t>
            </w:r>
          </w:p>
        </w:tc>
      </w:tr>
      <w:tr>
        <w:tc>
          <w:tcPr>
            <w:tcW w:w="3120" w:type="dxa"/>
          </w:tcPr>
          <w:p>
            <w:pPr/>
            <w:r>
              <w:t xml:space="preserve">FR-REG-2</w:t>
            </w:r>
          </w:p>
        </w:tc>
        <w:tc>
          <w:tcPr>
            <w:tcW w:w="3120" w:type="dxa"/>
          </w:tcPr>
          <w:p>
            <w:pPr/>
            <w:r>
              <w:t xml:space="preserve">System shall version student profile changes with an audit trail (who changed what, when)</w:t>
            </w:r>
          </w:p>
        </w:tc>
        <w:tc>
          <w:tcPr>
            <w:tcW w:w="3120" w:type="dxa"/>
          </w:tcPr>
          <w:p>
            <w:pPr/>
            <w:r>
              <w:t xml:space="preserve">M</w:t>
            </w:r>
          </w:p>
        </w:tc>
      </w:tr>
      <w:tr>
        <w:tc>
          <w:tcPr>
            <w:tcW w:w="3120" w:type="dxa"/>
          </w:tcPr>
          <w:p>
            <w:pPr/>
            <w:r>
              <w:t xml:space="preserve">FR-REG-3</w:t>
            </w:r>
          </w:p>
        </w:tc>
        <w:tc>
          <w:tcPr>
            <w:tcW w:w="3120" w:type="dxa"/>
          </w:tcPr>
          <w:p>
            <w:pPr/>
            <w:r>
              <w:t xml:space="preserve">System shall support bulk import/export of student records (CSV) for onboarding and government census submission</w:t>
            </w:r>
          </w:p>
        </w:tc>
        <w:tc>
          <w:tcPr>
            <w:tcW w:w="3120" w:type="dxa"/>
          </w:tcPr>
          <w:p>
            <w:pPr/>
            <w:r>
              <w:t xml:space="preserve">S</w:t>
            </w:r>
          </w:p>
        </w:tc>
      </w:tr>
      <w:tr>
        <w:tc>
          <w:tcPr>
            <w:tcW w:w="3120" w:type="dxa"/>
          </w:tcPr>
          <w:p>
            <w:pPr/>
            <w:r>
              <w:t xml:space="preserve">FR-REG-4</w:t>
            </w:r>
          </w:p>
        </w:tc>
        <w:tc>
          <w:tcPr>
            <w:tcW w:w="3120" w:type="dxa"/>
          </w:tcPr>
          <w:p>
            <w:pPr/>
            <w:r>
              <w:t xml:space="preserve">System shall restrict visibility of safeguarding-flagged fields to authorised roles only</w:t>
            </w:r>
          </w:p>
        </w:tc>
        <w:tc>
          <w:tcPr>
            <w:tcW w:w="3120" w:type="dxa"/>
          </w:tcPr>
          <w:p>
            <w:pPr/>
            <w:r>
              <w:t xml:space="preserve">M</w:t>
            </w:r>
          </w:p>
        </w:tc>
      </w:tr>
    </w:tbl>
    <w:p>
      <w:pPr>
        <w:pStyle w:val="Heading3"/>
      </w:pPr>
      <w:r>
        <w:t xml:space="preserve">3.3 Classroom Manager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Priority</w:t>
            </w:r>
          </w:p>
        </w:tc>
      </w:tr>
      <w:tr>
        <w:tc>
          <w:tcPr>
            <w:tcW w:w="3120" w:type="dxa"/>
          </w:tcPr>
          <w:p>
            <w:pPr/>
            <w:r>
              <w:t xml:space="preserve">FR-CLS-1</w:t>
            </w:r>
          </w:p>
        </w:tc>
        <w:tc>
          <w:tcPr>
            <w:tcW w:w="3120" w:type="dxa"/>
          </w:tcPr>
          <w:p>
            <w:pPr/>
            <w:r>
              <w:t xml:space="preserve">System shall allow creation and maintenance of classes, sections, and timetables</w:t>
            </w:r>
          </w:p>
        </w:tc>
        <w:tc>
          <w:tcPr>
            <w:tcW w:w="3120" w:type="dxa"/>
          </w:tcPr>
          <w:p>
            <w:pPr/>
            <w:r>
              <w:t xml:space="preserve">M</w:t>
            </w:r>
          </w:p>
        </w:tc>
      </w:tr>
      <w:tr>
        <w:tc>
          <w:tcPr>
            <w:tcW w:w="3120" w:type="dxa"/>
          </w:tcPr>
          <w:p>
            <w:pPr/>
            <w:r>
              <w:t xml:space="preserve">FR-CLS-2</w:t>
            </w:r>
          </w:p>
        </w:tc>
        <w:tc>
          <w:tcPr>
            <w:tcW w:w="3120" w:type="dxa"/>
          </w:tcPr>
          <w:p>
            <w:pPr/>
            <w:r>
              <w:t xml:space="preserve">System shall assign teachers to classes/subjects and detect timetable conflicts</w:t>
            </w:r>
          </w:p>
        </w:tc>
        <w:tc>
          <w:tcPr>
            <w:tcW w:w="3120" w:type="dxa"/>
          </w:tcPr>
          <w:p>
            <w:pPr/>
            <w:r>
              <w:t xml:space="preserve">M</w:t>
            </w:r>
          </w:p>
        </w:tc>
      </w:tr>
      <w:tr>
        <w:tc>
          <w:tcPr>
            <w:tcW w:w="3120" w:type="dxa"/>
          </w:tcPr>
          <w:p>
            <w:pPr/>
            <w:r>
              <w:t xml:space="preserve">FR-CLS-3</w:t>
            </w:r>
          </w:p>
        </w:tc>
        <w:tc>
          <w:tcPr>
            <w:tcW w:w="3120" w:type="dxa"/>
          </w:tcPr>
          <w:p>
            <w:pPr/>
            <w:r>
              <w:t xml:space="preserve">System shall support mid-year class transfers with history retained</w:t>
            </w:r>
          </w:p>
        </w:tc>
        <w:tc>
          <w:tcPr>
            <w:tcW w:w="3120" w:type="dxa"/>
          </w:tcPr>
          <w:p>
            <w:pPr/>
            <w:r>
              <w:t xml:space="preserve">S</w:t>
            </w:r>
          </w:p>
        </w:tc>
      </w:tr>
    </w:tbl>
    <w:p>
      <w:pPr>
        <w:pStyle w:val="Heading3"/>
      </w:pPr>
      <w:r>
        <w:t xml:space="preserve">3.4 Attendance Officer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Priority</w:t>
            </w:r>
          </w:p>
        </w:tc>
      </w:tr>
      <w:tr>
        <w:tc>
          <w:tcPr>
            <w:tcW w:w="3120" w:type="dxa"/>
          </w:tcPr>
          <w:p>
            <w:pPr/>
            <w:r>
              <w:t xml:space="preserve">FR-ATT-1</w:t>
            </w:r>
          </w:p>
        </w:tc>
        <w:tc>
          <w:tcPr>
            <w:tcW w:w="3120" w:type="dxa"/>
          </w:tcPr>
          <w:p>
            <w:pPr/>
            <w:r>
              <w:t xml:space="preserve">Teachers shall be able to mark present/absent/late for each student in a class session</w:t>
            </w:r>
          </w:p>
        </w:tc>
        <w:tc>
          <w:tcPr>
            <w:tcW w:w="3120" w:type="dxa"/>
          </w:tcPr>
          <w:p>
            <w:pPr/>
            <w:r>
              <w:t xml:space="preserve">M</w:t>
            </w:r>
          </w:p>
        </w:tc>
      </w:tr>
      <w:tr>
        <w:tc>
          <w:tcPr>
            <w:tcW w:w="3120" w:type="dxa"/>
          </w:tcPr>
          <w:p>
            <w:pPr/>
            <w:r>
              <w:t xml:space="preserve">FR-ATT-2</w:t>
            </w:r>
          </w:p>
        </w:tc>
        <w:tc>
          <w:tcPr>
            <w:tcW w:w="3120" w:type="dxa"/>
          </w:tcPr>
          <w:p>
            <w:pPr/>
            <w:r>
              <w:t xml:space="preserve">System shall support offline attendance capture with automatic sync on reconnect</w:t>
            </w:r>
          </w:p>
        </w:tc>
        <w:tc>
          <w:tcPr>
            <w:tcW w:w="3120" w:type="dxa"/>
          </w:tcPr>
          <w:p>
            <w:pPr/>
            <w:r>
              <w:t xml:space="preserve">M</w:t>
            </w:r>
          </w:p>
        </w:tc>
      </w:tr>
      <w:tr>
        <w:tc>
          <w:tcPr>
            <w:tcW w:w="3120" w:type="dxa"/>
          </w:tcPr>
          <w:p>
            <w:pPr/>
            <w:r>
              <w:t xml:space="preserve">FR-ATT-3</w:t>
            </w:r>
          </w:p>
        </w:tc>
        <w:tc>
          <w:tcPr>
            <w:tcW w:w="3120" w:type="dxa"/>
          </w:tcPr>
          <w:p>
            <w:pPr/>
            <w:r>
              <w:t xml:space="preserve">System shall use government-mandated attendance codes and reject non-conforming codes</w:t>
            </w:r>
          </w:p>
        </w:tc>
        <w:tc>
          <w:tcPr>
            <w:tcW w:w="3120" w:type="dxa"/>
          </w:tcPr>
          <w:p>
            <w:pPr/>
            <w:r>
              <w:t xml:space="preserve">M</w:t>
            </w:r>
          </w:p>
        </w:tc>
      </w:tr>
      <w:tr>
        <w:tc>
          <w:tcPr>
            <w:tcW w:w="3120" w:type="dxa"/>
          </w:tcPr>
          <w:p>
            <w:pPr/>
            <w:r>
              <w:t xml:space="preserve">FR-ATT-4</w:t>
            </w:r>
          </w:p>
        </w:tc>
        <w:tc>
          <w:tcPr>
            <w:tcW w:w="3120" w:type="dxa"/>
          </w:tcPr>
          <w:p>
            <w:pPr/>
            <w:r>
              <w:t xml:space="preserve">On submission, system shall emit an </w:t>
            </w:r>
            <w:r>
              <w:rPr>
                <w:rStyle w:val="CodeChar"/>
              </w:rPr>
              <w:t xml:space="preserve">AttendanceRecorded</w:t>
            </w:r>
            <w:r>
              <w:t xml:space="preserve"> event to FiSH SOP</w:t>
            </w:r>
          </w:p>
        </w:tc>
        <w:tc>
          <w:tcPr>
            <w:tcW w:w="3120" w:type="dxa"/>
          </w:tcPr>
          <w:p>
            <w:pPr/>
            <w:r>
              <w:t xml:space="preserve">M</w:t>
            </w:r>
          </w:p>
        </w:tc>
      </w:tr>
      <w:tr>
        <w:tc>
          <w:tcPr>
            <w:tcW w:w="3120" w:type="dxa"/>
          </w:tcPr>
          <w:p>
            <w:pPr/>
            <w:r>
              <w:t xml:space="preserve">FR-ATT-5</w:t>
            </w:r>
          </w:p>
        </w:tc>
        <w:tc>
          <w:tcPr>
            <w:tcW w:w="3120" w:type="dxa"/>
          </w:tcPr>
          <w:p>
            <w:pPr/>
            <w:r>
              <w:t xml:space="preserve">System shall surface attendance-pattern alerts (e.g., consecutive absences) to the Compliance Centre</w:t>
            </w:r>
          </w:p>
        </w:tc>
        <w:tc>
          <w:tcPr>
            <w:tcW w:w="3120" w:type="dxa"/>
          </w:tcPr>
          <w:p>
            <w:pPr/>
            <w:r>
              <w:t xml:space="preserve">S</w:t>
            </w:r>
          </w:p>
        </w:tc>
      </w:tr>
    </w:tbl>
    <w:p>
      <w:pPr>
        <w:pStyle w:val="Heading3"/>
      </w:pPr>
      <w:r>
        <w:t xml:space="preserve">3.5 Assessment Hub</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Priority</w:t>
            </w:r>
          </w:p>
        </w:tc>
      </w:tr>
      <w:tr>
        <w:tc>
          <w:tcPr>
            <w:tcW w:w="3120" w:type="dxa"/>
          </w:tcPr>
          <w:p>
            <w:pPr/>
            <w:r>
              <w:t xml:space="preserve">FR-ASS-1</w:t>
            </w:r>
          </w:p>
        </w:tc>
        <w:tc>
          <w:tcPr>
            <w:tcW w:w="3120" w:type="dxa"/>
          </w:tcPr>
          <w:p>
            <w:pPr/>
            <w:r>
              <w:t xml:space="preserve">Teachers shall be able to enter grades per student per subject against a defined assessment structure</w:t>
            </w:r>
          </w:p>
        </w:tc>
        <w:tc>
          <w:tcPr>
            <w:tcW w:w="3120" w:type="dxa"/>
          </w:tcPr>
          <w:p>
            <w:pPr/>
            <w:r>
              <w:t xml:space="preserve">M</w:t>
            </w:r>
          </w:p>
        </w:tc>
      </w:tr>
      <w:tr>
        <w:tc>
          <w:tcPr>
            <w:tcW w:w="3120" w:type="dxa"/>
          </w:tcPr>
          <w:p>
            <w:pPr/>
            <w:r>
              <w:t xml:space="preserve">FR-ASS-2</w:t>
            </w:r>
          </w:p>
        </w:tc>
        <w:tc>
          <w:tcPr>
            <w:tcW w:w="3120" w:type="dxa"/>
          </w:tcPr>
          <w:p>
            <w:pPr/>
            <w:r>
              <w:t xml:space="preserve">System shall compute and display the Student Productivity Index (SPI) per student per term (Section 4.1)</w:t>
            </w:r>
          </w:p>
        </w:tc>
        <w:tc>
          <w:tcPr>
            <w:tcW w:w="3120" w:type="dxa"/>
          </w:tcPr>
          <w:p>
            <w:pPr/>
            <w:r>
              <w:t xml:space="preserve">M</w:t>
            </w:r>
          </w:p>
        </w:tc>
      </w:tr>
      <w:tr>
        <w:tc>
          <w:tcPr>
            <w:tcW w:w="3120" w:type="dxa"/>
          </w:tcPr>
          <w:p>
            <w:pPr/>
            <w:r>
              <w:t xml:space="preserve">FR-ASS-3</w:t>
            </w:r>
          </w:p>
        </w:tc>
        <w:tc>
          <w:tcPr>
            <w:tcW w:w="3120" w:type="dxa"/>
          </w:tcPr>
          <w:p>
            <w:pPr/>
            <w:r>
              <w:t xml:space="preserve">System shall compute and display the Teacher Productivity Index (TPI) per teacher per term (Section 4.1)</w:t>
            </w:r>
          </w:p>
        </w:tc>
        <w:tc>
          <w:tcPr>
            <w:tcW w:w="3120" w:type="dxa"/>
          </w:tcPr>
          <w:p>
            <w:pPr/>
            <w:r>
              <w:t xml:space="preserve">M</w:t>
            </w:r>
          </w:p>
        </w:tc>
      </w:tr>
      <w:tr>
        <w:tc>
          <w:tcPr>
            <w:tcW w:w="3120" w:type="dxa"/>
          </w:tcPr>
          <w:p>
            <w:pPr/>
            <w:r>
              <w:t xml:space="preserve">FR-ASS-4</w:t>
            </w:r>
          </w:p>
        </w:tc>
        <w:tc>
          <w:tcPr>
            <w:tcW w:w="3120" w:type="dxa"/>
          </w:tcPr>
          <w:p>
            <w:pPr/>
            <w:r>
              <w:t xml:space="preserve">System shall publish report cards to Parent Gateway on release approval</w:t>
            </w:r>
          </w:p>
        </w:tc>
        <w:tc>
          <w:tcPr>
            <w:tcW w:w="3120" w:type="dxa"/>
          </w:tcPr>
          <w:p>
            <w:pPr/>
            <w:r>
              <w:t xml:space="preserve">M</w:t>
            </w:r>
          </w:p>
        </w:tc>
      </w:tr>
      <w:tr>
        <w:tc>
          <w:tcPr>
            <w:tcW w:w="3120" w:type="dxa"/>
          </w:tcPr>
          <w:p>
            <w:pPr/>
            <w:r>
              <w:t xml:space="preserve">FR-ASS-5</w:t>
            </w:r>
          </w:p>
        </w:tc>
        <w:tc>
          <w:tcPr>
            <w:tcW w:w="3120" w:type="dxa"/>
          </w:tcPr>
          <w:p>
            <w:pPr/>
            <w:r>
              <w:t xml:space="preserve">On publication, system shall emit an </w:t>
            </w:r>
            <w:r>
              <w:rPr>
                <w:rStyle w:val="CodeChar"/>
              </w:rPr>
              <w:t xml:space="preserve">AssessmentCompleted</w:t>
            </w:r>
            <w:r>
              <w:t xml:space="preserve"> event to FiSH SOP</w:t>
            </w:r>
          </w:p>
        </w:tc>
        <w:tc>
          <w:tcPr>
            <w:tcW w:w="3120" w:type="dxa"/>
          </w:tcPr>
          <w:p>
            <w:pPr/>
            <w:r>
              <w:t xml:space="preserve">M</w:t>
            </w:r>
          </w:p>
        </w:tc>
      </w:tr>
      <w:tr>
        <w:tc>
          <w:tcPr>
            <w:tcW w:w="3120" w:type="dxa"/>
          </w:tcPr>
          <w:p>
            <w:pPr/>
            <w:r>
              <w:t xml:space="preserve">FR-ASS-6</w:t>
            </w:r>
          </w:p>
        </w:tc>
        <w:tc>
          <w:tcPr>
            <w:tcW w:w="3120" w:type="dxa"/>
          </w:tcPr>
          <w:p>
            <w:pPr/>
            <w:r>
              <w:t xml:space="preserve">Exam result formats shall be locked to government-mandated structures where applicable</w:t>
            </w:r>
          </w:p>
        </w:tc>
        <w:tc>
          <w:tcPr>
            <w:tcW w:w="3120" w:type="dxa"/>
          </w:tcPr>
          <w:p>
            <w:pPr/>
            <w:r>
              <w:t xml:space="preserve">M</w:t>
            </w:r>
          </w:p>
        </w:tc>
      </w:tr>
    </w:tbl>
    <w:p>
      <w:pPr>
        <w:pStyle w:val="Heading3"/>
      </w:pPr>
      <w:r>
        <w:t xml:space="preserve">3.6 Fee Desk</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Priority</w:t>
            </w:r>
          </w:p>
        </w:tc>
      </w:tr>
      <w:tr>
        <w:tc>
          <w:tcPr>
            <w:tcW w:w="3120" w:type="dxa"/>
          </w:tcPr>
          <w:p>
            <w:pPr/>
            <w:r>
              <w:t xml:space="preserve">FR-FEE-1</w:t>
            </w:r>
          </w:p>
        </w:tc>
        <w:tc>
          <w:tcPr>
            <w:tcW w:w="3120" w:type="dxa"/>
          </w:tcPr>
          <w:p>
            <w:pPr/>
            <w:r>
              <w:t xml:space="preserve">Staff shall be able to generate invoices per student per billing cycle from a configurable fee schedule</w:t>
            </w:r>
          </w:p>
        </w:tc>
        <w:tc>
          <w:tcPr>
            <w:tcW w:w="3120" w:type="dxa"/>
          </w:tcPr>
          <w:p>
            <w:pPr/>
            <w:r>
              <w:t xml:space="preserve">M</w:t>
            </w:r>
          </w:p>
        </w:tc>
      </w:tr>
      <w:tr>
        <w:tc>
          <w:tcPr>
            <w:tcW w:w="3120" w:type="dxa"/>
          </w:tcPr>
          <w:p>
            <w:pPr/>
            <w:r>
              <w:t xml:space="preserve">FR-FEE-2</w:t>
            </w:r>
          </w:p>
        </w:tc>
        <w:tc>
          <w:tcPr>
            <w:tcW w:w="3120" w:type="dxa"/>
          </w:tcPr>
          <w:p>
            <w:pPr/>
            <w:r>
              <w:t xml:space="preserve">Guardians shall be able to pay fees via Parent Gateway</w:t>
            </w:r>
          </w:p>
        </w:tc>
        <w:tc>
          <w:tcPr>
            <w:tcW w:w="3120" w:type="dxa"/>
          </w:tcPr>
          <w:p>
            <w:pPr/>
            <w:r>
              <w:t xml:space="preserve">M</w:t>
            </w:r>
          </w:p>
        </w:tc>
      </w:tr>
      <w:tr>
        <w:tc>
          <w:tcPr>
            <w:tcW w:w="3120" w:type="dxa"/>
          </w:tcPr>
          <w:p>
            <w:pPr/>
            <w:r>
              <w:t xml:space="preserve">FR-FEE-3</w:t>
            </w:r>
          </w:p>
        </w:tc>
        <w:tc>
          <w:tcPr>
            <w:tcW w:w="3120" w:type="dxa"/>
          </w:tcPr>
          <w:p>
            <w:pPr/>
            <w:r>
              <w:t xml:space="preserve">On payment confirmation, system shall emit a </w:t>
            </w:r>
            <w:r>
              <w:rPr>
                <w:rStyle w:val="CodeChar"/>
              </w:rPr>
              <w:t xml:space="preserve">StudentPaymentReceived</w:t>
            </w:r>
            <w:r>
              <w:t xml:space="preserve"> event to FiSH SOP for GL posting</w:t>
            </w:r>
          </w:p>
        </w:tc>
        <w:tc>
          <w:tcPr>
            <w:tcW w:w="3120" w:type="dxa"/>
          </w:tcPr>
          <w:p>
            <w:pPr/>
            <w:r>
              <w:t xml:space="preserve">M</w:t>
            </w:r>
          </w:p>
        </w:tc>
      </w:tr>
      <w:tr>
        <w:tc>
          <w:tcPr>
            <w:tcW w:w="3120" w:type="dxa"/>
          </w:tcPr>
          <w:p>
            <w:pPr/>
            <w:r>
              <w:t xml:space="preserve">FR-FEE-4</w:t>
            </w:r>
          </w:p>
        </w:tc>
        <w:tc>
          <w:tcPr>
            <w:tcW w:w="3120" w:type="dxa"/>
          </w:tcPr>
          <w:p>
            <w:pPr/>
            <w:r>
              <w:t xml:space="preserve">System shall never write GL entries directly; all financial postings occur exclusively via FiSH</w:t>
            </w:r>
          </w:p>
        </w:tc>
        <w:tc>
          <w:tcPr>
            <w:tcW w:w="3120" w:type="dxa"/>
          </w:tcPr>
          <w:p>
            <w:pPr/>
            <w:r>
              <w:t xml:space="preserve">M</w:t>
            </w:r>
          </w:p>
        </w:tc>
      </w:tr>
      <w:tr>
        <w:tc>
          <w:tcPr>
            <w:tcW w:w="3120" w:type="dxa"/>
          </w:tcPr>
          <w:p>
            <w:pPr/>
            <w:r>
              <w:t xml:space="preserve">FR-FEE-5</w:t>
            </w:r>
          </w:p>
        </w:tc>
        <w:tc>
          <w:tcPr>
            <w:tcW w:w="3120" w:type="dxa"/>
          </w:tcPr>
          <w:p>
            <w:pPr/>
            <w:r>
              <w:t xml:space="preserve">System shall display real-time fee-outstanding status per student on the dashboard</w:t>
            </w:r>
          </w:p>
        </w:tc>
        <w:tc>
          <w:tcPr>
            <w:tcW w:w="3120" w:type="dxa"/>
          </w:tcPr>
          <w:p>
            <w:pPr/>
            <w:r>
              <w:t xml:space="preserve">S</w:t>
            </w:r>
          </w:p>
        </w:tc>
      </w:tr>
    </w:tbl>
    <w:p>
      <w:pPr>
        <w:pStyle w:val="Heading3"/>
      </w:pPr>
      <w:r>
        <w:t xml:space="preserve">3.7 Parent Gateway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Priority</w:t>
            </w:r>
          </w:p>
        </w:tc>
      </w:tr>
      <w:tr>
        <w:tc>
          <w:tcPr>
            <w:tcW w:w="3120" w:type="dxa"/>
          </w:tcPr>
          <w:p>
            <w:pPr/>
            <w:r>
              <w:t xml:space="preserve">FR-PAR-1</w:t>
            </w:r>
          </w:p>
        </w:tc>
        <w:tc>
          <w:tcPr>
            <w:tcW w:w="3120" w:type="dxa"/>
          </w:tcPr>
          <w:p>
            <w:pPr/>
            <w:r>
              <w:t xml:space="preserve">Guardians shall view their child(ren)'s attendance, grades/SPI, and fee status</w:t>
            </w:r>
          </w:p>
        </w:tc>
        <w:tc>
          <w:tcPr>
            <w:tcW w:w="3120" w:type="dxa"/>
          </w:tcPr>
          <w:p>
            <w:pPr/>
            <w:r>
              <w:t xml:space="preserve">M</w:t>
            </w:r>
          </w:p>
        </w:tc>
      </w:tr>
      <w:tr>
        <w:tc>
          <w:tcPr>
            <w:tcW w:w="3120" w:type="dxa"/>
          </w:tcPr>
          <w:p>
            <w:pPr/>
            <w:r>
              <w:t xml:space="preserve">FR-PAR-2</w:t>
            </w:r>
          </w:p>
        </w:tc>
        <w:tc>
          <w:tcPr>
            <w:tcW w:w="3120" w:type="dxa"/>
          </w:tcPr>
          <w:p>
            <w:pPr/>
            <w:r>
              <w:t xml:space="preserve">Guardians shall receive notifications for attendance anomalies, published reports, and invoices</w:t>
            </w:r>
          </w:p>
        </w:tc>
        <w:tc>
          <w:tcPr>
            <w:tcW w:w="3120" w:type="dxa"/>
          </w:tcPr>
          <w:p>
            <w:pPr/>
            <w:r>
              <w:t xml:space="preserve">S</w:t>
            </w:r>
          </w:p>
        </w:tc>
      </w:tr>
      <w:tr>
        <w:tc>
          <w:tcPr>
            <w:tcW w:w="3120" w:type="dxa"/>
          </w:tcPr>
          <w:p>
            <w:pPr/>
            <w:r>
              <w:t xml:space="preserve">FR-PAR-3</w:t>
            </w:r>
          </w:p>
        </w:tc>
        <w:tc>
          <w:tcPr>
            <w:tcW w:w="3120" w:type="dxa"/>
          </w:tcPr>
          <w:p>
            <w:pPr/>
            <w:r>
              <w:t xml:space="preserve">Parent Gateway shall be usable on low-end mobile devices with intermittent connectivity</w:t>
            </w:r>
          </w:p>
        </w:tc>
        <w:tc>
          <w:tcPr>
            <w:tcW w:w="3120" w:type="dxa"/>
          </w:tcPr>
          <w:p>
            <w:pPr/>
            <w:r>
              <w:t xml:space="preserve">M</w:t>
            </w:r>
          </w:p>
        </w:tc>
      </w:tr>
    </w:tbl>
    <w:p>
      <w:pPr>
        <w:pStyle w:val="Heading3"/>
      </w:pPr>
      <w:r>
        <w:t xml:space="preserve">3.8 Compliance Centre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Priority</w:t>
            </w:r>
          </w:p>
        </w:tc>
      </w:tr>
      <w:tr>
        <w:tc>
          <w:tcPr>
            <w:tcW w:w="3120" w:type="dxa"/>
          </w:tcPr>
          <w:p>
            <w:pPr/>
            <w:r>
              <w:t xml:space="preserve">FR-CMP-1</w:t>
            </w:r>
          </w:p>
        </w:tc>
        <w:tc>
          <w:tcPr>
            <w:tcW w:w="3120" w:type="dxa"/>
          </w:tcPr>
          <w:p>
            <w:pPr/>
            <w:r>
              <w:t xml:space="preserve">System shall maintain an immutable audit log for all pastoral/safeguarding notes</w:t>
            </w:r>
          </w:p>
        </w:tc>
        <w:tc>
          <w:tcPr>
            <w:tcW w:w="3120" w:type="dxa"/>
          </w:tcPr>
          <w:p>
            <w:pPr/>
            <w:r>
              <w:t xml:space="preserve">M</w:t>
            </w:r>
          </w:p>
        </w:tc>
      </w:tr>
      <w:tr>
        <w:tc>
          <w:tcPr>
            <w:tcW w:w="3120" w:type="dxa"/>
          </w:tcPr>
          <w:p>
            <w:pPr/>
            <w:r>
              <w:t xml:space="preserve">FR-CMP-2</w:t>
            </w:r>
          </w:p>
        </w:tc>
        <w:tc>
          <w:tcPr>
            <w:tcW w:w="3120" w:type="dxa"/>
          </w:tcPr>
          <w:p>
            <w:pPr/>
            <w:r>
              <w:t xml:space="preserve">System shall raise critical alerts for attendance, safeguarding, and census-validation breaches</w:t>
            </w:r>
          </w:p>
        </w:tc>
        <w:tc>
          <w:tcPr>
            <w:tcW w:w="3120" w:type="dxa"/>
          </w:tcPr>
          <w:p>
            <w:pPr/>
            <w:r>
              <w:t xml:space="preserve">M</w:t>
            </w:r>
          </w:p>
        </w:tc>
      </w:tr>
      <w:tr>
        <w:tc>
          <w:tcPr>
            <w:tcW w:w="3120" w:type="dxa"/>
          </w:tcPr>
          <w:p>
            <w:pPr/>
            <w:r>
              <w:t xml:space="preserve">FR-CMP-3</w:t>
            </w:r>
          </w:p>
        </w:tc>
        <w:tc>
          <w:tcPr>
            <w:tcW w:w="3120" w:type="dxa"/>
          </w:tcPr>
          <w:p>
            <w:pPr/>
            <w:r>
              <w:t xml:space="preserve">System shall generate government census exports in the mandated format</w:t>
            </w:r>
          </w:p>
        </w:tc>
        <w:tc>
          <w:tcPr>
            <w:tcW w:w="3120" w:type="dxa"/>
          </w:tcPr>
          <w:p>
            <w:pPr/>
            <w:r>
              <w:t xml:space="preserve">M</w:t>
            </w:r>
          </w:p>
        </w:tc>
      </w:tr>
      <w:tr>
        <w:tc>
          <w:tcPr>
            <w:tcW w:w="3120" w:type="dxa"/>
          </w:tcPr>
          <w:p>
            <w:pPr/>
            <w:r>
              <w:t xml:space="preserve">FR-CMP-4</w:t>
            </w:r>
          </w:p>
        </w:tc>
        <w:tc>
          <w:tcPr>
            <w:tcW w:w="3120" w:type="dxa"/>
          </w:tcPr>
          <w:p>
            <w:pPr/>
            <w:r>
              <w:t xml:space="preserve">System shall enforce role-based restricted access to sensitive fields across all modules</w:t>
            </w:r>
          </w:p>
        </w:tc>
        <w:tc>
          <w:tcPr>
            <w:tcW w:w="3120" w:type="dxa"/>
          </w:tcPr>
          <w:p>
            <w:pPr/>
            <w:r>
              <w:t xml:space="preserve">M</w:t>
            </w:r>
          </w:p>
        </w:tc>
      </w:tr>
    </w:tbl>
    <w:p>
      <w:pPr>
        <w:pStyle w:val="Heading2"/>
      </w:pPr>
      <w:r>
        <w:t xml:space="preserve">4. Data Requirements</w:t>
      </w:r>
    </w:p>
    <w:p>
      <w:pPr>
        <w:pStyle w:val="Heading3"/>
      </w:pPr>
      <w:r>
        <w:t xml:space="preserve">4.1 TPI / SPI — Proprietary Productivity Indices</w:t>
      </w:r>
    </w:p>
    <w:p>
      <w:pPr/>
      <w:r>
        <w:t xml:space="preserve">TPI (Teacher Productivity Index) and SPI (Student Productivity Index) are the product's core differentiators, framed around addressing accountability gaps in Nigerian education. They are computed within Assessment Hub and consumed across Parent Gateway, Compliance Centre, and government reporting exports.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Requirement</w:t>
            </w:r>
          </w:p>
        </w:tc>
      </w:tr>
      <w:tr>
        <w:tc>
          <w:tcPr>
            <w:tcW w:w="4680" w:type="dxa"/>
          </w:tcPr>
          <w:p>
            <w:pPr/>
            <w:r>
              <w:t xml:space="preserve">Inputs (SPI)</w:t>
            </w:r>
          </w:p>
        </w:tc>
        <w:tc>
          <w:tcPr>
            <w:tcW w:w="4680" w:type="dxa"/>
          </w:tcPr>
          <w:p>
            <w:pPr/>
            <w:r>
              <w:t xml:space="preserve">Assessment scores, attendance rate, assignment completion — exact weighting TBD with product/education leadership</w:t>
            </w:r>
          </w:p>
        </w:tc>
      </w:tr>
      <w:tr>
        <w:tc>
          <w:tcPr>
            <w:tcW w:w="4680" w:type="dxa"/>
          </w:tcPr>
          <w:p>
            <w:pPr/>
            <w:r>
              <w:t xml:space="preserve">Inputs (TPI)</w:t>
            </w:r>
          </w:p>
        </w:tc>
        <w:tc>
          <w:tcPr>
            <w:tcW w:w="4680" w:type="dxa"/>
          </w:tcPr>
          <w:p>
            <w:pPr/>
            <w:r>
              <w:t xml:space="preserve">Class-level SPI trends, attendance-marking timeliness, assessment-submission timeliness — exact weighting TBD</w:t>
            </w:r>
          </w:p>
        </w:tc>
      </w:tr>
      <w:tr>
        <w:tc>
          <w:tcPr>
            <w:tcW w:w="4680" w:type="dxa"/>
          </w:tcPr>
          <w:p>
            <w:pPr/>
            <w:r>
              <w:t xml:space="preserve">Computation cadence</w:t>
            </w:r>
          </w:p>
        </w:tc>
        <w:tc>
          <w:tcPr>
            <w:tcW w:w="4680" w:type="dxa"/>
          </w:tcPr>
          <w:p>
            <w:pPr/>
            <w:r>
              <w:t xml:space="preserve">Per term, recomputed on each new assessment or attendance submission</w:t>
            </w:r>
          </w:p>
        </w:tc>
      </w:tr>
      <w:tr>
        <w:tc>
          <w:tcPr>
            <w:tcW w:w="4680" w:type="dxa"/>
          </w:tcPr>
          <w:p>
            <w:pPr/>
            <w:r>
              <w:t xml:space="preserve">Storage</w:t>
            </w:r>
          </w:p>
        </w:tc>
        <w:tc>
          <w:tcPr>
            <w:tcW w:w="4680" w:type="dxa"/>
          </w:tcPr>
          <w:p>
            <w:pPr/>
            <w:r>
              <w:t xml:space="preserve">Historical index values retained per student/teacher per term to support trend reporting</w:t>
            </w:r>
          </w:p>
        </w:tc>
      </w:tr>
      <w:tr>
        <w:tc>
          <w:tcPr>
            <w:tcW w:w="4680" w:type="dxa"/>
          </w:tcPr>
          <w:p>
            <w:pPr/>
            <w:r>
              <w:t xml:space="preserve">Access</w:t>
            </w:r>
          </w:p>
        </w:tc>
        <w:tc>
          <w:tcPr>
            <w:tcW w:w="4680" w:type="dxa"/>
          </w:tcPr>
          <w:p>
            <w:pPr/>
            <w:r>
              <w:t xml:space="preserve">SPI visible to guardians (own child only) and school staff; TPI visible to school administrators and the teacher themselves, not to other teachers or guardians</w:t>
            </w:r>
          </w:p>
        </w:tc>
      </w:tr>
    </w:tbl>
    <w:p>
      <w:pPr/>
      <w:r>
        <w:rPr>
          <w:b/>
        </w:rPr>
        <w:t xml:space="preserve">Open item:</w:t>
      </w:r>
      <w:r>
        <w:t xml:space="preserve"> the precise TPI/SPI formulae are a business/education-methodology decision outside this SRS's scope and must be supplied by product/education leadership before Assessment Hub development begins (see FR-ASS-2, FR-ASS-3).</w:t>
      </w:r>
    </w:p>
    <w:p>
      <w:pPr>
        <w:pStyle w:val="Heading3"/>
      </w:pPr>
      <w:r>
        <w:t xml:space="preserve">4.2 FiSH SOP Event Contracts</w:t>
      </w:r>
    </w:p>
    <w:p>
      <w:pPr/>
      <w:r>
        <w:t xml:space="preserve">The Principal never writes financial or cross-product state directly; it emits events that FiSH SOP consumes.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Event</w:t>
            </w:r>
          </w:p>
        </w:tc>
        <w:tc>
          <w:tcPr>
            <w:tcW w:w="2340" w:type="dxa"/>
            <w:shd w:val="clear" w:color="auto" w:fill="F2F2F2"/>
          </w:tcPr>
          <w:p>
            <w:pPr/>
            <w:r>
              <w:t xml:space="preserve">Emitted by</w:t>
            </w:r>
          </w:p>
        </w:tc>
        <w:tc>
          <w:tcPr>
            <w:tcW w:w="2340" w:type="dxa"/>
            <w:shd w:val="clear" w:color="auto" w:fill="F2F2F2"/>
          </w:tcPr>
          <w:p>
            <w:pPr/>
            <w:r>
              <w:t xml:space="preserve">Trigger</w:t>
            </w:r>
          </w:p>
        </w:tc>
        <w:tc>
          <w:tcPr>
            <w:tcW w:w="2340" w:type="dxa"/>
            <w:shd w:val="clear" w:color="auto" w:fill="F2F2F2"/>
          </w:tcPr>
          <w:p>
            <w:pPr/>
            <w:r>
              <w:t xml:space="preserve">Key payload fields</w:t>
            </w:r>
          </w:p>
        </w:tc>
      </w:tr>
      <w:tr>
        <w:tc>
          <w:tcPr>
            <w:tcW w:w="2340" w:type="dxa"/>
          </w:tcPr>
          <w:p>
            <w:pPr/>
            <w:r>
              <w:rPr>
                <w:rStyle w:val="CodeChar"/>
              </w:rPr>
              <w:t xml:space="preserve">StudentEnrolled</w:t>
            </w:r>
          </w:p>
        </w:tc>
        <w:tc>
          <w:tcPr>
            <w:tcW w:w="2340" w:type="dxa"/>
          </w:tcPr>
          <w:p>
            <w:pPr/>
            <w:r>
              <w:t xml:space="preserve">Admissions Office</w:t>
            </w:r>
          </w:p>
        </w:tc>
        <w:tc>
          <w:tcPr>
            <w:tcW w:w="2340" w:type="dxa"/>
          </w:tcPr>
          <w:p>
            <w:pPr/>
            <w:r>
              <w:t xml:space="preserve">Application accepted and enrolled</w:t>
            </w:r>
          </w:p>
        </w:tc>
        <w:tc>
          <w:tcPr>
            <w:tcW w:w="2340" w:type="dxa"/>
          </w:tcPr>
          <w:p>
            <w:pPr/>
            <w:r>
              <w:t xml:space="preserve">student ID, school ID, class ID, enrolment date</w:t>
            </w:r>
          </w:p>
        </w:tc>
      </w:tr>
      <w:tr>
        <w:tc>
          <w:tcPr>
            <w:tcW w:w="2340" w:type="dxa"/>
          </w:tcPr>
          <w:p>
            <w:pPr/>
            <w:r>
              <w:rPr>
                <w:rStyle w:val="CodeChar"/>
              </w:rPr>
              <w:t xml:space="preserve">AttendanceRecorded</w:t>
            </w:r>
          </w:p>
        </w:tc>
        <w:tc>
          <w:tcPr>
            <w:tcW w:w="2340" w:type="dxa"/>
          </w:tcPr>
          <w:p>
            <w:pPr/>
            <w:r>
              <w:t xml:space="preserve">Attendance Officer</w:t>
            </w:r>
          </w:p>
        </w:tc>
        <w:tc>
          <w:tcPr>
            <w:tcW w:w="2340" w:type="dxa"/>
          </w:tcPr>
          <w:p>
            <w:pPr/>
            <w:r>
              <w:t xml:space="preserve">Attendance session submitted</w:t>
            </w:r>
          </w:p>
        </w:tc>
        <w:tc>
          <w:tcPr>
            <w:tcW w:w="2340" w:type="dxa"/>
          </w:tcPr>
          <w:p>
            <w:pPr/>
            <w:r>
              <w:t xml:space="preserve">student ID, class ID, date, attendance code</w:t>
            </w:r>
          </w:p>
        </w:tc>
      </w:tr>
      <w:tr>
        <w:tc>
          <w:tcPr>
            <w:tcW w:w="2340" w:type="dxa"/>
          </w:tcPr>
          <w:p>
            <w:pPr/>
            <w:r>
              <w:rPr>
                <w:rStyle w:val="CodeChar"/>
              </w:rPr>
              <w:t xml:space="preserve">AssessmentCompleted</w:t>
            </w:r>
          </w:p>
        </w:tc>
        <w:tc>
          <w:tcPr>
            <w:tcW w:w="2340" w:type="dxa"/>
          </w:tcPr>
          <w:p>
            <w:pPr/>
            <w:r>
              <w:t xml:space="preserve">Assessment Hub</w:t>
            </w:r>
          </w:p>
        </w:tc>
        <w:tc>
          <w:tcPr>
            <w:tcW w:w="2340" w:type="dxa"/>
          </w:tcPr>
          <w:p>
            <w:pPr/>
            <w:r>
              <w:t xml:space="preserve">Report card published</w:t>
            </w:r>
          </w:p>
        </w:tc>
        <w:tc>
          <w:tcPr>
            <w:tcW w:w="2340" w:type="dxa"/>
          </w:tcPr>
          <w:p>
            <w:pPr/>
            <w:r>
              <w:t xml:space="preserve">student ID, term, SPI value, grade summary</w:t>
            </w:r>
          </w:p>
        </w:tc>
      </w:tr>
      <w:tr>
        <w:tc>
          <w:tcPr>
            <w:tcW w:w="2340" w:type="dxa"/>
          </w:tcPr>
          <w:p>
            <w:pPr/>
            <w:r>
              <w:rPr>
                <w:rStyle w:val="CodeChar"/>
              </w:rPr>
              <w:t xml:space="preserve">StudentPaymentReceived</w:t>
            </w:r>
          </w:p>
        </w:tc>
        <w:tc>
          <w:tcPr>
            <w:tcW w:w="2340" w:type="dxa"/>
          </w:tcPr>
          <w:p>
            <w:pPr/>
            <w:r>
              <w:t xml:space="preserve">Fee Desk</w:t>
            </w:r>
          </w:p>
        </w:tc>
        <w:tc>
          <w:tcPr>
            <w:tcW w:w="2340" w:type="dxa"/>
          </w:tcPr>
          <w:p>
            <w:pPr/>
            <w:r>
              <w:t xml:space="preserve">Payment confirmed by payment provider</w:t>
            </w:r>
          </w:p>
        </w:tc>
        <w:tc>
          <w:tcPr>
            <w:tcW w:w="2340" w:type="dxa"/>
          </w:tcPr>
          <w:p>
            <w:pPr/>
            <w:r>
              <w:t xml:space="preserve">student ID, invoice ID, amount, payment date, method</w:t>
            </w:r>
          </w:p>
        </w:tc>
      </w:tr>
    </w:tbl>
    <w:p>
      <w:pPr/>
      <w:r>
        <w:t xml:space="preserve">Each event shall be idempotent (safe to redeliver) and shall include a unique event ID and timestamp to support FiSH SOP's downstream GL posting and audit requirements.</w:t>
      </w:r>
    </w:p>
    <w:p>
      <w:pPr>
        <w:pStyle w:val="Heading2"/>
      </w:pPr>
      <w:r>
        <w:t xml:space="preserve">5. External Interface Requirements</w:t>
      </w:r>
    </w:p>
    <w:p>
      <w:pPr>
        <w:pStyle w:val="Heading3"/>
      </w:pPr>
      <w:r>
        <w:t xml:space="preserve">5.1 User Interfaces</w:t>
      </w:r>
    </w:p>
    <w:p>
      <w:pPr>
        <w:pStyle w:val="ListParagraph"/>
        <w:numPr>
          <w:ilvl w:val="0"/>
          <w:numId w:val="8"/>
        </w:numPr>
      </w:pPr>
      <w:r>
        <w:t xml:space="preserve">Web application (React + TypeScript) for administrators, teachers, and Fee Desk/Compliance staff</w:t>
      </w:r>
    </w:p>
    <w:p>
      <w:pPr>
        <w:pStyle w:val="ListParagraph"/>
        <w:numPr>
          <w:ilvl w:val="0"/>
          <w:numId w:val="8"/>
        </w:numPr>
      </w:pPr>
      <w:r>
        <w:t xml:space="preserve">Mobile application (Flutter, optional first release) for teachers (attendance/grade entry) and guardians (Parent Gateway)</w:t>
      </w:r>
    </w:p>
    <w:p>
      <w:pPr>
        <w:pStyle w:val="ListParagraph"/>
        <w:numPr>
          <w:ilvl w:val="0"/>
          <w:numId w:val="8"/>
        </w:numPr>
      </w:pPr>
      <w:r>
        <w:t xml:space="preserve">Design system: Authority Blue (#1E2A78) / Academic Gold (#F2C94C) / Slate Grey (#2F2F2F) / Clean White (#FFFFFF) palette; Merriweather for headings, Inter for body and UI; left-sidebar primary navigation with the eight modules; dashboard cards, data grids, and modal-based data entry as specified in The Principal UI/UX System</w:t>
      </w:r>
    </w:p>
    <w:p>
      <w:pPr>
        <w:pStyle w:val="Heading3"/>
      </w:pPr>
      <w:r>
        <w:t xml:space="preserve">5.2 Hardware Interfaces</w:t>
      </w:r>
    </w:p>
    <w:p>
      <w:pPr>
        <w:pStyle w:val="ListParagraph"/>
        <w:numPr>
          <w:ilvl w:val="0"/>
          <w:numId w:val="9"/>
        </w:numPr>
      </w:pPr>
      <w:r>
        <w:t xml:space="preserve">No dedicated hardware; runs on standard desktop/laptop browsers and Android/iOS mobile devices</w:t>
      </w:r>
    </w:p>
    <w:p>
      <w:pPr>
        <w:pStyle w:val="ListParagraph"/>
        <w:numPr>
          <w:ilvl w:val="0"/>
          <w:numId w:val="9"/>
        </w:numPr>
      </w:pPr>
      <w:r>
        <w:t xml:space="preserve">Must remain usable on low-spec Android devices common in the target market</w:t>
      </w:r>
    </w:p>
    <w:p>
      <w:pPr>
        <w:pStyle w:val="Heading3"/>
      </w:pPr>
      <w:r>
        <w:t xml:space="preserve">5.3 Software Interfaces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Interface</w:t>
            </w:r>
          </w:p>
        </w:tc>
        <w:tc>
          <w:tcPr>
            <w:tcW w:w="3120" w:type="dxa"/>
            <w:shd w:val="clear" w:color="auto" w:fill="F2F2F2"/>
          </w:tcPr>
          <w:p>
            <w:pPr/>
            <w:r>
              <w:t xml:space="preserve">Direction</w:t>
            </w:r>
          </w:p>
        </w:tc>
        <w:tc>
          <w:tcPr>
            <w:tcW w:w="3120" w:type="dxa"/>
            <w:shd w:val="clear" w:color="auto" w:fill="F2F2F2"/>
          </w:tcPr>
          <w:p>
            <w:pPr/>
            <w:r>
              <w:t xml:space="preserve">Purpose</w:t>
            </w:r>
          </w:p>
        </w:tc>
      </w:tr>
      <w:tr>
        <w:tc>
          <w:tcPr>
            <w:tcW w:w="3120" w:type="dxa"/>
          </w:tcPr>
          <w:p>
            <w:pPr/>
            <w:r>
              <w:t xml:space="preserve">FiSH SOP</w:t>
            </w:r>
          </w:p>
        </w:tc>
        <w:tc>
          <w:tcPr>
            <w:tcW w:w="3120" w:type="dxa"/>
          </w:tcPr>
          <w:p>
            <w:pPr/>
            <w:r>
              <w:t xml:space="preserve">Outbound (events)</w:t>
            </w:r>
          </w:p>
        </w:tc>
        <w:tc>
          <w:tcPr>
            <w:tcW w:w="3120" w:type="dxa"/>
          </w:tcPr>
          <w:p>
            <w:pPr/>
            <w:r>
              <w:t xml:space="preserve">Delivers domain events (Section 4.2) for financial/operational processing</w:t>
            </w:r>
          </w:p>
        </w:tc>
      </w:tr>
      <w:tr>
        <w:tc>
          <w:tcPr>
            <w:tcW w:w="3120" w:type="dxa"/>
          </w:tcPr>
          <w:p>
            <w:pPr/>
            <w:r>
              <w:t xml:space="preserve">FiSH GL</w:t>
            </w:r>
          </w:p>
        </w:tc>
        <w:tc>
          <w:tcPr>
            <w:tcW w:w="3120" w:type="dxa"/>
          </w:tcPr>
          <w:p>
            <w:pPr/>
            <w:r>
              <w:t xml:space="preserve">Indirect, via FiSH SOP</w:t>
            </w:r>
          </w:p>
        </w:tc>
        <w:tc>
          <w:tcPr>
            <w:tcW w:w="3120" w:type="dxa"/>
          </w:tcPr>
          <w:p>
            <w:pPr/>
            <w:r>
              <w:t xml:space="preserve">The Principal never calls FiSH GL directly</w:t>
            </w:r>
          </w:p>
        </w:tc>
      </w:tr>
      <w:tr>
        <w:tc>
          <w:tcPr>
            <w:tcW w:w="3120" w:type="dxa"/>
          </w:tcPr>
          <w:p>
            <w:pPr/>
            <w:r>
              <w:t xml:space="preserve">ER identity/admin services</w:t>
            </w:r>
          </w:p>
        </w:tc>
        <w:tc>
          <w:tcPr>
            <w:tcW w:w="3120" w:type="dxa"/>
          </w:tcPr>
          <w:p>
            <w:pPr/>
            <w:r>
              <w:t xml:space="preserve">Inbound</w:t>
            </w:r>
          </w:p>
        </w:tc>
        <w:tc>
          <w:tcPr>
            <w:tcW w:w="3120" w:type="dxa"/>
          </w:tcPr>
          <w:p>
            <w:pPr/>
            <w:r>
              <w:t xml:space="preserve">Authentication, role-based access control, shared navigation chrome</w:t>
            </w:r>
          </w:p>
        </w:tc>
      </w:tr>
      <w:tr>
        <w:tc>
          <w:tcPr>
            <w:tcW w:w="3120" w:type="dxa"/>
          </w:tcPr>
          <w:p>
            <w:pPr/>
            <w:r>
              <w:t xml:space="preserve">Payment provider(s)</w:t>
            </w:r>
          </w:p>
        </w:tc>
        <w:tc>
          <w:tcPr>
            <w:tcW w:w="3120" w:type="dxa"/>
          </w:tcPr>
          <w:p>
            <w:pPr/>
            <w:r>
              <w:t xml:space="preserve">Outbound/Inbound</w:t>
            </w:r>
          </w:p>
        </w:tc>
        <w:tc>
          <w:tcPr>
            <w:tcW w:w="3120" w:type="dxa"/>
          </w:tcPr>
          <w:p>
            <w:pPr/>
            <w:r>
              <w:t xml:space="preserve">Processes Fee Desk payments; confirmation triggers </w:t>
            </w:r>
            <w:r>
              <w:rPr>
                <w:rStyle w:val="CodeChar"/>
              </w:rPr>
              <w:t xml:space="preserve">StudentPaymentReceived</w:t>
            </w:r>
          </w:p>
        </w:tc>
      </w:tr>
      <w:tr>
        <w:tc>
          <w:tcPr>
            <w:tcW w:w="3120" w:type="dxa"/>
          </w:tcPr>
          <w:p>
            <w:pPr/>
            <w:r>
              <w:t xml:space="preserve">Government census/reporting systems</w:t>
            </w:r>
          </w:p>
        </w:tc>
        <w:tc>
          <w:tcPr>
            <w:tcW w:w="3120" w:type="dxa"/>
          </w:tcPr>
          <w:p>
            <w:pPr/>
            <w:r>
              <w:t xml:space="preserve">Outbound</w:t>
            </w:r>
          </w:p>
        </w:tc>
        <w:tc>
          <w:tcPr>
            <w:tcW w:w="3120" w:type="dxa"/>
          </w:tcPr>
          <w:p>
            <w:pPr/>
            <w:r>
              <w:t xml:space="preserve">Export of census, attendance, and exam-result data in mandated formats</w:t>
            </w:r>
          </w:p>
        </w:tc>
      </w:tr>
    </w:tbl>
    <w:p>
      <w:pPr>
        <w:pStyle w:val="Heading3"/>
      </w:pPr>
      <w:r>
        <w:t xml:space="preserve">5.4 Communications Interfaces</w:t>
      </w:r>
    </w:p>
    <w:p>
      <w:pPr>
        <w:pStyle w:val="ListParagraph"/>
        <w:numPr>
          <w:ilvl w:val="0"/>
          <w:numId w:val="10"/>
        </w:numPr>
      </w:pPr>
      <w:r>
        <w:t xml:space="preserve">HTTPS/TLS for all client–server communication</w:t>
      </w:r>
    </w:p>
    <w:p>
      <w:pPr>
        <w:pStyle w:val="ListParagraph"/>
        <w:numPr>
          <w:ilvl w:val="0"/>
          <w:numId w:val="10"/>
        </w:numPr>
      </w:pPr>
      <w:r>
        <w:t xml:space="preserve">Offline-first local data store with background sync over available connectivity (Wi-Fi, mobile data), with conflict resolution favouring the most recent authoritative submission</w:t>
      </w:r>
    </w:p>
    <w:p>
      <w:pPr>
        <w:pStyle w:val="ListParagraph"/>
        <w:numPr>
          <w:ilvl w:val="0"/>
          <w:numId w:val="10"/>
        </w:numPr>
      </w:pPr>
      <w:r>
        <w:t xml:space="preserve">SMS or push notifications to guardians for attendance anomalies, published reports, and invoices (channel TBD by market research)</w:t>
      </w:r>
    </w:p>
    <w:p>
      <w:pPr>
        <w:pStyle w:val="Heading2"/>
      </w:pPr>
      <w:r>
        <w:t xml:space="preserve">6. Non-Functional Requirements</w:t>
      </w:r>
    </w:p>
    <w:p>
      <w:pPr>
        <w:pStyle w:val="Heading3"/>
      </w:pPr>
      <w:r>
        <w:t xml:space="preserve">6.1 Performance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ID</w:t>
            </w:r>
          </w:p>
        </w:tc>
        <w:tc>
          <w:tcPr>
            <w:tcW w:w="4680" w:type="dxa"/>
            <w:shd w:val="clear" w:color="auto" w:fill="F2F2F2"/>
          </w:tcPr>
          <w:p>
            <w:pPr/>
            <w:r>
              <w:t xml:space="preserve">Requirement</w:t>
            </w:r>
          </w:p>
        </w:tc>
      </w:tr>
      <w:tr>
        <w:tc>
          <w:tcPr>
            <w:tcW w:w="4680" w:type="dxa"/>
          </w:tcPr>
          <w:p>
            <w:pPr/>
            <w:r>
              <w:t xml:space="preserve">NFR-PRF-1</w:t>
            </w:r>
          </w:p>
        </w:tc>
        <w:tc>
          <w:tcPr>
            <w:tcW w:w="4680" w:type="dxa"/>
          </w:tcPr>
          <w:p>
            <w:pPr/>
            <w:r>
              <w:t xml:space="preserve">Dashboard and table views shall load within 3 seconds on a 3G-equivalent connection</w:t>
            </w:r>
          </w:p>
        </w:tc>
      </w:tr>
      <w:tr>
        <w:tc>
          <w:tcPr>
            <w:tcW w:w="4680" w:type="dxa"/>
          </w:tcPr>
          <w:p>
            <w:pPr/>
            <w:r>
              <w:t xml:space="preserve">NFR-PRF-2</w:t>
            </w:r>
          </w:p>
        </w:tc>
        <w:tc>
          <w:tcPr>
            <w:tcW w:w="4680" w:type="dxa"/>
          </w:tcPr>
          <w:p>
            <w:pPr/>
            <w:r>
              <w:t xml:space="preserve">Offline-captured attendance/grade data shall sync within 60 seconds of connectivity being restored</w:t>
            </w:r>
          </w:p>
        </w:tc>
      </w:tr>
      <w:tr>
        <w:tc>
          <w:tcPr>
            <w:tcW w:w="4680" w:type="dxa"/>
          </w:tcPr>
          <w:p>
            <w:pPr/>
            <w:r>
              <w:t xml:space="preserve">NFR-PRF-3</w:t>
            </w:r>
          </w:p>
        </w:tc>
        <w:tc>
          <w:tcPr>
            <w:tcW w:w="4680" w:type="dxa"/>
          </w:tcPr>
          <w:p>
            <w:pPr/>
            <w:r>
              <w:t xml:space="preserve">System shall support at least 500 concurrent active sessions per school at peak (start/end of day) without degradation</w:t>
            </w:r>
          </w:p>
        </w:tc>
      </w:tr>
    </w:tbl>
    <w:p>
      <w:pPr>
        <w:pStyle w:val="Heading3"/>
      </w:pPr>
      <w:r>
        <w:t xml:space="preserve">6.2 Offline Capability &amp; Mobile-First</w:t>
      </w:r>
    </w:p>
    <w:p>
      <w:pPr>
        <w:pStyle w:val="ListParagraph"/>
        <w:numPr>
          <w:ilvl w:val="0"/>
          <w:numId w:val="11"/>
        </w:numPr>
      </w:pPr>
      <w:r>
        <w:t xml:space="preserve">Attendance capture, grade entry, and student lookup shall function fully offline, with local storage of the day's operating data</w:t>
      </w:r>
    </w:p>
    <w:p>
      <w:pPr>
        <w:pStyle w:val="ListParagraph"/>
        <w:numPr>
          <w:ilvl w:val="0"/>
          <w:numId w:val="11"/>
        </w:numPr>
      </w:pPr>
      <w:r>
        <w:t xml:space="preserve">The mobile experience is the primary reference design, given Nigerian connectivity constraints; the web experience is not a lesser fallback but a parallel first-class surface</w:t>
      </w:r>
    </w:p>
    <w:p>
      <w:pPr>
        <w:pStyle w:val="Heading3"/>
      </w:pPr>
      <w:r>
        <w:t xml:space="preserve">6.3 Security &amp; Safeguarding</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ID</w:t>
            </w:r>
          </w:p>
        </w:tc>
        <w:tc>
          <w:tcPr>
            <w:tcW w:w="4680" w:type="dxa"/>
            <w:shd w:val="clear" w:color="auto" w:fill="F2F2F2"/>
          </w:tcPr>
          <w:p>
            <w:pPr/>
            <w:r>
              <w:t xml:space="preserve">Requirement</w:t>
            </w:r>
          </w:p>
        </w:tc>
      </w:tr>
      <w:tr>
        <w:tc>
          <w:tcPr>
            <w:tcW w:w="4680" w:type="dxa"/>
          </w:tcPr>
          <w:p>
            <w:pPr/>
            <w:r>
              <w:t xml:space="preserve">NFR-SEC-1</w:t>
            </w:r>
          </w:p>
        </w:tc>
        <w:tc>
          <w:tcPr>
            <w:tcW w:w="4680" w:type="dxa"/>
          </w:tcPr>
          <w:p>
            <w:pPr/>
            <w:r>
              <w:t xml:space="preserve">Pastoral/safeguarding fields shall be masked by default and visible only to roles explicitly granted access</w:t>
            </w:r>
          </w:p>
        </w:tc>
      </w:tr>
      <w:tr>
        <w:tc>
          <w:tcPr>
            <w:tcW w:w="4680" w:type="dxa"/>
          </w:tcPr>
          <w:p>
            <w:pPr/>
            <w:r>
              <w:t xml:space="preserve">NFR-SEC-2</w:t>
            </w:r>
          </w:p>
        </w:tc>
        <w:tc>
          <w:tcPr>
            <w:tcW w:w="4680" w:type="dxa"/>
          </w:tcPr>
          <w:p>
            <w:pPr/>
            <w:r>
              <w:t xml:space="preserve">All access to pastoral notes shall be captured in an immutable audit log</w:t>
            </w:r>
          </w:p>
        </w:tc>
      </w:tr>
      <w:tr>
        <w:tc>
          <w:tcPr>
            <w:tcW w:w="4680" w:type="dxa"/>
          </w:tcPr>
          <w:p>
            <w:pPr/>
            <w:r>
              <w:t xml:space="preserve">NFR-SEC-3</w:t>
            </w:r>
          </w:p>
        </w:tc>
        <w:tc>
          <w:tcPr>
            <w:tcW w:w="4680" w:type="dxa"/>
          </w:tcPr>
          <w:p>
            <w:pPr/>
            <w:r>
              <w:t xml:space="preserve">Role-based access control shall be enforced at the API layer, not only in the UI</w:t>
            </w:r>
          </w:p>
        </w:tc>
      </w:tr>
      <w:tr>
        <w:tc>
          <w:tcPr>
            <w:tcW w:w="4680" w:type="dxa"/>
          </w:tcPr>
          <w:p>
            <w:pPr/>
            <w:r>
              <w:t xml:space="preserve">NFR-SEC-4</w:t>
            </w:r>
          </w:p>
        </w:tc>
        <w:tc>
          <w:tcPr>
            <w:tcW w:w="4680" w:type="dxa"/>
          </w:tcPr>
          <w:p>
            <w:pPr/>
            <w:r>
              <w:t xml:space="preserve">Data at rest and in transit shall be encrypted</w:t>
            </w:r>
          </w:p>
        </w:tc>
      </w:tr>
    </w:tbl>
    <w:p>
      <w:pPr>
        <w:pStyle w:val="Heading3"/>
      </w:pPr>
      <w:r>
        <w:t xml:space="preserve">6.4 Accessibility</w:t>
      </w:r>
    </w:p>
    <w:p>
      <w:pPr>
        <w:pStyle w:val="ListParagraph"/>
        <w:numPr>
          <w:ilvl w:val="0"/>
          <w:numId w:val="12"/>
        </w:numPr>
      </w:pPr>
      <w:r>
        <w:t xml:space="preserve">Conforms to WCAG 2.1 AA: sufficient colour contrast, full keyboard navigation, screen-reader labels on all interactive elements, and a high-contrast mode</w:t>
      </w:r>
    </w:p>
    <w:p>
      <w:pPr>
        <w:pStyle w:val="Heading3"/>
      </w:pPr>
      <w:r>
        <w:t xml:space="preserve">6.5 Compliance &amp; Scalability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ID</w:t>
            </w:r>
          </w:p>
        </w:tc>
        <w:tc>
          <w:tcPr>
            <w:tcW w:w="4680" w:type="dxa"/>
            <w:shd w:val="clear" w:color="auto" w:fill="F2F2F2"/>
          </w:tcPr>
          <w:p>
            <w:pPr/>
            <w:r>
              <w:t xml:space="preserve">Requirement</w:t>
            </w:r>
          </w:p>
        </w:tc>
      </w:tr>
      <w:tr>
        <w:tc>
          <w:tcPr>
            <w:tcW w:w="4680" w:type="dxa"/>
          </w:tcPr>
          <w:p>
            <w:pPr/>
            <w:r>
              <w:t xml:space="preserve">NFR-CMP-1</w:t>
            </w:r>
          </w:p>
        </w:tc>
        <w:tc>
          <w:tcPr>
            <w:tcW w:w="4680" w:type="dxa"/>
          </w:tcPr>
          <w:p>
            <w:pPr/>
            <w:r>
              <w:t xml:space="preserve">Attendance codes, census fields, and exam-result formats shall be validated against government-mandated structures before submission</w:t>
            </w:r>
          </w:p>
        </w:tc>
      </w:tr>
      <w:tr>
        <w:tc>
          <w:tcPr>
            <w:tcW w:w="4680" w:type="dxa"/>
          </w:tcPr>
          <w:p>
            <w:pPr/>
            <w:r>
              <w:t xml:space="preserve">NFR-CMP-2</w:t>
            </w:r>
          </w:p>
        </w:tc>
        <w:tc>
          <w:tcPr>
            <w:tcW w:w="4680" w:type="dxa"/>
          </w:tcPr>
          <w:p>
            <w:pPr/>
            <w:r>
              <w:t xml:space="preserve">Architecture shall scale to the business plan's Year 3 targets: 5,000 schools and 1,000,000 students, on AWS cloud infrastructure</w:t>
            </w:r>
          </w:p>
        </w:tc>
      </w:tr>
      <w:tr>
        <w:tc>
          <w:tcPr>
            <w:tcW w:w="4680" w:type="dxa"/>
          </w:tcPr>
          <w:p>
            <w:pPr/>
            <w:r>
              <w:t xml:space="preserve">NFR-CMP-3</w:t>
            </w:r>
          </w:p>
        </w:tc>
        <w:tc>
          <w:tcPr>
            <w:tcW w:w="4680" w:type="dxa"/>
          </w:tcPr>
          <w:p>
            <w:pPr/>
            <w:r>
              <w:t xml:space="preserve">System shall support multi-tenant isolation between schools, with per-school data segregation</w:t>
            </w:r>
          </w:p>
        </w:tc>
      </w:tr>
    </w:tbl>
    <w:p>
      <w:pPr>
        <w:pStyle w:val="Heading2"/>
      </w:pPr>
      <w:r>
        <w:t xml:space="preserve">7. Appendices</w:t>
      </w:r>
    </w:p>
    <w:p>
      <w:pPr>
        <w:pStyle w:val="Heading3"/>
      </w:pPr>
      <w:r>
        <w:t xml:space="preserve">7.1 Glossary — Module Naming Reference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Branded name</w:t>
            </w:r>
          </w:p>
        </w:tc>
        <w:tc>
          <w:tcPr>
            <w:tcW w:w="4680" w:type="dxa"/>
            <w:shd w:val="clear" w:color="auto" w:fill="F2F2F2"/>
          </w:tcPr>
          <w:p>
            <w:pPr/>
            <w:r>
              <w:t xml:space="preserve">Functional role</w:t>
            </w:r>
          </w:p>
        </w:tc>
      </w:tr>
      <w:tr>
        <w:tc>
          <w:tcPr>
            <w:tcW w:w="4680" w:type="dxa"/>
          </w:tcPr>
          <w:p>
            <w:pPr/>
            <w:r>
              <w:t xml:space="preserve">Admissions Office</w:t>
            </w:r>
          </w:p>
        </w:tc>
        <w:tc>
          <w:tcPr>
            <w:tcW w:w="4680" w:type="dxa"/>
          </w:tcPr>
          <w:p>
            <w:pPr/>
            <w:r>
              <w:t xml:space="preserve">Application-to-enrolment pipeline</w:t>
            </w:r>
          </w:p>
        </w:tc>
      </w:tr>
      <w:tr>
        <w:tc>
          <w:tcPr>
            <w:tcW w:w="4680" w:type="dxa"/>
          </w:tcPr>
          <w:p>
            <w:pPr/>
            <w:r>
              <w:t xml:space="preserve">Student Register</w:t>
            </w:r>
          </w:p>
        </w:tc>
        <w:tc>
          <w:tcPr>
            <w:tcW w:w="4680" w:type="dxa"/>
          </w:tcPr>
          <w:p>
            <w:pPr/>
            <w:r>
              <w:t xml:space="preserve">Canonical student record system</w:t>
            </w:r>
          </w:p>
        </w:tc>
      </w:tr>
      <w:tr>
        <w:tc>
          <w:tcPr>
            <w:tcW w:w="4680" w:type="dxa"/>
          </w:tcPr>
          <w:p>
            <w:pPr/>
            <w:r>
              <w:t xml:space="preserve">Classroom Manager</w:t>
            </w:r>
          </w:p>
        </w:tc>
        <w:tc>
          <w:tcPr>
            <w:tcW w:w="4680" w:type="dxa"/>
          </w:tcPr>
          <w:p>
            <w:pPr/>
            <w:r>
              <w:t xml:space="preserve">Class/timetable administration</w:t>
            </w:r>
          </w:p>
        </w:tc>
      </w:tr>
      <w:tr>
        <w:tc>
          <w:tcPr>
            <w:tcW w:w="4680" w:type="dxa"/>
          </w:tcPr>
          <w:p>
            <w:pPr/>
            <w:r>
              <w:t xml:space="preserve">Attendance Officer</w:t>
            </w:r>
          </w:p>
        </w:tc>
        <w:tc>
          <w:tcPr>
            <w:tcW w:w="4680" w:type="dxa"/>
          </w:tcPr>
          <w:p>
            <w:pPr/>
            <w:r>
              <w:t xml:space="preserve">Attendance capture and monitoring</w:t>
            </w:r>
          </w:p>
        </w:tc>
      </w:tr>
      <w:tr>
        <w:tc>
          <w:tcPr>
            <w:tcW w:w="4680" w:type="dxa"/>
          </w:tcPr>
          <w:p>
            <w:pPr/>
            <w:r>
              <w:t xml:space="preserve">Assessment Hub</w:t>
            </w:r>
          </w:p>
        </w:tc>
        <w:tc>
          <w:tcPr>
            <w:tcW w:w="4680" w:type="dxa"/>
          </w:tcPr>
          <w:p>
            <w:pPr/>
            <w:r>
              <w:t xml:space="preserve">Grading, reporting, TPI/SPI</w:t>
            </w:r>
          </w:p>
        </w:tc>
      </w:tr>
      <w:tr>
        <w:tc>
          <w:tcPr>
            <w:tcW w:w="4680" w:type="dxa"/>
          </w:tcPr>
          <w:p>
            <w:pPr/>
            <w:r>
              <w:t xml:space="preserve">Fee Desk</w:t>
            </w:r>
          </w:p>
        </w:tc>
        <w:tc>
          <w:tcPr>
            <w:tcW w:w="4680" w:type="dxa"/>
          </w:tcPr>
          <w:p>
            <w:pPr/>
            <w:r>
              <w:t xml:space="preserve">Invoicing and fee tracking</w:t>
            </w:r>
          </w:p>
        </w:tc>
      </w:tr>
      <w:tr>
        <w:tc>
          <w:tcPr>
            <w:tcW w:w="4680" w:type="dxa"/>
          </w:tcPr>
          <w:p>
            <w:pPr/>
            <w:r>
              <w:t xml:space="preserve">Parent Gateway</w:t>
            </w:r>
          </w:p>
        </w:tc>
        <w:tc>
          <w:tcPr>
            <w:tcW w:w="4680" w:type="dxa"/>
          </w:tcPr>
          <w:p>
            <w:pPr/>
            <w:r>
              <w:t xml:space="preserve">Guardian-facing portal</w:t>
            </w:r>
          </w:p>
        </w:tc>
      </w:tr>
      <w:tr>
        <w:tc>
          <w:tcPr>
            <w:tcW w:w="4680" w:type="dxa"/>
          </w:tcPr>
          <w:p>
            <w:pPr/>
            <w:r>
              <w:t xml:space="preserve">Compliance Centre</w:t>
            </w:r>
          </w:p>
        </w:tc>
        <w:tc>
          <w:tcPr>
            <w:tcW w:w="4680" w:type="dxa"/>
          </w:tcPr>
          <w:p>
            <w:pPr/>
            <w:r>
              <w:t xml:space="preserve">Safeguarding, audit, regulatory alerts</w:t>
            </w:r>
          </w:p>
        </w:tc>
      </w:tr>
    </w:tbl>
    <w:p>
      <w:pPr>
        <w:pStyle w:val="Heading3"/>
      </w:pPr>
      <w:r>
        <w:t xml:space="preserve">7.2 Open Issues / TBDs</w:t>
      </w:r>
    </w:p>
    <w:p>
      <w:pPr>
        <w:pStyle w:val="ListParagraph"/>
        <w:numPr>
          <w:ilvl w:val="0"/>
          <w:numId w:val="13"/>
        </w:numPr>
      </w:pPr>
      <w:r>
        <w:t xml:space="preserve">☐ TPI/SPI exact formulae and weightings — pending product/education leadership sign-off (Section 4.1)</w:t>
      </w:r>
    </w:p>
    <w:p>
      <w:pPr>
        <w:pStyle w:val="ListParagraph"/>
        <w:numPr>
          <w:ilvl w:val="0"/>
          <w:numId w:val="13"/>
        </w:numPr>
      </w:pPr>
      <w:r>
        <w:t xml:space="preserve">☐ Notification channel for Parent Gateway (SMS vs. push vs. both) — pending market research (Section 5.4)</w:t>
      </w:r>
    </w:p>
    <w:p>
      <w:pPr>
        <w:pStyle w:val="ListParagraph"/>
        <w:numPr>
          <w:ilvl w:val="0"/>
          <w:numId w:val="13"/>
        </w:numPr>
      </w:pPr>
      <w:r>
        <w:t xml:space="preserve">☐ Payment provider(s) for Fee Desk — to be selected</w:t>
      </w:r>
    </w:p>
    <w:p>
      <w:pPr>
        <w:pStyle w:val="ListParagraph"/>
        <w:numPr>
          <w:ilvl w:val="0"/>
          <w:numId w:val="13"/>
        </w:numPr>
      </w:pPr>
      <w:r>
        <w:t xml:space="preserve">☐ Government census export format specification — to be attached once confirmed by regulatory bodies</w:t>
      </w:r>
    </w:p>
    <w:p>
      <w:pPr>
        <w:pStyle w:val="ListParagraph"/>
        <w:numPr>
          <w:ilvl w:val="0"/>
          <w:numId w:val="13"/>
        </w:numPr>
      </w:pPr>
      <w:r>
        <w:t xml:space="preserve">☐ Concurrent-session and storage sizing assumptions behind NFR-PRF-3 and NFR-CMP-2 — to be validated against actual Year 1 pilot data rather than Year 3 targets alone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The Principal — Software Requirements Specification</dc:title>
  <dc:description>Claude Docs node/f6279097-a09e@8 docx-w5</dc:description>
  <cp:revision>8</cp:revision>
</cp:coreProperties>
</file>