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FiSH GL: Sierra Leone Business Plan vs. Engine Spec</w:t>
      </w:r>
    </w:p>
    <w:p>
      <w:pPr>
        <w:spacing w:after="320"/>
      </w:pPr>
      <w:r>
        <w:rPr>
          <w:color w:val="444444"/>
          <w:sz w:val="28"/>
          <w:szCs w:val="28"/>
        </w:rPr>
        <w:t xml:space="preserve">A Comparative Analysis</w:t>
      </w:r>
    </w:p>
    <w:p>
      <w:pPr>
        <w:spacing w:after="160"/>
      </w:pPr>
      <w:r>
        <w:rPr>
          <w:b/>
          <w:bCs/>
        </w:rPr>
        <w:t xml:space="preserve">Prepared for: </w:t>
      </w:r>
      <w:r>
        <w:t xml:space="preserve">Femi Falase</w:t>
      </w:r>
    </w:p>
    <w:p>
      <w:pPr>
        <w:spacing w:after="160"/>
      </w:pPr>
      <w:r>
        <w:rPr>
          <w:b/>
          <w:bCs/>
        </w:rPr>
        <w:t xml:space="preserve">Document date: </w:t>
      </w:r>
      <w:r>
        <w:t xml:space="preserve">August 11, 2026</w:t>
      </w:r>
    </w:p>
    <w:p>
      <w:pPr>
        <w:spacing w:after="320"/>
      </w:pPr>
      <w:r>
        <w:rPr>
          <w:b/>
          <w:bCs/>
        </w:rPr>
        <w:t xml:space="preserve">Sources compared: </w:t>
      </w:r>
      <w:r>
        <w:t xml:space="preserve">FiSH_GL_Business_Plan.md (Sierra Leone) and FiSH_GL_Engine_Spec.md (v0.7)</w:t>
      </w:r>
    </w:p>
    <w:p>
      <w:pPr>
        <w:pStyle w:val="Heading2"/>
        <w:spacing w:after="120" w:before="280"/>
      </w:pPr>
      <w:r>
        <w:t xml:space="preserve">Concise Takeaway</w:t>
      </w:r>
    </w:p>
    <w:p>
      <w:pPr>
        <w:spacing w:after="160"/>
      </w:pPr>
      <w:r>
        <w:t xml:space="preserve">The overall FiSH GL Engine Spec and the Sierra Leone business plan are fully aligned but operate at different altitudes. The Sierra Leone document is a business plan — market analysis, funding, founder positioning, financial model — for one country and one product wedge (agrifinance, underwriting gaps, USSD-based access). The Engine Spec is a technical requirements document for the shared ledger platform underneath it, covering Purse UK, Scrip, Osusu, the Mano River B2B segment, and BuzzMe. They are not duplicates, and not both "business plans" in the same sense — they are complementary layers of the same strategy: one market-first, one architecture-first.</w:t>
      </w:r>
    </w:p>
    <w:p>
      <w:pPr>
        <w:pBdr>
          <w:bottom w:val="single" w:color="999999" w:sz="6" w:space="1"/>
        </w:pBdr>
        <w:spacing w:after="240"/>
      </w:pPr>
    </w:p>
    <w:p>
      <w:pPr>
        <w:pStyle w:val="Heading1"/>
        <w:spacing w:after="160" w:before="360"/>
      </w:pPr>
      <w:r>
        <w:t xml:space="preserve">1. Strategic Purpose: Macro vs. Micro</w:t>
      </w:r>
    </w:p>
    <w:p>
      <w:pPr>
        <w:pStyle w:val="Heading3"/>
        <w:spacing w:after="100" w:before="200"/>
      </w:pPr>
      <w:r>
        <w:t xml:space="preserve">Sierra Leone Business Plan</w:t>
      </w:r>
    </w:p>
    <w:p>
      <w:pPr>
        <w:pStyle w:val="ListParagraph"/>
        <w:numPr>
          <w:ilvl w:val="0"/>
          <w:numId w:val="1"/>
        </w:numPr>
        <w:spacing w:after="80"/>
      </w:pPr>
      <w:r>
        <w:t xml:space="preserve">Focuses on one country, one wedge, one financing gap: “the inability of smallholder farmers and SMEs to access formal credit.”</w:t>
      </w:r>
    </w:p>
    <w:p>
      <w:pPr>
        <w:pStyle w:val="ListParagraph"/>
        <w:numPr>
          <w:ilvl w:val="0"/>
          <w:numId w:val="1"/>
        </w:numPr>
        <w:spacing w:after="80"/>
      </w:pPr>
      <w:r>
        <w:t xml:space="preserve">Defines the rice value chain as the initial market entry.</w:t>
      </w:r>
    </w:p>
    <w:p>
      <w:pPr>
        <w:pStyle w:val="ListParagraph"/>
        <w:numPr>
          <w:ilvl w:val="0"/>
          <w:numId w:val="1"/>
        </w:numPr>
        <w:spacing w:after="80"/>
      </w:pPr>
      <w:r>
        <w:t xml:space="preserve">Provides policy context, competitive landscape, regulatory pathway, and phased funding.</w:t>
      </w:r>
    </w:p>
    <w:p>
      <w:pPr>
        <w:pStyle w:val="Heading3"/>
        <w:spacing w:after="100" w:before="200"/>
      </w:pPr>
      <w:r>
        <w:t xml:space="preserve">FiSH GL Engine Spec</w:t>
      </w:r>
    </w:p>
    <w:p>
      <w:pPr>
        <w:pStyle w:val="ListParagraph"/>
        <w:numPr>
          <w:ilvl w:val="0"/>
          <w:numId w:val="1"/>
        </w:numPr>
        <w:spacing w:after="80"/>
      </w:pPr>
      <w:r>
        <w:t xml:space="preserve">Defines FiSH as a shared ledger + audit + reporting engine for multiple ventures.</w:t>
      </w:r>
    </w:p>
    <w:p>
      <w:pPr>
        <w:pStyle w:val="ListParagraph"/>
        <w:numPr>
          <w:ilvl w:val="0"/>
          <w:numId w:val="1"/>
        </w:numPr>
        <w:spacing w:after="80"/>
      </w:pPr>
      <w:r>
        <w:t xml:space="preserve">Covers UK credit union, Sierra Leone agrifinance, Scrip treasury, Osusu, Mano River B2B, and BuzzMe.</w:t>
      </w:r>
    </w:p>
    <w:p>
      <w:pPr>
        <w:pStyle w:val="ListParagraph"/>
        <w:numPr>
          <w:ilvl w:val="0"/>
          <w:numId w:val="1"/>
        </w:numPr>
        <w:spacing w:after="80"/>
      </w:pPr>
      <w:r>
        <w:t xml:space="preserve">Focuses on architecture, compliance, domain model, functional requirements, and multi-tenant design.</w:t>
      </w:r>
    </w:p>
    <w:p>
      <w:pPr>
        <w:shd w:fill="F2F2F2" w:color="auto" w:val="clear"/>
        <w:spacing w:after="200" w:before="80"/>
      </w:pPr>
      <w:r>
        <w:rPr>
          <w:b/>
          <w:bCs/>
          <w:i/>
          <w:iCs/>
        </w:rPr>
        <w:t xml:space="preserve">Synthesis: </w:t>
      </w:r>
      <w:r>
        <w:rPr>
          <w:i/>
          <w:iCs/>
        </w:rPr>
        <w:t xml:space="preserve">The SL plan is a deployment strategy for one geography; the Engine Spec is the system architecture that enables that deployment and others.</w:t>
      </w:r>
    </w:p>
    <w:p>
      <w:pPr>
        <w:pStyle w:val="Heading1"/>
        <w:spacing w:after="160" w:before="360"/>
      </w:pPr>
      <w:r>
        <w:t xml:space="preserve">2. Market Logic: Underwriting Gap vs. Multi-Segment Platform</w:t>
      </w:r>
    </w:p>
    <w:p>
      <w:pPr>
        <w:pStyle w:val="Heading3"/>
        <w:spacing w:after="100" w:before="200"/>
      </w:pPr>
      <w:r>
        <w:t xml:space="preserve">Sierra Leone Business Plan</w:t>
      </w:r>
    </w:p>
    <w:p>
      <w:pPr>
        <w:pStyle w:val="ListParagraph"/>
        <w:numPr>
          <w:ilvl w:val="0"/>
          <w:numId w:val="1"/>
        </w:numPr>
        <w:spacing w:after="80"/>
      </w:pPr>
      <w:r>
        <w:t xml:space="preserve">Argues that Sierra Leone’s bottleneck is underwriting, not production.</w:t>
      </w:r>
    </w:p>
    <w:p>
      <w:pPr>
        <w:pStyle w:val="ListParagraph"/>
        <w:numPr>
          <w:ilvl w:val="0"/>
          <w:numId w:val="1"/>
        </w:numPr>
        <w:spacing w:after="80"/>
      </w:pPr>
      <w:r>
        <w:t xml:space="preserve">Positions FiSH GL as the missing data layer for outgrower schemes, commodity buyers, and government microcredit programmes.</w:t>
      </w:r>
    </w:p>
    <w:p>
      <w:pPr>
        <w:pStyle w:val="ListParagraph"/>
        <w:numPr>
          <w:ilvl w:val="0"/>
          <w:numId w:val="1"/>
        </w:numPr>
        <w:spacing w:after="80"/>
      </w:pPr>
      <w:r>
        <w:t xml:space="preserve">Emphasises Osusu digitisation, social-graph lending, and harvest-cycle modelling.</w:t>
      </w:r>
    </w:p>
    <w:p>
      <w:pPr>
        <w:pStyle w:val="Heading3"/>
        <w:spacing w:after="100" w:before="200"/>
      </w:pPr>
      <w:r>
        <w:t xml:space="preserve">FiSH GL Engine Spec</w:t>
      </w:r>
    </w:p>
    <w:p>
      <w:pPr>
        <w:pStyle w:val="ListParagraph"/>
        <w:numPr>
          <w:ilvl w:val="0"/>
          <w:numId w:val="1"/>
        </w:numPr>
        <w:spacing w:after="80"/>
      </w:pPr>
      <w:r>
        <w:t xml:space="preserve">Generalises this logic into a multi-tenant ledger, tax engine, and audit system.</w:t>
      </w:r>
    </w:p>
    <w:p>
      <w:pPr>
        <w:pStyle w:val="ListParagraph"/>
        <w:numPr>
          <w:ilvl w:val="0"/>
          <w:numId w:val="1"/>
        </w:numPr>
        <w:spacing w:after="80"/>
      </w:pPr>
      <w:r>
        <w:t xml:space="preserve">Adds UK credit union, Mano River B2B tax-reporting, and Scrip treasury as parallel use cases.</w:t>
      </w:r>
    </w:p>
    <w:p>
      <w:pPr>
        <w:pStyle w:val="ListParagraph"/>
        <w:numPr>
          <w:ilvl w:val="0"/>
          <w:numId w:val="1"/>
        </w:numPr>
        <w:spacing w:after="80"/>
      </w:pPr>
      <w:r>
        <w:t xml:space="preserve">Introduces BuzzMe as a future e-money layer.</w:t>
      </w:r>
    </w:p>
    <w:p>
      <w:pPr>
        <w:shd w:fill="F2F2F2" w:color="auto" w:val="clear"/>
        <w:spacing w:after="200" w:before="80"/>
      </w:pPr>
      <w:r>
        <w:rPr>
          <w:b/>
          <w:bCs/>
          <w:i/>
          <w:iCs/>
        </w:rPr>
        <w:t xml:space="preserve">Synthesis: </w:t>
      </w:r>
      <w:r>
        <w:rPr>
          <w:i/>
          <w:iCs/>
        </w:rPr>
        <w:t xml:space="preserve">The SL plan provides the problem statement; the Engine Spec provides the technical and organisational solution that solves that problem and others.</w:t>
      </w:r>
    </w:p>
    <w:p>
      <w:pPr>
        <w:pStyle w:val="Heading1"/>
        <w:spacing w:after="160" w:before="360"/>
      </w:pPr>
      <w:r>
        <w:t xml:space="preserve">3. Product Surface: USSD Agrifinance vs. Multi-Jurisdiction Credit Union</w:t>
      </w:r>
    </w:p>
    <w:p>
      <w:pPr>
        <w:pStyle w:val="Heading3"/>
        <w:spacing w:after="100" w:before="200"/>
      </w:pPr>
      <w:r>
        <w:t xml:space="preserve">Sierra Leone Business Plan</w:t>
      </w:r>
    </w:p>
    <w:p>
      <w:pPr>
        <w:pStyle w:val="ListParagraph"/>
        <w:numPr>
          <w:ilvl w:val="0"/>
          <w:numId w:val="1"/>
        </w:numPr>
        <w:spacing w:after="80"/>
      </w:pPr>
      <w:r>
        <w:t xml:space="preserve">Access layer: SIM Toolkit / USSD, no smartphone dependency.</w:t>
      </w:r>
    </w:p>
    <w:p>
      <w:pPr>
        <w:pStyle w:val="ListParagraph"/>
        <w:numPr>
          <w:ilvl w:val="0"/>
          <w:numId w:val="1"/>
        </w:numPr>
        <w:spacing w:after="80"/>
      </w:pPr>
      <w:r>
        <w:t xml:space="preserve">Products: Osusu savings, Osusu Advance, agri-harvest-cycle loans.</w:t>
      </w:r>
    </w:p>
    <w:p>
      <w:pPr>
        <w:pStyle w:val="ListParagraph"/>
        <w:numPr>
          <w:ilvl w:val="0"/>
          <w:numId w:val="1"/>
        </w:numPr>
        <w:spacing w:after="80"/>
      </w:pPr>
      <w:r>
        <w:t xml:space="preserve">Treasury: T-bills + gold-referenced reserve.</w:t>
      </w:r>
    </w:p>
    <w:p>
      <w:pPr>
        <w:pStyle w:val="Heading3"/>
        <w:spacing w:after="100" w:before="200"/>
      </w:pPr>
      <w:r>
        <w:t xml:space="preserve">FiSH GL Engine Spec</w:t>
      </w:r>
    </w:p>
    <w:p>
      <w:pPr>
        <w:pStyle w:val="ListParagraph"/>
        <w:numPr>
          <w:ilvl w:val="0"/>
          <w:numId w:val="1"/>
        </w:numPr>
        <w:spacing w:after="80"/>
      </w:pPr>
      <w:r>
        <w:t xml:space="preserve">Product surfaces: UK digital credit union (mobile + web), Sierra Leone USSD, B2B ledger, Scrip treasury, future BuzzMe e-money.</w:t>
      </w:r>
    </w:p>
    <w:p>
      <w:pPr>
        <w:pStyle w:val="ListParagraph"/>
        <w:numPr>
          <w:ilvl w:val="0"/>
          <w:numId w:val="1"/>
        </w:numPr>
        <w:spacing w:after="80"/>
      </w:pPr>
      <w:r>
        <w:t xml:space="preserve">Ledger requirements: multi-currency (GBP, EUR, SLE, USD), interest-rate ceilings, arrears workflow, audit trail, tax computation, equity-stake conversion for distressed companies.</w:t>
      </w:r>
    </w:p>
    <w:p>
      <w:pPr>
        <w:shd w:fill="F2F2F2" w:color="auto" w:val="clear"/>
        <w:spacing w:after="200" w:before="80"/>
      </w:pPr>
      <w:r>
        <w:rPr>
          <w:b/>
          <w:bCs/>
          <w:i/>
          <w:iCs/>
        </w:rPr>
        <w:t xml:space="preserve">Synthesis: </w:t>
      </w:r>
      <w:r>
        <w:rPr>
          <w:i/>
          <w:iCs/>
        </w:rPr>
        <w:t xml:space="preserve">The SL plan defines what the product must do in Sierra Leone; the Engine Spec defines how the ledger must behave to support that product and others.</w:t>
      </w:r>
    </w:p>
    <w:p>
      <w:pPr>
        <w:pStyle w:val="Heading1"/>
        <w:spacing w:after="160" w:before="360"/>
      </w:pPr>
      <w:r>
        <w:t xml:space="preserve">4. Regulatory Architecture: SL Dual-Track vs. Global Compliance</w:t>
      </w:r>
    </w:p>
    <w:p>
      <w:pPr>
        <w:pStyle w:val="Heading3"/>
        <w:spacing w:after="100" w:before="200"/>
      </w:pPr>
      <w:r>
        <w:t xml:space="preserve">Sierra Leone Business Plan</w:t>
      </w:r>
    </w:p>
    <w:p>
      <w:pPr>
        <w:pStyle w:val="ListParagraph"/>
        <w:numPr>
          <w:ilvl w:val="0"/>
          <w:numId w:val="1"/>
        </w:numPr>
        <w:spacing w:after="80"/>
      </w:pPr>
      <w:r>
        <w:t xml:space="preserve">Dual-track: SACCO registration and Bank of Sierra Leone Sandbox.</w:t>
      </w:r>
    </w:p>
    <w:p>
      <w:pPr>
        <w:pStyle w:val="ListParagraph"/>
        <w:numPr>
          <w:ilvl w:val="0"/>
          <w:numId w:val="1"/>
        </w:numPr>
        <w:spacing w:after="80"/>
      </w:pPr>
      <w:r>
        <w:t xml:space="preserve">Tiered KYC via phone number + national ID.</w:t>
      </w:r>
    </w:p>
    <w:p>
      <w:pPr>
        <w:pStyle w:val="ListParagraph"/>
        <w:numPr>
          <w:ilvl w:val="0"/>
          <w:numId w:val="1"/>
        </w:numPr>
        <w:spacing w:after="80"/>
      </w:pPr>
      <w:r>
        <w:t xml:space="preserve">Institutional relationships: SMEDA, MUNAFA Fund, ICASL.</w:t>
      </w:r>
    </w:p>
    <w:p>
      <w:pPr>
        <w:pStyle w:val="Heading3"/>
        <w:spacing w:after="100" w:before="200"/>
      </w:pPr>
      <w:r>
        <w:t xml:space="preserve">FiSH GL Engine Spec</w:t>
      </w:r>
    </w:p>
    <w:p>
      <w:pPr>
        <w:pStyle w:val="ListParagraph"/>
        <w:numPr>
          <w:ilvl w:val="0"/>
          <w:numId w:val="1"/>
        </w:numPr>
        <w:spacing w:after="80"/>
      </w:pPr>
      <w:r>
        <w:t xml:space="preserve">UK regulatory track: FCA + PRA + FSCS + FOS.</w:t>
      </w:r>
    </w:p>
    <w:p>
      <w:pPr>
        <w:pStyle w:val="ListParagraph"/>
        <w:numPr>
          <w:ilvl w:val="0"/>
          <w:numId w:val="1"/>
        </w:numPr>
        <w:spacing w:after="80"/>
      </w:pPr>
      <w:r>
        <w:t xml:space="preserve">SL track: Sandbox + Cooperative Societies Act (mirrors the SL plan).</w:t>
      </w:r>
    </w:p>
    <w:p>
      <w:pPr>
        <w:pStyle w:val="ListParagraph"/>
        <w:numPr>
          <w:ilvl w:val="0"/>
          <w:numId w:val="1"/>
        </w:numPr>
        <w:spacing w:after="80"/>
      </w:pPr>
      <w:r>
        <w:t xml:space="preserve">Ledger must support period locking, audit trail, transparency reporting, ethical lending rules, and tax computation for Mano River governments.</w:t>
      </w:r>
    </w:p>
    <w:p>
      <w:pPr>
        <w:shd w:fill="F2F2F2" w:color="auto" w:val="clear"/>
        <w:spacing w:after="200" w:before="80"/>
      </w:pPr>
      <w:r>
        <w:rPr>
          <w:b/>
          <w:bCs/>
          <w:i/>
          <w:iCs/>
        </w:rPr>
        <w:t xml:space="preserve">Synthesis: </w:t>
      </w:r>
      <w:r>
        <w:rPr>
          <w:i/>
          <w:iCs/>
        </w:rPr>
        <w:t xml:space="preserve">The SL plan defines country-specific regulatory steps; the Engine Spec defines the system-level compliance capabilities that make those steps possible.</w:t>
      </w:r>
    </w:p>
    <w:p>
      <w:pPr>
        <w:pStyle w:val="Heading1"/>
        <w:spacing w:after="160" w:before="360"/>
      </w:pPr>
      <w:r>
        <w:t xml:space="preserve">5. Revenue Model: SL Wedge vs. Multi-Segment Monetisation</w:t>
      </w:r>
    </w:p>
    <w:p>
      <w:pPr>
        <w:pStyle w:val="Heading3"/>
        <w:spacing w:after="100" w:before="200"/>
      </w:pPr>
      <w:r>
        <w:t xml:space="preserve">Sierra Leone Business Plan</w:t>
      </w:r>
    </w:p>
    <w:p>
      <w:pPr>
        <w:pStyle w:val="ListParagraph"/>
        <w:numPr>
          <w:ilvl w:val="0"/>
          <w:numId w:val="1"/>
        </w:numPr>
        <w:spacing w:after="80"/>
      </w:pPr>
      <w:r>
        <w:t xml:space="preserve">Osusu admin fee; micro-overdraft interest; treasury yield share; B2B credit-scoring-as-a-service (core wedge).</w:t>
      </w:r>
    </w:p>
    <w:p>
      <w:pPr>
        <w:pStyle w:val="Heading3"/>
        <w:spacing w:after="100" w:before="200"/>
      </w:pPr>
      <w:r>
        <w:t xml:space="preserve">FiSH GL Engine Spec (implicit)</w:t>
      </w:r>
    </w:p>
    <w:p>
      <w:pPr>
        <w:pStyle w:val="ListParagraph"/>
        <w:numPr>
          <w:ilvl w:val="0"/>
          <w:numId w:val="1"/>
        </w:numPr>
        <w:spacing w:after="80"/>
      </w:pPr>
      <w:r>
        <w:t xml:space="preserve">Purse UK: deposits, ethical loans. Scrip: treasury management. Osusu: micro-lending. Mano River B2B: ledger SaaS + tax computation. BuzzMe: future e-money fees.</w:t>
      </w:r>
    </w:p>
    <w:p>
      <w:pPr>
        <w:shd w:fill="F2F2F2" w:color="auto" w:val="clear"/>
        <w:spacing w:after="200" w:before="80"/>
      </w:pPr>
      <w:r>
        <w:rPr>
          <w:b/>
          <w:bCs/>
          <w:i/>
          <w:iCs/>
        </w:rPr>
        <w:t xml:space="preserve">Synthesis: </w:t>
      </w:r>
      <w:r>
        <w:rPr>
          <w:i/>
          <w:iCs/>
        </w:rPr>
        <w:t xml:space="preserve">The SL plan defines initial monetisation; the Engine Spec defines long-term multi-segment monetisation.</w:t>
      </w:r>
    </w:p>
    <w:p>
      <w:pPr>
        <w:pStyle w:val="Heading1"/>
        <w:spacing w:after="160" w:before="360"/>
      </w:pPr>
      <w:r>
        <w:t xml:space="preserve">6. Technology Architecture: Engine Spec vs. SL Deployment</w:t>
      </w:r>
    </w:p>
    <w:p>
      <w:pPr>
        <w:pStyle w:val="Heading3"/>
        <w:spacing w:after="100" w:before="200"/>
      </w:pPr>
      <w:r>
        <w:t xml:space="preserve">Sierra Leone Business Plan</w:t>
      </w:r>
    </w:p>
    <w:p>
      <w:pPr>
        <w:pStyle w:val="ListParagraph"/>
        <w:numPr>
          <w:ilvl w:val="0"/>
          <w:numId w:val="1"/>
        </w:numPr>
        <w:spacing w:after="80"/>
      </w:pPr>
      <w:r>
        <w:t xml:space="preserve">FiSH GL is the ledger + credit-scoring data layer; The Purse is the consumer-facing USSD product.</w:t>
      </w:r>
    </w:p>
    <w:p>
      <w:pPr>
        <w:pStyle w:val="ListParagraph"/>
        <w:numPr>
          <w:ilvl w:val="0"/>
          <w:numId w:val="1"/>
        </w:numPr>
        <w:spacing w:after="80"/>
      </w:pPr>
      <w:r>
        <w:t xml:space="preserve">Credit scoring uses Osusu consistency, social-graph vouching, and harvest-cycle modelling.</w:t>
      </w:r>
    </w:p>
    <w:p>
      <w:pPr>
        <w:pStyle w:val="Heading3"/>
        <w:spacing w:after="100" w:before="200"/>
      </w:pPr>
      <w:r>
        <w:t xml:space="preserve">FiSH GL Engine Spec</w:t>
      </w:r>
    </w:p>
    <w:p>
      <w:pPr>
        <w:pStyle w:val="ListParagraph"/>
        <w:numPr>
          <w:ilvl w:val="0"/>
          <w:numId w:val="1"/>
        </w:numPr>
        <w:spacing w:after="80"/>
      </w:pPr>
      <w:r>
        <w:t xml:space="preserve">Specifies chart of accounts, posting lifecycle, audit actions, multi-currency, API for Scrip/Osusu, tax engine, equity-stake conversion, arrears workflow, membership common-bond metadata, and event notifications for business-health monitoring.</w:t>
      </w:r>
    </w:p>
    <w:p>
      <w:pPr>
        <w:shd w:fill="F2F2F2" w:color="auto" w:val="clear"/>
        <w:spacing w:after="200" w:before="80"/>
      </w:pPr>
      <w:r>
        <w:rPr>
          <w:b/>
          <w:bCs/>
          <w:i/>
          <w:iCs/>
        </w:rPr>
        <w:t xml:space="preserve">Synthesis: </w:t>
      </w:r>
      <w:r>
        <w:rPr>
          <w:i/>
          <w:iCs/>
        </w:rPr>
        <w:t xml:space="preserve">The SL plan defines what data the engine must capture; the Engine Spec defines how the engine captures, validates, audits, and exposes that data.</w:t>
      </w:r>
    </w:p>
    <w:p>
      <w:pPr>
        <w:pStyle w:val="Heading1"/>
        <w:spacing w:after="160" w:before="360"/>
      </w:pPr>
      <w:r>
        <w:t xml:space="preserve">7. Organisational Positioning: Founder Strategy vs. System Architecture</w:t>
      </w:r>
    </w:p>
    <w:p>
      <w:pPr>
        <w:pStyle w:val="Heading3"/>
        <w:spacing w:after="100" w:before="200"/>
      </w:pPr>
      <w:r>
        <w:t xml:space="preserve">Sierra Leone Business Plan</w:t>
      </w:r>
    </w:p>
    <w:p>
      <w:pPr>
        <w:pStyle w:val="ListParagraph"/>
        <w:numPr>
          <w:ilvl w:val="0"/>
          <w:numId w:val="1"/>
        </w:numPr>
        <w:spacing w:after="80"/>
      </w:pPr>
      <w:r>
        <w:t xml:space="preserve">Founder credibility strategy: UK income funds SL investment; PgDip → CAI/CIMA/CIPFA → ICASL; FX/commodity advisory as parallel income; phase-based funding and execution.</w:t>
      </w:r>
    </w:p>
    <w:p>
      <w:pPr>
        <w:pStyle w:val="Heading3"/>
        <w:spacing w:after="100" w:before="200"/>
      </w:pPr>
      <w:r>
        <w:t xml:space="preserve">FiSH GL Engine Spec</w:t>
      </w:r>
    </w:p>
    <w:p>
      <w:pPr>
        <w:pStyle w:val="ListParagraph"/>
        <w:numPr>
          <w:ilvl w:val="0"/>
          <w:numId w:val="1"/>
        </w:numPr>
        <w:spacing w:after="80"/>
      </w:pPr>
      <w:r>
        <w:t xml:space="preserve">No founder-positioning content — purely technical and organisational architecture.</w:t>
      </w:r>
    </w:p>
    <w:p>
      <w:pPr>
        <w:shd w:fill="F2F2F2" w:color="auto" w:val="clear"/>
        <w:spacing w:after="200" w:before="80"/>
      </w:pPr>
      <w:r>
        <w:rPr>
          <w:b/>
          <w:bCs/>
          <w:i/>
          <w:iCs/>
        </w:rPr>
        <w:t xml:space="preserve">Synthesis: </w:t>
      </w:r>
      <w:r>
        <w:rPr>
          <w:i/>
          <w:iCs/>
        </w:rPr>
        <w:t xml:space="preserve">The SL plan includes founder-level execution strategy; the Engine Spec is product-level architecture.</w:t>
      </w:r>
    </w:p>
    <w:p>
      <w:pPr>
        <w:pStyle w:val="Heading1"/>
        <w:spacing w:after="160" w:before="360"/>
      </w:pPr>
      <w:r>
        <w:t xml:space="preserve">8. Where They Align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2995"/>
        <w:gridCol w:w="1872"/>
      </w:tblGrid>
      <w:tr>
        <w:trPr>
          <w:tblHeader/>
        </w:trPr>
        <w:tc>
          <w:tcPr>
            <w:tcW w:type="dxa" w:w="2059"/>
            <w:shd w:fill="D9E2F3" w:color="auto" w:val="clear"/>
          </w:tcPr>
          <w:p>
            <w:r>
              <w:rPr>
                <w:b/>
                <w:bCs/>
              </w:rPr>
              <w:t xml:space="preserve">Theme</w:t>
            </w:r>
          </w:p>
        </w:tc>
        <w:tc>
          <w:tcPr>
            <w:tcW w:type="dxa" w:w="2434"/>
            <w:shd w:fill="D9E2F3" w:color="auto" w:val="clear"/>
          </w:tcPr>
          <w:p>
            <w:r>
              <w:rPr>
                <w:b/>
                <w:bCs/>
              </w:rPr>
              <w:t xml:space="preserve">SL Plan</w:t>
            </w:r>
          </w:p>
        </w:tc>
        <w:tc>
          <w:tcPr>
            <w:tcW w:type="dxa" w:w="2995"/>
            <w:shd w:fill="D9E2F3" w:color="auto" w:val="clear"/>
          </w:tcPr>
          <w:p>
            <w:r>
              <w:rPr>
                <w:b/>
                <w:bCs/>
              </w:rPr>
              <w:t xml:space="preserve">Engine Spec</w:t>
            </w:r>
          </w:p>
        </w:tc>
        <w:tc>
          <w:tcPr>
            <w:tcW w:type="dxa" w:w="1872"/>
            <w:shd w:fill="D9E2F3" w:color="auto" w:val="clear"/>
          </w:tcPr>
          <w:p>
            <w:r>
              <w:rPr>
                <w:b/>
                <w:bCs/>
              </w:rPr>
              <w:t xml:space="preserve">Alignment</w:t>
            </w:r>
          </w:p>
        </w:tc>
      </w:tr>
      <w:tr>
        <w:tc>
          <w:tcPr>
            <w:tcW w:type="dxa" w:w="2059"/>
          </w:tcPr>
          <w:p>
            <w:r>
              <w:rPr>
                <w:b w:val="false"/>
                <w:bCs w:val="false"/>
              </w:rPr>
              <w:t xml:space="preserve">Underwriting gap</w:t>
            </w:r>
          </w:p>
        </w:tc>
        <w:tc>
          <w:tcPr>
            <w:tcW w:type="dxa" w:w="2434"/>
          </w:tcPr>
          <w:p>
            <w:r>
              <w:rPr>
                <w:b w:val="false"/>
                <w:bCs w:val="false"/>
              </w:rPr>
              <w:t xml:space="preserve">Core problem</w:t>
            </w:r>
          </w:p>
        </w:tc>
        <w:tc>
          <w:tcPr>
            <w:tcW w:type="dxa" w:w="2995"/>
          </w:tcPr>
          <w:p>
            <w:r>
              <w:rPr>
                <w:b w:val="false"/>
                <w:bCs w:val="false"/>
              </w:rPr>
              <w:t xml:space="preserve">Ledger + credit data</w:t>
            </w:r>
          </w:p>
        </w:tc>
        <w:tc>
          <w:tcPr>
            <w:tcW w:type="dxa" w:w="1872"/>
          </w:tcPr>
          <w:p>
            <w:r>
              <w:rPr>
                <w:b w:val="false"/>
                <w:bCs w:val="false"/>
              </w:rPr>
              <w:t xml:space="preserve">Direct</w:t>
            </w:r>
          </w:p>
        </w:tc>
      </w:tr>
      <w:tr>
        <w:tc>
          <w:tcPr>
            <w:tcW w:type="dxa" w:w="2059"/>
          </w:tcPr>
          <w:p>
            <w:r>
              <w:rPr>
                <w:b w:val="false"/>
                <w:bCs w:val="false"/>
              </w:rPr>
              <w:t xml:space="preserve">Osusu digitisation</w:t>
            </w:r>
          </w:p>
        </w:tc>
        <w:tc>
          <w:tcPr>
            <w:tcW w:type="dxa" w:w="2434"/>
          </w:tcPr>
          <w:p>
            <w:r>
              <w:rPr>
                <w:b w:val="false"/>
                <w:bCs w:val="false"/>
              </w:rPr>
              <w:t xml:space="preserve">Product wedge</w:t>
            </w:r>
          </w:p>
        </w:tc>
        <w:tc>
          <w:tcPr>
            <w:tcW w:type="dxa" w:w="2995"/>
          </w:tcPr>
          <w:p>
            <w:r>
              <w:rPr>
                <w:b w:val="false"/>
                <w:bCs w:val="false"/>
              </w:rPr>
              <w:t xml:space="preserve">Domain model + API</w:t>
            </w:r>
          </w:p>
        </w:tc>
        <w:tc>
          <w:tcPr>
            <w:tcW w:type="dxa" w:w="1872"/>
          </w:tcPr>
          <w:p>
            <w:r>
              <w:rPr>
                <w:b w:val="false"/>
                <w:bCs w:val="false"/>
              </w:rPr>
              <w:t xml:space="preserve">Direct</w:t>
            </w:r>
          </w:p>
        </w:tc>
      </w:tr>
      <w:tr>
        <w:tc>
          <w:tcPr>
            <w:tcW w:type="dxa" w:w="2059"/>
          </w:tcPr>
          <w:p>
            <w:r>
              <w:rPr>
                <w:b w:val="false"/>
                <w:bCs w:val="false"/>
              </w:rPr>
              <w:t xml:space="preserve">Social-graph lending</w:t>
            </w:r>
          </w:p>
        </w:tc>
        <w:tc>
          <w:tcPr>
            <w:tcW w:type="dxa" w:w="2434"/>
          </w:tcPr>
          <w:p>
            <w:r>
              <w:rPr>
                <w:b w:val="false"/>
                <w:bCs w:val="false"/>
              </w:rPr>
              <w:t xml:space="preserve">Credit scoring input</w:t>
            </w:r>
          </w:p>
        </w:tc>
        <w:tc>
          <w:tcPr>
            <w:tcW w:type="dxa" w:w="2995"/>
          </w:tcPr>
          <w:p>
            <w:r>
              <w:rPr>
                <w:b w:val="false"/>
                <w:bCs w:val="false"/>
              </w:rPr>
              <w:t xml:space="preserve">Ledger history + dimensions</w:t>
            </w:r>
          </w:p>
        </w:tc>
        <w:tc>
          <w:tcPr>
            <w:tcW w:type="dxa" w:w="1872"/>
          </w:tcPr>
          <w:p>
            <w:r>
              <w:rPr>
                <w:b w:val="false"/>
                <w:bCs w:val="false"/>
              </w:rPr>
              <w:t xml:space="preserve">Direct</w:t>
            </w:r>
          </w:p>
        </w:tc>
      </w:tr>
      <w:tr>
        <w:tc>
          <w:tcPr>
            <w:tcW w:type="dxa" w:w="2059"/>
          </w:tcPr>
          <w:p>
            <w:r>
              <w:rPr>
                <w:b w:val="false"/>
                <w:bCs w:val="false"/>
              </w:rPr>
              <w:t xml:space="preserve">Harvest-cycle loans</w:t>
            </w:r>
          </w:p>
        </w:tc>
        <w:tc>
          <w:tcPr>
            <w:tcW w:type="dxa" w:w="2434"/>
          </w:tcPr>
          <w:p>
            <w:r>
              <w:rPr>
                <w:b w:val="false"/>
                <w:bCs w:val="false"/>
              </w:rPr>
              <w:t xml:space="preserve">Seasonal underwriting</w:t>
            </w:r>
          </w:p>
        </w:tc>
        <w:tc>
          <w:tcPr>
            <w:tcW w:type="dxa" w:w="2995"/>
          </w:tcPr>
          <w:p>
            <w:r>
              <w:rPr>
                <w:b w:val="false"/>
                <w:bCs w:val="false"/>
              </w:rPr>
              <w:t xml:space="preserve">Ledger supports product rules</w:t>
            </w:r>
          </w:p>
        </w:tc>
        <w:tc>
          <w:tcPr>
            <w:tcW w:type="dxa" w:w="1872"/>
          </w:tcPr>
          <w:p>
            <w:r>
              <w:rPr>
                <w:b w:val="false"/>
                <w:bCs w:val="false"/>
              </w:rPr>
              <w:t xml:space="preserve">Direct</w:t>
            </w:r>
          </w:p>
        </w:tc>
      </w:tr>
      <w:tr>
        <w:tc>
          <w:tcPr>
            <w:tcW w:type="dxa" w:w="2059"/>
          </w:tcPr>
          <w:p>
            <w:r>
              <w:rPr>
                <w:b w:val="false"/>
                <w:bCs w:val="false"/>
              </w:rPr>
              <w:t xml:space="preserve">USSD access</w:t>
            </w:r>
          </w:p>
        </w:tc>
        <w:tc>
          <w:tcPr>
            <w:tcW w:type="dxa" w:w="2434"/>
          </w:tcPr>
          <w:p>
            <w:r>
              <w:rPr>
                <w:b w:val="false"/>
                <w:bCs w:val="false"/>
              </w:rPr>
              <w:t xml:space="preserve">Access layer</w:t>
            </w:r>
          </w:p>
        </w:tc>
        <w:tc>
          <w:tcPr>
            <w:tcW w:type="dxa" w:w="2995"/>
          </w:tcPr>
          <w:p>
            <w:r>
              <w:rPr>
                <w:b w:val="false"/>
                <w:bCs w:val="false"/>
              </w:rPr>
              <w:t xml:space="preserve">API-first engine</w:t>
            </w:r>
          </w:p>
        </w:tc>
        <w:tc>
          <w:tcPr>
            <w:tcW w:type="dxa" w:w="1872"/>
          </w:tcPr>
          <w:p>
            <w:r>
              <w:rPr>
                <w:b w:val="false"/>
                <w:bCs w:val="false"/>
              </w:rPr>
              <w:t xml:space="preserve">Direct</w:t>
            </w:r>
          </w:p>
        </w:tc>
      </w:tr>
      <w:tr>
        <w:tc>
          <w:tcPr>
            <w:tcW w:type="dxa" w:w="2059"/>
          </w:tcPr>
          <w:p>
            <w:r>
              <w:rPr>
                <w:b w:val="false"/>
                <w:bCs w:val="false"/>
              </w:rPr>
              <w:t xml:space="preserve">Gold-referenced reserve</w:t>
            </w:r>
          </w:p>
        </w:tc>
        <w:tc>
          <w:tcPr>
            <w:tcW w:type="dxa" w:w="2434"/>
          </w:tcPr>
          <w:p>
            <w:r>
              <w:rPr>
                <w:b w:val="false"/>
                <w:bCs w:val="false"/>
              </w:rPr>
              <w:t xml:space="preserve">Treasury</w:t>
            </w:r>
          </w:p>
        </w:tc>
        <w:tc>
          <w:tcPr>
            <w:tcW w:type="dxa" w:w="2995"/>
          </w:tcPr>
          <w:p>
            <w:r>
              <w:rPr>
                <w:b w:val="false"/>
                <w:bCs w:val="false"/>
              </w:rPr>
              <w:t xml:space="preserve">Scrip integration</w:t>
            </w:r>
          </w:p>
        </w:tc>
        <w:tc>
          <w:tcPr>
            <w:tcW w:type="dxa" w:w="1872"/>
          </w:tcPr>
          <w:p>
            <w:r>
              <w:rPr>
                <w:b w:val="false"/>
                <w:bCs w:val="false"/>
              </w:rPr>
              <w:t xml:space="preserve">Direct</w:t>
            </w:r>
          </w:p>
        </w:tc>
      </w:tr>
      <w:tr>
        <w:tc>
          <w:tcPr>
            <w:tcW w:type="dxa" w:w="2059"/>
          </w:tcPr>
          <w:p>
            <w:r>
              <w:rPr>
                <w:b w:val="false"/>
                <w:bCs w:val="false"/>
              </w:rPr>
              <w:t xml:space="preserve">SACCO + Sandbox</w:t>
            </w:r>
          </w:p>
        </w:tc>
        <w:tc>
          <w:tcPr>
            <w:tcW w:type="dxa" w:w="2434"/>
          </w:tcPr>
          <w:p>
            <w:r>
              <w:rPr>
                <w:b w:val="false"/>
                <w:bCs w:val="false"/>
              </w:rPr>
              <w:t xml:space="preserve">Regulatory</w:t>
            </w:r>
          </w:p>
        </w:tc>
        <w:tc>
          <w:tcPr>
            <w:tcW w:type="dxa" w:w="2995"/>
          </w:tcPr>
          <w:p>
            <w:r>
              <w:rPr>
                <w:b w:val="false"/>
                <w:bCs w:val="false"/>
              </w:rPr>
              <w:t xml:space="preserve">Period locking + audit</w:t>
            </w:r>
          </w:p>
        </w:tc>
        <w:tc>
          <w:tcPr>
            <w:tcW w:type="dxa" w:w="1872"/>
          </w:tcPr>
          <w:p>
            <w:r>
              <w:rPr>
                <w:b w:val="false"/>
                <w:bCs w:val="false"/>
              </w:rPr>
              <w:t xml:space="preserve">Direct</w:t>
            </w:r>
          </w:p>
        </w:tc>
      </w:tr>
      <w:tr>
        <w:tc>
          <w:tcPr>
            <w:tcW w:type="dxa" w:w="2059"/>
          </w:tcPr>
          <w:p>
            <w:r>
              <w:rPr>
                <w:b w:val="false"/>
                <w:bCs w:val="false"/>
              </w:rPr>
              <w:t xml:space="preserve">B2B credit-scoring</w:t>
            </w:r>
          </w:p>
        </w:tc>
        <w:tc>
          <w:tcPr>
            <w:tcW w:type="dxa" w:w="2434"/>
          </w:tcPr>
          <w:p>
            <w:r>
              <w:rPr>
                <w:b w:val="false"/>
                <w:bCs w:val="false"/>
              </w:rPr>
              <w:t xml:space="preserve">Revenue</w:t>
            </w:r>
          </w:p>
        </w:tc>
        <w:tc>
          <w:tcPr>
            <w:tcW w:type="dxa" w:w="2995"/>
          </w:tcPr>
          <w:p>
            <w:r>
              <w:rPr>
                <w:b w:val="false"/>
                <w:bCs w:val="false"/>
              </w:rPr>
              <w:t xml:space="preserve">Multi-tenant ledger</w:t>
            </w:r>
          </w:p>
        </w:tc>
        <w:tc>
          <w:tcPr>
            <w:tcW w:type="dxa" w:w="1872"/>
          </w:tcPr>
          <w:p>
            <w:r>
              <w:rPr>
                <w:b w:val="false"/>
                <w:bCs w:val="false"/>
              </w:rPr>
              <w:t xml:space="preserve">Direct</w:t>
            </w:r>
          </w:p>
        </w:tc>
      </w:tr>
      <w:tr>
        <w:tc>
          <w:tcPr>
            <w:tcW w:type="dxa" w:w="2059"/>
          </w:tcPr>
          <w:p>
            <w:r>
              <w:rPr>
                <w:b w:val="false"/>
                <w:bCs w:val="false"/>
              </w:rPr>
              <w:t xml:space="preserve">Mano River expansion</w:t>
            </w:r>
          </w:p>
        </w:tc>
        <w:tc>
          <w:tcPr>
            <w:tcW w:type="dxa" w:w="2434"/>
          </w:tcPr>
          <w:p>
            <w:r>
              <w:rPr>
                <w:b w:val="false"/>
                <w:bCs w:val="false"/>
              </w:rPr>
              <w:t xml:space="preserve">Regional strategy</w:t>
            </w:r>
          </w:p>
        </w:tc>
        <w:tc>
          <w:tcPr>
            <w:tcW w:type="dxa" w:w="2995"/>
          </w:tcPr>
          <w:p>
            <w:r>
              <w:rPr>
                <w:b w:val="false"/>
                <w:bCs w:val="false"/>
              </w:rPr>
              <w:t xml:space="preserve">Multi-jurisdiction tax engine</w:t>
            </w:r>
          </w:p>
        </w:tc>
        <w:tc>
          <w:tcPr>
            <w:tcW w:type="dxa" w:w="1872"/>
          </w:tcPr>
          <w:p>
            <w:r>
              <w:rPr>
                <w:b w:val="false"/>
                <w:bCs w:val="false"/>
              </w:rPr>
              <w:t xml:space="preserve">Direct</w:t>
            </w:r>
          </w:p>
        </w:tc>
      </w:tr>
    </w:tbl>
    <w:p>
      <w:pPr>
        <w:spacing w:after="160" w:before="160"/>
      </w:pPr>
    </w:p>
    <w:p>
      <w:pPr>
        <w:pBdr>
          <w:bottom w:val="single" w:color="999999" w:sz="6" w:space="1"/>
        </w:pBdr>
        <w:spacing w:after="240"/>
      </w:pPr>
    </w:p>
    <w:p>
      <w:pPr>
        <w:pStyle w:val="Heading1"/>
        <w:spacing w:after="160" w:before="360"/>
      </w:pPr>
      <w:r>
        <w:t xml:space="preserve">9. Where They Diverge (By Design)</w:t>
      </w:r>
    </w:p>
    <w:p>
      <w:pPr>
        <w:pStyle w:val="Heading3"/>
        <w:spacing w:after="100" w:before="200"/>
      </w:pPr>
      <w:r>
        <w:t xml:space="preserve">Sierra Leone Business Plan</w:t>
      </w:r>
    </w:p>
    <w:p>
      <w:pPr>
        <w:pStyle w:val="ListParagraph"/>
        <w:numPr>
          <w:ilvl w:val="0"/>
          <w:numId w:val="1"/>
        </w:numPr>
        <w:spacing w:after="80"/>
      </w:pPr>
      <w:r>
        <w:t xml:space="preserve">Country-specific economics; rice value chain focus; local policy tailwinds; competitive landscape; founder qualification strategy; funding phases.</w:t>
      </w:r>
    </w:p>
    <w:p>
      <w:pPr>
        <w:pStyle w:val="Heading3"/>
        <w:spacing w:after="100" w:before="200"/>
      </w:pPr>
      <w:r>
        <w:t xml:space="preserve">FiSH GL Engine Spec</w:t>
      </w:r>
    </w:p>
    <w:p>
      <w:pPr>
        <w:pStyle w:val="ListParagraph"/>
        <w:numPr>
          <w:ilvl w:val="0"/>
          <w:numId w:val="1"/>
        </w:numPr>
        <w:spacing w:after="80"/>
      </w:pPr>
      <w:r>
        <w:t xml:space="preserve">UK credit union ethics; interest-rate ceilings; Jubilee forgiveness; equity-stake conversion; tax computation engine; multi-tenant architecture; BuzzMe concept.</w:t>
      </w:r>
    </w:p>
    <w:p>
      <w:pPr>
        <w:spacing w:after="160"/>
      </w:pPr>
      <w:r>
        <w:t xml:space="preserve">These divergences are not contradictions — they reflect different scopes.</w:t>
      </w:r>
    </w:p>
    <w:p>
      <w:pPr>
        <w:pBdr>
          <w:bottom w:val="single" w:color="999999" w:sz="6" w:space="1"/>
        </w:pBdr>
        <w:spacing w:after="240"/>
      </w:pPr>
    </w:p>
    <w:p>
      <w:pPr>
        <w:pStyle w:val="Heading1"/>
        <w:spacing w:after="160" w:before="360"/>
      </w:pPr>
      <w:r>
        <w:t xml:space="preserve">10. What This Means Strategically</w:t>
      </w:r>
    </w:p>
    <w:p>
      <w:pPr>
        <w:spacing w:after="120"/>
      </w:pPr>
      <w:r>
        <w:rPr>
          <w:b/>
          <w:bCs/>
        </w:rPr>
        <w:t xml:space="preserve">The SL plan is the wedge. </w:t>
      </w:r>
      <w:r>
        <w:t xml:space="preserve">It is the first market where FiSH GL proves its underwriting thesis.</w:t>
      </w:r>
    </w:p>
    <w:p>
      <w:pPr>
        <w:spacing w:after="120"/>
      </w:pPr>
      <w:r>
        <w:rPr>
          <w:b/>
          <w:bCs/>
        </w:rPr>
        <w:t xml:space="preserve">The Engine Spec is the platform. </w:t>
      </w:r>
      <w:r>
        <w:t xml:space="preserve">It ensures that once Sierra Leone works, the system can scale to the UK, Ireland, Liberia, Guinea, Côte d’Ivoire, B2B ledger clients, and future e-money rails.</w:t>
      </w:r>
    </w:p>
    <w:p>
      <w:pPr>
        <w:spacing w:after="160"/>
      </w:pPr>
      <w:r>
        <w:t xml:space="preserve">The two documents are intentionally complementary: one is market-first, the other is architecture-first. Together they form a coherent narrative — a universal ledger engine, a country-specific wedge, a regional expansion path, and a multi-venture ecosystem.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2026-08-11T06:29:32.026Z</dcterms:created>
  <dcterms:modified xsi:type="dcterms:W3CDTF">2026-08-11T06:29:32.027Z</dcterms:modified>
</cp:coreProperties>
</file>

<file path=docProps/custom.xml><?xml version="1.0" encoding="utf-8"?>
<Properties xmlns="http://schemas.openxmlformats.org/officeDocument/2006/custom-properties" xmlns:vt="http://schemas.openxmlformats.org/officeDocument/2006/docPropsVTypes"/>
</file>