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Bank Customer Satisfaction Survey</w:t>
      </w:r>
    </w:p>
    <w:p>
      <w:pPr>
        <w:spacing w:after="400"/>
        <w:jc w:val="center"/>
      </w:pPr>
      <w:r>
        <w:rPr>
          <w:color w:val="595959"/>
          <w:sz w:val="24"/>
          <w:szCs w:val="24"/>
        </w:rPr>
        <w:t xml:space="preserve">Capstone Dataset Codebook - SPSS from Scratch Course</w:t>
      </w:r>
    </w:p>
    <w:p>
      <w:pPr>
        <w:pStyle w:val="Heading1"/>
        <w:spacing w:after="150" w:before="300"/>
      </w:pPr>
      <w:r>
        <w:rPr>
          <w:b/>
          <w:bCs/>
          <w:color w:val="1F3864"/>
          <w:sz w:val="28"/>
          <w:szCs w:val="28"/>
        </w:rPr>
        <w:t xml:space="preserve">1. Purpose of This Dataset</w:t>
      </w:r>
    </w:p>
    <w:p>
      <w:pPr>
        <w:spacing w:after="150"/>
      </w:pPr>
      <w:r>
        <w:rPr>
          <w:i w:val="false"/>
          <w:iCs w:val="false"/>
          <w:sz w:val="21"/>
          <w:szCs w:val="21"/>
        </w:rPr>
        <w:t xml:space="preserve">This dataset is the single running example used throughout the SPSS from Scratch course. Every module, from opening a file for the first time through to reliability analysis and regression, uses this same dataset so learners see how one investigation builds from raw data to full analysis, using both the point-and-click menus and equivalent syntax.</w:t>
      </w:r>
    </w:p>
    <w:p>
      <w:pPr>
        <w:spacing w:after="150"/>
      </w:pPr>
      <w:r>
        <w:rPr>
          <w:i w:val="false"/>
          <w:iCs w:val="false"/>
          <w:sz w:val="21"/>
          <w:szCs w:val="21"/>
        </w:rPr>
        <w:t xml:space="preserve">The dataset simulates a customer satisfaction survey conducted by a retail bank across five Nigerian cities. It contains 250 respondents and 18 variables, covering demographics, a five-item service quality scale, satisfaction and loyalty measures, and behavioral outcomes.</w:t>
      </w:r>
    </w:p>
    <w:p>
      <w:pPr>
        <w:pStyle w:val="Heading1"/>
        <w:spacing w:after="150" w:before="300"/>
      </w:pPr>
      <w:r>
        <w:rPr>
          <w:b/>
          <w:bCs/>
          <w:color w:val="1F3864"/>
          <w:sz w:val="28"/>
          <w:szCs w:val="28"/>
        </w:rPr>
        <w:t xml:space="preserve">2. Files Provided</w:t>
      </w:r>
    </w:p>
    <w:p>
      <w:pPr>
        <w:pStyle w:val="ListParagraph"/>
        <w:numPr>
          <w:ilvl w:val="0"/>
          <w:numId w:val="2"/>
        </w:numPr>
        <w:spacing w:after="80"/>
      </w:pPr>
      <w:r>
        <w:rPr>
          <w:sz w:val="21"/>
          <w:szCs w:val="21"/>
        </w:rPr>
        <w:t xml:space="preserve">bank_customer_satisfaction.csv - the raw dataset in CSV format, for practicing the import process in Module 1</w:t>
      </w:r>
    </w:p>
    <w:p>
      <w:pPr>
        <w:pStyle w:val="ListParagraph"/>
        <w:numPr>
          <w:ilvl w:val="0"/>
          <w:numId w:val="2"/>
        </w:numPr>
        <w:spacing w:after="80"/>
      </w:pPr>
      <w:r>
        <w:rPr>
          <w:sz w:val="21"/>
          <w:szCs w:val="21"/>
        </w:rPr>
        <w:t xml:space="preserve">bank_customer_satisfaction.sav - the same dataset pre-loaded into native SPSS format, with variable labels already applied, useful as an answer key or for modules that assume labels are already set</w:t>
      </w:r>
    </w:p>
    <w:p>
      <w:pPr>
        <w:pStyle w:val="Heading1"/>
        <w:spacing w:after="150" w:before="300"/>
      </w:pPr>
      <w:r>
        <w:rPr>
          <w:b/>
          <w:bCs/>
          <w:color w:val="1F3864"/>
          <w:sz w:val="28"/>
          <w:szCs w:val="28"/>
        </w:rPr>
        <w:t xml:space="preserve">3. Deliberate Design Features</w:t>
      </w:r>
    </w:p>
    <w:p>
      <w:pPr>
        <w:pStyle w:val="Heading2"/>
        <w:spacing w:after="100" w:before="200"/>
      </w:pPr>
      <w:r>
        <w:rPr>
          <w:b/>
          <w:bCs/>
          <w:color w:val="1F3864"/>
          <w:sz w:val="24"/>
          <w:szCs w:val="24"/>
        </w:rPr>
        <w:t xml:space="preserve">Built-in missing data</w:t>
      </w:r>
    </w:p>
    <w:p>
      <w:pPr>
        <w:spacing w:after="150"/>
      </w:pPr>
      <w:r>
        <w:rPr>
          <w:i w:val="false"/>
          <w:iCs w:val="false"/>
          <w:sz w:val="21"/>
          <w:szCs w:val="21"/>
        </w:rPr>
        <w:t xml:space="preserve">MonthlyIncome_Naira, CustomerTenure_Years, Q3_StaffKnowledge, and OverallSatisfaction each contain a small percentage of missing values, introduced deliberately so Module 4 (Handling Missing Data) has real gaps to diagnose and treat, rather than a synthetic add-on dataset.</w:t>
      </w:r>
    </w:p>
    <w:p>
      <w:pPr>
        <w:pStyle w:val="Heading2"/>
        <w:spacing w:after="100" w:before="200"/>
      </w:pPr>
      <w:r>
        <w:rPr>
          <w:b/>
          <w:bCs/>
          <w:color w:val="1F3864"/>
          <w:sz w:val="24"/>
          <w:szCs w:val="24"/>
        </w:rPr>
        <w:t xml:space="preserve">A genuine Likert scale for reliability analysis</w:t>
      </w:r>
    </w:p>
    <w:p>
      <w:pPr>
        <w:spacing w:after="150"/>
      </w:pPr>
      <w:r>
        <w:rPr>
          <w:i w:val="false"/>
          <w:iCs w:val="false"/>
          <w:sz w:val="21"/>
          <w:szCs w:val="21"/>
        </w:rPr>
        <w:t xml:space="preserve">The five service quality items (Q1 to Q5) are generated from a shared underlying satisfaction trait, so they correlate with each other the way real survey items do. Running Cronbach's alpha on these five items returns a realistic value in the excellent range (around 0.90), giving learners a clean, believable result in Module 10 (Reliability Analysis) rather than an artificially perfect or random one.</w:t>
      </w:r>
    </w:p>
    <w:p>
      <w:pPr>
        <w:pStyle w:val="Heading2"/>
        <w:spacing w:after="100" w:before="200"/>
      </w:pPr>
      <w:r>
        <w:rPr>
          <w:b/>
          <w:bCs/>
          <w:color w:val="1F3864"/>
          <w:sz w:val="24"/>
          <w:szCs w:val="24"/>
        </w:rPr>
        <w:t xml:space="preserve">Variables that connect across modules</w:t>
      </w:r>
    </w:p>
    <w:p>
      <w:pPr>
        <w:spacing w:after="150"/>
      </w:pPr>
      <w:r>
        <w:rPr>
          <w:i w:val="false"/>
          <w:iCs w:val="false"/>
          <w:sz w:val="21"/>
          <w:szCs w:val="21"/>
        </w:rPr>
        <w:t xml:space="preserve">OverallSatisfaction and LikelihoodToRecommend are both correlated with the underlying satisfaction trait, so they behave sensibly in Module 9 (Correlation and Regression). WouldContinueBanking is derived from OverallSatisfaction, giving a believable grouping variable for Chi-Square and t-test demonstrations. ComplaintsPast6Months is negatively associated with satisfaction, mirroring real-world patterns.</w:t>
      </w:r>
    </w:p>
    <w:p>
      <w:pPr>
        <w:pStyle w:val="Heading1"/>
        <w:spacing w:after="150" w:before="300"/>
      </w:pPr>
      <w:r>
        <w:rPr>
          <w:b/>
          <w:bCs/>
          <w:color w:val="1F3864"/>
          <w:sz w:val="28"/>
          <w:szCs w:val="28"/>
        </w:rPr>
        <w:t xml:space="preserve">4. Variable Dictionary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600"/>
        <w:gridCol w:w="1900"/>
      </w:tblGrid>
      <w:tr>
        <w:trPr>
          <w:tblHeader/>
        </w:trPr>
        <w:tc>
          <w:tcPr>
            <w:tcW w:type="dxa" w:w="2000"/>
            <w:shd w:fill="1F3864" w:val="clear"/>
            <w:vAlign w:val="center"/>
          </w:tcPr>
          <w:p>
            <w:r>
              <w:rPr>
                <w:b/>
                <w:bCs/>
                <w:color w:val="FFFFFF"/>
                <w:sz w:val="19"/>
                <w:szCs w:val="19"/>
              </w:rPr>
              <w:t xml:space="preserve">Variable Name</w:t>
            </w:r>
          </w:p>
        </w:tc>
        <w:tc>
          <w:tcPr>
            <w:tcW w:type="dxa" w:w="3200"/>
            <w:shd w:fill="1F3864" w:val="clear"/>
            <w:vAlign w:val="center"/>
          </w:tcPr>
          <w:p>
            <w:r>
              <w:rPr>
                <w:b/>
                <w:bCs/>
                <w:color w:val="FFFFFF"/>
                <w:sz w:val="19"/>
                <w:szCs w:val="19"/>
              </w:rPr>
              <w:t xml:space="preserve">Label / Description</w:t>
            </w:r>
          </w:p>
        </w:tc>
        <w:tc>
          <w:tcPr>
            <w:tcW w:type="dxa" w:w="2400"/>
            <w:shd w:fill="1F3864" w:val="clear"/>
            <w:vAlign w:val="center"/>
          </w:tcPr>
          <w:p>
            <w:r>
              <w:rPr>
                <w:b/>
                <w:bCs/>
                <w:color w:val="FFFFFF"/>
                <w:sz w:val="19"/>
                <w:szCs w:val="19"/>
              </w:rPr>
              <w:t xml:space="preserve">Type &amp; Values</w:t>
            </w:r>
          </w:p>
        </w:tc>
        <w:tc>
          <w:tcPr>
            <w:tcW w:type="dxa" w:w="1760"/>
            <w:shd w:fill="1F3864" w:val="clear"/>
            <w:vAlign w:val="center"/>
          </w:tcPr>
          <w:p>
            <w:r>
              <w:rPr>
                <w:b/>
                <w:bCs/>
                <w:color w:val="FFFFFF"/>
                <w:sz w:val="19"/>
                <w:szCs w:val="19"/>
              </w:rPr>
              <w:t xml:space="preserve">Used In (Module)</w:t>
            </w:r>
          </w:p>
        </w:tc>
      </w:tr>
      <w:tr>
        <w:tc>
          <w:tcPr>
            <w:tcW w:type="dxa" w:w="2200"/>
            <w:vAlign w:val="center"/>
          </w:tcPr>
          <w:p>
            <w:r>
              <w:rPr>
                <w:b/>
                <w:bCs/>
                <w:color w:val="000000"/>
                <w:sz w:val="19"/>
                <w:szCs w:val="19"/>
              </w:rPr>
              <w:t xml:space="preserve">CustomerID</w:t>
            </w:r>
          </w:p>
        </w:tc>
        <w:tc>
          <w:tcPr>
            <w:tcW w:type="dxa" w:w="3600"/>
            <w:vAlign w:val="center"/>
          </w:tcPr>
          <w:p>
            <w:r>
              <w:rPr>
                <w:b w:val="false"/>
                <w:bCs w:val="false"/>
                <w:color w:val="000000"/>
                <w:sz w:val="19"/>
                <w:szCs w:val="19"/>
              </w:rPr>
              <w:t xml:space="preserve">Unique customer identifier</w:t>
            </w:r>
          </w:p>
        </w:tc>
        <w:tc>
          <w:tcPr>
            <w:tcW w:type="dxa" w:w="2600"/>
            <w:vAlign w:val="center"/>
          </w:tcPr>
          <w:p>
            <w:r>
              <w:rPr>
                <w:b w:val="false"/>
                <w:bCs w:val="false"/>
                <w:color w:val="000000"/>
                <w:sz w:val="18"/>
                <w:szCs w:val="18"/>
              </w:rPr>
              <w:t xml:space="preserve">Numeric, 1001-1250 (nominal, identifier only)</w:t>
            </w:r>
          </w:p>
        </w:tc>
        <w:tc>
          <w:tcPr>
            <w:tcW w:type="dxa" w:w="1900"/>
            <w:vAlign w:val="center"/>
          </w:tcPr>
          <w:p>
            <w:r>
              <w:rPr>
                <w:b w:val="false"/>
                <w:bCs w:val="false"/>
                <w:color w:val="000000"/>
                <w:sz w:val="18"/>
                <w:szCs w:val="18"/>
              </w:rPr>
              <w:t xml:space="preserve">All modules</w:t>
            </w:r>
          </w:p>
        </w:tc>
      </w:tr>
      <w:tr>
        <w:tc>
          <w:tcPr>
            <w:tcW w:type="dxa" w:w="2200"/>
            <w:vAlign w:val="center"/>
          </w:tcPr>
          <w:p>
            <w:r>
              <w:rPr>
                <w:b/>
                <w:bCs/>
                <w:color w:val="000000"/>
                <w:sz w:val="19"/>
                <w:szCs w:val="19"/>
              </w:rPr>
              <w:t xml:space="preserve">Age</w:t>
            </w:r>
          </w:p>
        </w:tc>
        <w:tc>
          <w:tcPr>
            <w:tcW w:type="dxa" w:w="3600"/>
            <w:vAlign w:val="center"/>
          </w:tcPr>
          <w:p>
            <w:r>
              <w:rPr>
                <w:b w:val="false"/>
                <w:bCs w:val="false"/>
                <w:color w:val="000000"/>
                <w:sz w:val="19"/>
                <w:szCs w:val="19"/>
              </w:rPr>
              <w:t xml:space="preserve">Customer age in years</w:t>
            </w:r>
          </w:p>
        </w:tc>
        <w:tc>
          <w:tcPr>
            <w:tcW w:type="dxa" w:w="2600"/>
            <w:vAlign w:val="center"/>
          </w:tcPr>
          <w:p>
            <w:r>
              <w:rPr>
                <w:b w:val="false"/>
                <w:bCs w:val="false"/>
                <w:color w:val="000000"/>
                <w:sz w:val="18"/>
                <w:szCs w:val="18"/>
              </w:rPr>
              <w:t xml:space="preserve">Scale, 18-65</w:t>
            </w:r>
          </w:p>
        </w:tc>
        <w:tc>
          <w:tcPr>
            <w:tcW w:type="dxa" w:w="1900"/>
            <w:vAlign w:val="center"/>
          </w:tcPr>
          <w:p>
            <w:r>
              <w:rPr>
                <w:b w:val="false"/>
                <w:bCs w:val="false"/>
                <w:color w:val="000000"/>
                <w:sz w:val="18"/>
                <w:szCs w:val="18"/>
              </w:rPr>
              <w:t xml:space="preserve">Descriptives, Correlation</w:t>
            </w:r>
          </w:p>
        </w:tc>
      </w:tr>
      <w:tr>
        <w:tc>
          <w:tcPr>
            <w:tcW w:type="dxa" w:w="2200"/>
            <w:vAlign w:val="center"/>
          </w:tcPr>
          <w:p>
            <w:r>
              <w:rPr>
                <w:b/>
                <w:bCs/>
                <w:color w:val="000000"/>
                <w:sz w:val="19"/>
                <w:szCs w:val="19"/>
              </w:rPr>
              <w:t xml:space="preserve">Gender</w:t>
            </w:r>
          </w:p>
        </w:tc>
        <w:tc>
          <w:tcPr>
            <w:tcW w:type="dxa" w:w="3600"/>
            <w:vAlign w:val="center"/>
          </w:tcPr>
          <w:p>
            <w:r>
              <w:rPr>
                <w:b w:val="false"/>
                <w:bCs w:val="false"/>
                <w:color w:val="000000"/>
                <w:sz w:val="19"/>
                <w:szCs w:val="19"/>
              </w:rPr>
              <w:t xml:space="preserve">Customer gender</w:t>
            </w:r>
          </w:p>
        </w:tc>
        <w:tc>
          <w:tcPr>
            <w:tcW w:type="dxa" w:w="2600"/>
            <w:vAlign w:val="center"/>
          </w:tcPr>
          <w:p>
            <w:r>
              <w:rPr>
                <w:b w:val="false"/>
                <w:bCs w:val="false"/>
                <w:color w:val="000000"/>
                <w:sz w:val="18"/>
                <w:szCs w:val="18"/>
              </w:rPr>
              <w:t xml:space="preserve">Nominal: Male, Female</w:t>
            </w:r>
          </w:p>
        </w:tc>
        <w:tc>
          <w:tcPr>
            <w:tcW w:type="dxa" w:w="1900"/>
            <w:vAlign w:val="center"/>
          </w:tcPr>
          <w:p>
            <w:r>
              <w:rPr>
                <w:b w:val="false"/>
                <w:bCs w:val="false"/>
                <w:color w:val="000000"/>
                <w:sz w:val="18"/>
                <w:szCs w:val="18"/>
              </w:rPr>
              <w:t xml:space="preserve">Crosstabs, t-test</w:t>
            </w:r>
          </w:p>
        </w:tc>
      </w:tr>
      <w:tr>
        <w:tc>
          <w:tcPr>
            <w:tcW w:type="dxa" w:w="2200"/>
            <w:vAlign w:val="center"/>
          </w:tcPr>
          <w:p>
            <w:r>
              <w:rPr>
                <w:b/>
                <w:bCs/>
                <w:color w:val="000000"/>
                <w:sz w:val="19"/>
                <w:szCs w:val="19"/>
              </w:rPr>
              <w:t xml:space="preserve">MaritalStatus</w:t>
            </w:r>
          </w:p>
        </w:tc>
        <w:tc>
          <w:tcPr>
            <w:tcW w:type="dxa" w:w="3600"/>
            <w:vAlign w:val="center"/>
          </w:tcPr>
          <w:p>
            <w:r>
              <w:rPr>
                <w:b w:val="false"/>
                <w:bCs w:val="false"/>
                <w:color w:val="000000"/>
                <w:sz w:val="19"/>
                <w:szCs w:val="19"/>
              </w:rPr>
              <w:t xml:space="preserve">Marital status</w:t>
            </w:r>
          </w:p>
        </w:tc>
        <w:tc>
          <w:tcPr>
            <w:tcW w:type="dxa" w:w="2600"/>
            <w:vAlign w:val="center"/>
          </w:tcPr>
          <w:p>
            <w:r>
              <w:rPr>
                <w:b w:val="false"/>
                <w:bCs w:val="false"/>
                <w:color w:val="000000"/>
                <w:sz w:val="18"/>
                <w:szCs w:val="18"/>
              </w:rPr>
              <w:t xml:space="preserve">Nominal: Single, Married, Divorced, Widowed</w:t>
            </w:r>
          </w:p>
        </w:tc>
        <w:tc>
          <w:tcPr>
            <w:tcW w:type="dxa" w:w="1900"/>
            <w:vAlign w:val="center"/>
          </w:tcPr>
          <w:p>
            <w:r>
              <w:rPr>
                <w:b w:val="false"/>
                <w:bCs w:val="false"/>
                <w:color w:val="000000"/>
                <w:sz w:val="18"/>
                <w:szCs w:val="18"/>
              </w:rPr>
              <w:t xml:space="preserve">Crosstabs, Frequencies</w:t>
            </w:r>
          </w:p>
        </w:tc>
      </w:tr>
      <w:tr>
        <w:tc>
          <w:tcPr>
            <w:tcW w:type="dxa" w:w="2200"/>
            <w:vAlign w:val="center"/>
          </w:tcPr>
          <w:p>
            <w:r>
              <w:rPr>
                <w:b/>
                <w:bCs/>
                <w:color w:val="000000"/>
                <w:sz w:val="19"/>
                <w:szCs w:val="19"/>
              </w:rPr>
              <w:t xml:space="preserve">EducationLevel</w:t>
            </w:r>
          </w:p>
        </w:tc>
        <w:tc>
          <w:tcPr>
            <w:tcW w:type="dxa" w:w="3600"/>
            <w:vAlign w:val="center"/>
          </w:tcPr>
          <w:p>
            <w:r>
              <w:rPr>
                <w:b w:val="false"/>
                <w:bCs w:val="false"/>
                <w:color w:val="000000"/>
                <w:sz w:val="19"/>
                <w:szCs w:val="19"/>
              </w:rPr>
              <w:t xml:space="preserve">Highest education level attained</w:t>
            </w:r>
          </w:p>
        </w:tc>
        <w:tc>
          <w:tcPr>
            <w:tcW w:type="dxa" w:w="2600"/>
            <w:vAlign w:val="center"/>
          </w:tcPr>
          <w:p>
            <w:r>
              <w:rPr>
                <w:b w:val="false"/>
                <w:bCs w:val="false"/>
                <w:color w:val="000000"/>
                <w:sz w:val="18"/>
                <w:szCs w:val="18"/>
              </w:rPr>
              <w:t xml:space="preserve">Ordinal: Secondary, Diploma, Bachelor's, Master's, PhD</w:t>
            </w:r>
          </w:p>
        </w:tc>
        <w:tc>
          <w:tcPr>
            <w:tcW w:type="dxa" w:w="1900"/>
            <w:vAlign w:val="center"/>
          </w:tcPr>
          <w:p>
            <w:r>
              <w:rPr>
                <w:b w:val="false"/>
                <w:bCs w:val="false"/>
                <w:color w:val="000000"/>
                <w:sz w:val="18"/>
                <w:szCs w:val="18"/>
              </w:rPr>
              <w:t xml:space="preserve">Crosstabs, ANOVA</w:t>
            </w:r>
          </w:p>
        </w:tc>
      </w:tr>
      <w:tr>
        <w:tc>
          <w:tcPr>
            <w:tcW w:type="dxa" w:w="2200"/>
            <w:vAlign w:val="center"/>
          </w:tcPr>
          <w:p>
            <w:r>
              <w:rPr>
                <w:b/>
                <w:bCs/>
                <w:color w:val="000000"/>
                <w:sz w:val="19"/>
                <w:szCs w:val="19"/>
              </w:rPr>
              <w:t xml:space="preserve">MonthlyIncome_Naira</w:t>
            </w:r>
          </w:p>
        </w:tc>
        <w:tc>
          <w:tcPr>
            <w:tcW w:type="dxa" w:w="3600"/>
            <w:vAlign w:val="center"/>
          </w:tcPr>
          <w:p>
            <w:r>
              <w:rPr>
                <w:b w:val="false"/>
                <w:bCs w:val="false"/>
                <w:color w:val="000000"/>
                <w:sz w:val="19"/>
                <w:szCs w:val="19"/>
              </w:rPr>
              <w:t xml:space="preserve">Monthly income in Naira</w:t>
            </w:r>
          </w:p>
        </w:tc>
        <w:tc>
          <w:tcPr>
            <w:tcW w:type="dxa" w:w="2600"/>
            <w:vAlign w:val="center"/>
          </w:tcPr>
          <w:p>
            <w:r>
              <w:rPr>
                <w:b w:val="false"/>
                <w:bCs w:val="false"/>
                <w:color w:val="000000"/>
                <w:sz w:val="18"/>
                <w:szCs w:val="18"/>
              </w:rPr>
              <w:t xml:space="preserve">Scale, continuous (contains missing values)</w:t>
            </w:r>
          </w:p>
        </w:tc>
        <w:tc>
          <w:tcPr>
            <w:tcW w:type="dxa" w:w="1900"/>
            <w:vAlign w:val="center"/>
          </w:tcPr>
          <w:p>
            <w:r>
              <w:rPr>
                <w:b w:val="false"/>
                <w:bCs w:val="false"/>
                <w:color w:val="000000"/>
                <w:sz w:val="18"/>
                <w:szCs w:val="18"/>
              </w:rPr>
              <w:t xml:space="preserve">Missing Data, Descriptives, Regression</w:t>
            </w:r>
          </w:p>
        </w:tc>
      </w:tr>
      <w:tr>
        <w:tc>
          <w:tcPr>
            <w:tcW w:type="dxa" w:w="2200"/>
            <w:vAlign w:val="center"/>
          </w:tcPr>
          <w:p>
            <w:r>
              <w:rPr>
                <w:b/>
                <w:bCs/>
                <w:color w:val="000000"/>
                <w:sz w:val="19"/>
                <w:szCs w:val="19"/>
              </w:rPr>
              <w:t xml:space="preserve">CustomerTenure_Years</w:t>
            </w:r>
          </w:p>
        </w:tc>
        <w:tc>
          <w:tcPr>
            <w:tcW w:type="dxa" w:w="3600"/>
            <w:vAlign w:val="center"/>
          </w:tcPr>
          <w:p>
            <w:r>
              <w:rPr>
                <w:b w:val="false"/>
                <w:bCs w:val="false"/>
                <w:color w:val="000000"/>
                <w:sz w:val="19"/>
                <w:szCs w:val="19"/>
              </w:rPr>
              <w:t xml:space="preserve">Years banking with the institution</w:t>
            </w:r>
          </w:p>
        </w:tc>
        <w:tc>
          <w:tcPr>
            <w:tcW w:type="dxa" w:w="2600"/>
            <w:vAlign w:val="center"/>
          </w:tcPr>
          <w:p>
            <w:r>
              <w:rPr>
                <w:b w:val="false"/>
                <w:bCs w:val="false"/>
                <w:color w:val="000000"/>
                <w:sz w:val="18"/>
                <w:szCs w:val="18"/>
              </w:rPr>
              <w:t xml:space="preserve">Scale, continuous (contains a few missing values)</w:t>
            </w:r>
          </w:p>
        </w:tc>
        <w:tc>
          <w:tcPr>
            <w:tcW w:type="dxa" w:w="1900"/>
            <w:vAlign w:val="center"/>
          </w:tcPr>
          <w:p>
            <w:r>
              <w:rPr>
                <w:b w:val="false"/>
                <w:bCs w:val="false"/>
                <w:color w:val="000000"/>
                <w:sz w:val="18"/>
                <w:szCs w:val="18"/>
              </w:rPr>
              <w:t xml:space="preserve">Missing Data, Correlation</w:t>
            </w:r>
          </w:p>
        </w:tc>
      </w:tr>
      <w:tr>
        <w:tc>
          <w:tcPr>
            <w:tcW w:type="dxa" w:w="2200"/>
            <w:vAlign w:val="center"/>
          </w:tcPr>
          <w:p>
            <w:r>
              <w:rPr>
                <w:b/>
                <w:bCs/>
                <w:color w:val="000000"/>
                <w:sz w:val="19"/>
                <w:szCs w:val="19"/>
              </w:rPr>
              <w:t xml:space="preserve">BranchLocation</w:t>
            </w:r>
          </w:p>
        </w:tc>
        <w:tc>
          <w:tcPr>
            <w:tcW w:type="dxa" w:w="3600"/>
            <w:vAlign w:val="center"/>
          </w:tcPr>
          <w:p>
            <w:r>
              <w:rPr>
                <w:b w:val="false"/>
                <w:bCs w:val="false"/>
                <w:color w:val="000000"/>
                <w:sz w:val="19"/>
                <w:szCs w:val="19"/>
              </w:rPr>
              <w:t xml:space="preserve">Branch / city location</w:t>
            </w:r>
          </w:p>
        </w:tc>
        <w:tc>
          <w:tcPr>
            <w:tcW w:type="dxa" w:w="2600"/>
            <w:vAlign w:val="center"/>
          </w:tcPr>
          <w:p>
            <w:r>
              <w:rPr>
                <w:b w:val="false"/>
                <w:bCs w:val="false"/>
                <w:color w:val="000000"/>
                <w:sz w:val="18"/>
                <w:szCs w:val="18"/>
              </w:rPr>
              <w:t xml:space="preserve">Nominal: Lagos, Abuja, Port Harcourt, Kano, Ibadan</w:t>
            </w:r>
          </w:p>
        </w:tc>
        <w:tc>
          <w:tcPr>
            <w:tcW w:type="dxa" w:w="1900"/>
            <w:vAlign w:val="center"/>
          </w:tcPr>
          <w:p>
            <w:r>
              <w:rPr>
                <w:b w:val="false"/>
                <w:bCs w:val="false"/>
                <w:color w:val="000000"/>
                <w:sz w:val="18"/>
                <w:szCs w:val="18"/>
              </w:rPr>
              <w:t xml:space="preserve">Crosstabs, ANOVA</w:t>
            </w:r>
          </w:p>
        </w:tc>
      </w:tr>
      <w:tr>
        <w:tc>
          <w:tcPr>
            <w:tcW w:type="dxa" w:w="2200"/>
            <w:vAlign w:val="center"/>
          </w:tcPr>
          <w:p>
            <w:r>
              <w:rPr>
                <w:b/>
                <w:bCs/>
                <w:color w:val="000000"/>
                <w:sz w:val="19"/>
                <w:szCs w:val="19"/>
              </w:rPr>
              <w:t xml:space="preserve">PreferredChannel</w:t>
            </w:r>
          </w:p>
        </w:tc>
        <w:tc>
          <w:tcPr>
            <w:tcW w:type="dxa" w:w="3600"/>
            <w:vAlign w:val="center"/>
          </w:tcPr>
          <w:p>
            <w:r>
              <w:rPr>
                <w:b w:val="false"/>
                <w:bCs w:val="false"/>
                <w:color w:val="000000"/>
                <w:sz w:val="19"/>
                <w:szCs w:val="19"/>
              </w:rPr>
              <w:t xml:space="preserve">Preferred banking channel</w:t>
            </w:r>
          </w:p>
        </w:tc>
        <w:tc>
          <w:tcPr>
            <w:tcW w:type="dxa" w:w="2600"/>
            <w:vAlign w:val="center"/>
          </w:tcPr>
          <w:p>
            <w:r>
              <w:rPr>
                <w:b w:val="false"/>
                <w:bCs w:val="false"/>
                <w:color w:val="000000"/>
                <w:sz w:val="18"/>
                <w:szCs w:val="18"/>
              </w:rPr>
              <w:t xml:space="preserve">Nominal: Branch, Mobile App, Internet Banking, ATM, USSD</w:t>
            </w:r>
          </w:p>
        </w:tc>
        <w:tc>
          <w:tcPr>
            <w:tcW w:type="dxa" w:w="1900"/>
            <w:vAlign w:val="center"/>
          </w:tcPr>
          <w:p>
            <w:r>
              <w:rPr>
                <w:b w:val="false"/>
                <w:bCs w:val="false"/>
                <w:color w:val="000000"/>
                <w:sz w:val="18"/>
                <w:szCs w:val="18"/>
              </w:rPr>
              <w:t xml:space="preserve">Crosstabs, Chi-Square</w:t>
            </w:r>
          </w:p>
        </w:tc>
      </w:tr>
      <w:tr>
        <w:tc>
          <w:tcPr>
            <w:tcW w:type="dxa" w:w="2200"/>
            <w:vAlign w:val="center"/>
          </w:tcPr>
          <w:p>
            <w:r>
              <w:rPr>
                <w:b/>
                <w:bCs/>
                <w:color w:val="000000"/>
                <w:sz w:val="19"/>
                <w:szCs w:val="19"/>
              </w:rPr>
              <w:t xml:space="preserve">Q1_StaffCourteous</w:t>
            </w:r>
          </w:p>
        </w:tc>
        <w:tc>
          <w:tcPr>
            <w:tcW w:type="dxa" w:w="3600"/>
            <w:vAlign w:val="center"/>
          </w:tcPr>
          <w:p>
            <w:r>
              <w:rPr>
                <w:b w:val="false"/>
                <w:bCs w:val="false"/>
                <w:color w:val="000000"/>
                <w:sz w:val="19"/>
                <w:szCs w:val="19"/>
              </w:rPr>
              <w:t xml:space="preserve">Staff were courteous and helpful</w:t>
            </w:r>
          </w:p>
        </w:tc>
        <w:tc>
          <w:tcPr>
            <w:tcW w:type="dxa" w:w="2600"/>
            <w:vAlign w:val="center"/>
          </w:tcPr>
          <w:p>
            <w:r>
              <w:rPr>
                <w:b w:val="false"/>
                <w:bCs w:val="false"/>
                <w:color w:val="000000"/>
                <w:sz w:val="18"/>
                <w:szCs w:val="18"/>
              </w:rPr>
              <w:t xml:space="preserve">Ordinal Likert, 1 (Strongly Disagree) to 5 (Strongly Agree)</w:t>
            </w:r>
          </w:p>
        </w:tc>
        <w:tc>
          <w:tcPr>
            <w:tcW w:type="dxa" w:w="1900"/>
            <w:vAlign w:val="center"/>
          </w:tcPr>
          <w:p>
            <w:r>
              <w:rPr>
                <w:b w:val="false"/>
                <w:bCs w:val="false"/>
                <w:color w:val="000000"/>
                <w:sz w:val="18"/>
                <w:szCs w:val="18"/>
              </w:rPr>
              <w:t xml:space="preserve">Reliability (Cronbach's alpha)</w:t>
            </w:r>
          </w:p>
        </w:tc>
      </w:tr>
      <w:tr>
        <w:tc>
          <w:tcPr>
            <w:tcW w:type="dxa" w:w="2200"/>
            <w:vAlign w:val="center"/>
          </w:tcPr>
          <w:p>
            <w:r>
              <w:rPr>
                <w:b/>
                <w:bCs/>
                <w:color w:val="000000"/>
                <w:sz w:val="19"/>
                <w:szCs w:val="19"/>
              </w:rPr>
              <w:t xml:space="preserve">Q2_TransactionSpeed</w:t>
            </w:r>
          </w:p>
        </w:tc>
        <w:tc>
          <w:tcPr>
            <w:tcW w:type="dxa" w:w="3600"/>
            <w:vAlign w:val="center"/>
          </w:tcPr>
          <w:p>
            <w:r>
              <w:rPr>
                <w:b w:val="false"/>
                <w:bCs w:val="false"/>
                <w:color w:val="000000"/>
                <w:sz w:val="19"/>
                <w:szCs w:val="19"/>
              </w:rPr>
              <w:t xml:space="preserve">Transactions were processed quickly</w:t>
            </w:r>
          </w:p>
        </w:tc>
        <w:tc>
          <w:tcPr>
            <w:tcW w:type="dxa" w:w="2600"/>
            <w:vAlign w:val="center"/>
          </w:tcPr>
          <w:p>
            <w:r>
              <w:rPr>
                <w:b w:val="false"/>
                <w:bCs w:val="false"/>
                <w:color w:val="000000"/>
                <w:sz w:val="18"/>
                <w:szCs w:val="18"/>
              </w:rPr>
              <w:t xml:space="preserve">Ordinal Likert, 1-5</w:t>
            </w:r>
          </w:p>
        </w:tc>
        <w:tc>
          <w:tcPr>
            <w:tcW w:type="dxa" w:w="1900"/>
            <w:vAlign w:val="center"/>
          </w:tcPr>
          <w:p>
            <w:r>
              <w:rPr>
                <w:b w:val="false"/>
                <w:bCs w:val="false"/>
                <w:color w:val="000000"/>
                <w:sz w:val="18"/>
                <w:szCs w:val="18"/>
              </w:rPr>
              <w:t xml:space="preserve">Reliability (Cronbach's alpha)</w:t>
            </w:r>
          </w:p>
        </w:tc>
      </w:tr>
      <w:tr>
        <w:tc>
          <w:tcPr>
            <w:tcW w:type="dxa" w:w="2200"/>
            <w:vAlign w:val="center"/>
          </w:tcPr>
          <w:p>
            <w:r>
              <w:rPr>
                <w:b/>
                <w:bCs/>
                <w:color w:val="000000"/>
                <w:sz w:val="19"/>
                <w:szCs w:val="19"/>
              </w:rPr>
              <w:t xml:space="preserve">Q3_StaffKnowledge</w:t>
            </w:r>
          </w:p>
        </w:tc>
        <w:tc>
          <w:tcPr>
            <w:tcW w:type="dxa" w:w="3600"/>
            <w:vAlign w:val="center"/>
          </w:tcPr>
          <w:p>
            <w:r>
              <w:rPr>
                <w:b w:val="false"/>
                <w:bCs w:val="false"/>
                <w:color w:val="000000"/>
                <w:sz w:val="19"/>
                <w:szCs w:val="19"/>
              </w:rPr>
              <w:t xml:space="preserve">Staff were knowledgeable</w:t>
            </w:r>
          </w:p>
        </w:tc>
        <w:tc>
          <w:tcPr>
            <w:tcW w:type="dxa" w:w="2600"/>
            <w:vAlign w:val="center"/>
          </w:tcPr>
          <w:p>
            <w:r>
              <w:rPr>
                <w:b w:val="false"/>
                <w:bCs w:val="false"/>
                <w:color w:val="000000"/>
                <w:sz w:val="18"/>
                <w:szCs w:val="18"/>
              </w:rPr>
              <w:t xml:space="preserve">Ordinal Likert, 1-5 (contains missing values)</w:t>
            </w:r>
          </w:p>
        </w:tc>
        <w:tc>
          <w:tcPr>
            <w:tcW w:type="dxa" w:w="1900"/>
            <w:vAlign w:val="center"/>
          </w:tcPr>
          <w:p>
            <w:r>
              <w:rPr>
                <w:b w:val="false"/>
                <w:bCs w:val="false"/>
                <w:color w:val="000000"/>
                <w:sz w:val="18"/>
                <w:szCs w:val="18"/>
              </w:rPr>
              <w:t xml:space="preserve">Reliability, Missing Data</w:t>
            </w:r>
          </w:p>
        </w:tc>
      </w:tr>
      <w:tr>
        <w:tc>
          <w:tcPr>
            <w:tcW w:type="dxa" w:w="2200"/>
            <w:vAlign w:val="center"/>
          </w:tcPr>
          <w:p>
            <w:r>
              <w:rPr>
                <w:b/>
                <w:bCs/>
                <w:color w:val="000000"/>
                <w:sz w:val="19"/>
                <w:szCs w:val="19"/>
              </w:rPr>
              <w:t xml:space="preserve">Q4_EaseOfUse</w:t>
            </w:r>
          </w:p>
        </w:tc>
        <w:tc>
          <w:tcPr>
            <w:tcW w:type="dxa" w:w="3600"/>
            <w:vAlign w:val="center"/>
          </w:tcPr>
          <w:p>
            <w:r>
              <w:rPr>
                <w:b w:val="false"/>
                <w:bCs w:val="false"/>
                <w:color w:val="000000"/>
                <w:sz w:val="19"/>
                <w:szCs w:val="19"/>
              </w:rPr>
              <w:t xml:space="preserve">Branch/App was easy to navigate</w:t>
            </w:r>
          </w:p>
        </w:tc>
        <w:tc>
          <w:tcPr>
            <w:tcW w:type="dxa" w:w="2600"/>
            <w:vAlign w:val="center"/>
          </w:tcPr>
          <w:p>
            <w:r>
              <w:rPr>
                <w:b w:val="false"/>
                <w:bCs w:val="false"/>
                <w:color w:val="000000"/>
                <w:sz w:val="18"/>
                <w:szCs w:val="18"/>
              </w:rPr>
              <w:t xml:space="preserve">Ordinal Likert, 1-5</w:t>
            </w:r>
          </w:p>
        </w:tc>
        <w:tc>
          <w:tcPr>
            <w:tcW w:type="dxa" w:w="1900"/>
            <w:vAlign w:val="center"/>
          </w:tcPr>
          <w:p>
            <w:r>
              <w:rPr>
                <w:b w:val="false"/>
                <w:bCs w:val="false"/>
                <w:color w:val="000000"/>
                <w:sz w:val="18"/>
                <w:szCs w:val="18"/>
              </w:rPr>
              <w:t xml:space="preserve">Reliability (Cronbach's alpha)</w:t>
            </w:r>
          </w:p>
        </w:tc>
      </w:tr>
      <w:tr>
        <w:tc>
          <w:tcPr>
            <w:tcW w:type="dxa" w:w="2200"/>
            <w:vAlign w:val="center"/>
          </w:tcPr>
          <w:p>
            <w:r>
              <w:rPr>
                <w:b/>
                <w:bCs/>
                <w:color w:val="000000"/>
                <w:sz w:val="19"/>
                <w:szCs w:val="19"/>
              </w:rPr>
              <w:t xml:space="preserve">Q5_ProblemResolution</w:t>
            </w:r>
          </w:p>
        </w:tc>
        <w:tc>
          <w:tcPr>
            <w:tcW w:type="dxa" w:w="3600"/>
            <w:vAlign w:val="center"/>
          </w:tcPr>
          <w:p>
            <w:r>
              <w:rPr>
                <w:b w:val="false"/>
                <w:bCs w:val="false"/>
                <w:color w:val="000000"/>
                <w:sz w:val="19"/>
                <w:szCs w:val="19"/>
              </w:rPr>
              <w:t xml:space="preserve">Problems were resolved satisfactorily</w:t>
            </w:r>
          </w:p>
        </w:tc>
        <w:tc>
          <w:tcPr>
            <w:tcW w:type="dxa" w:w="2600"/>
            <w:vAlign w:val="center"/>
          </w:tcPr>
          <w:p>
            <w:r>
              <w:rPr>
                <w:b w:val="false"/>
                <w:bCs w:val="false"/>
                <w:color w:val="000000"/>
                <w:sz w:val="18"/>
                <w:szCs w:val="18"/>
              </w:rPr>
              <w:t xml:space="preserve">Ordinal Likert, 1-5</w:t>
            </w:r>
          </w:p>
        </w:tc>
        <w:tc>
          <w:tcPr>
            <w:tcW w:type="dxa" w:w="1900"/>
            <w:vAlign w:val="center"/>
          </w:tcPr>
          <w:p>
            <w:r>
              <w:rPr>
                <w:b w:val="false"/>
                <w:bCs w:val="false"/>
                <w:color w:val="000000"/>
                <w:sz w:val="18"/>
                <w:szCs w:val="18"/>
              </w:rPr>
              <w:t xml:space="preserve">Reliability (Cronbach's alpha)</w:t>
            </w:r>
          </w:p>
        </w:tc>
      </w:tr>
      <w:tr>
        <w:tc>
          <w:tcPr>
            <w:tcW w:type="dxa" w:w="2200"/>
            <w:vAlign w:val="center"/>
          </w:tcPr>
          <w:p>
            <w:r>
              <w:rPr>
                <w:b/>
                <w:bCs/>
                <w:color w:val="000000"/>
                <w:sz w:val="19"/>
                <w:szCs w:val="19"/>
              </w:rPr>
              <w:t xml:space="preserve">OverallSatisfaction</w:t>
            </w:r>
          </w:p>
        </w:tc>
        <w:tc>
          <w:tcPr>
            <w:tcW w:type="dxa" w:w="3600"/>
            <w:vAlign w:val="center"/>
          </w:tcPr>
          <w:p>
            <w:r>
              <w:rPr>
                <w:b w:val="false"/>
                <w:bCs w:val="false"/>
                <w:color w:val="000000"/>
                <w:sz w:val="19"/>
                <w:szCs w:val="19"/>
              </w:rPr>
              <w:t xml:space="preserve">Overall satisfaction rating</w:t>
            </w:r>
          </w:p>
        </w:tc>
        <w:tc>
          <w:tcPr>
            <w:tcW w:type="dxa" w:w="2600"/>
            <w:vAlign w:val="center"/>
          </w:tcPr>
          <w:p>
            <w:r>
              <w:rPr>
                <w:b w:val="false"/>
                <w:bCs w:val="false"/>
                <w:color w:val="000000"/>
                <w:sz w:val="18"/>
                <w:szCs w:val="18"/>
              </w:rPr>
              <w:t xml:space="preserve">Scale, 1 (Very Dissatisfied) to 10 (Very Satisfied); contains missing values</w:t>
            </w:r>
          </w:p>
        </w:tc>
        <w:tc>
          <w:tcPr>
            <w:tcW w:type="dxa" w:w="1900"/>
            <w:vAlign w:val="center"/>
          </w:tcPr>
          <w:p>
            <w:r>
              <w:rPr>
                <w:b w:val="false"/>
                <w:bCs w:val="false"/>
                <w:color w:val="000000"/>
                <w:sz w:val="18"/>
                <w:szCs w:val="18"/>
              </w:rPr>
              <w:t xml:space="preserve">Missing Data, Regression, Correlation</w:t>
            </w:r>
          </w:p>
        </w:tc>
      </w:tr>
      <w:tr>
        <w:tc>
          <w:tcPr>
            <w:tcW w:type="dxa" w:w="2200"/>
            <w:vAlign w:val="center"/>
          </w:tcPr>
          <w:p>
            <w:r>
              <w:rPr>
                <w:b/>
                <w:bCs/>
                <w:color w:val="000000"/>
                <w:sz w:val="19"/>
                <w:szCs w:val="19"/>
              </w:rPr>
              <w:t xml:space="preserve">LikelihoodToRecommend</w:t>
            </w:r>
          </w:p>
        </w:tc>
        <w:tc>
          <w:tcPr>
            <w:tcW w:type="dxa" w:w="3600"/>
            <w:vAlign w:val="center"/>
          </w:tcPr>
          <w:p>
            <w:r>
              <w:rPr>
                <w:b w:val="false"/>
                <w:bCs w:val="false"/>
                <w:color w:val="000000"/>
                <w:sz w:val="19"/>
                <w:szCs w:val="19"/>
              </w:rPr>
              <w:t xml:space="preserve">Likelihood to recommend the bank (NPS style)</w:t>
            </w:r>
          </w:p>
        </w:tc>
        <w:tc>
          <w:tcPr>
            <w:tcW w:type="dxa" w:w="2600"/>
            <w:vAlign w:val="center"/>
          </w:tcPr>
          <w:p>
            <w:r>
              <w:rPr>
                <w:b w:val="false"/>
                <w:bCs w:val="false"/>
                <w:color w:val="000000"/>
                <w:sz w:val="18"/>
                <w:szCs w:val="18"/>
              </w:rPr>
              <w:t xml:space="preserve">Scale, 0-10</w:t>
            </w:r>
          </w:p>
        </w:tc>
        <w:tc>
          <w:tcPr>
            <w:tcW w:type="dxa" w:w="1900"/>
            <w:vAlign w:val="center"/>
          </w:tcPr>
          <w:p>
            <w:r>
              <w:rPr>
                <w:b w:val="false"/>
                <w:bCs w:val="false"/>
                <w:color w:val="000000"/>
                <w:sz w:val="18"/>
                <w:szCs w:val="18"/>
              </w:rPr>
              <w:t xml:space="preserve">Correlation, Regression</w:t>
            </w:r>
          </w:p>
        </w:tc>
      </w:tr>
      <w:tr>
        <w:tc>
          <w:tcPr>
            <w:tcW w:type="dxa" w:w="2200"/>
            <w:vAlign w:val="center"/>
          </w:tcPr>
          <w:p>
            <w:r>
              <w:rPr>
                <w:b/>
                <w:bCs/>
                <w:color w:val="000000"/>
                <w:sz w:val="19"/>
                <w:szCs w:val="19"/>
              </w:rPr>
              <w:t xml:space="preserve">ComplaintsPast6Months</w:t>
            </w:r>
          </w:p>
        </w:tc>
        <w:tc>
          <w:tcPr>
            <w:tcW w:type="dxa" w:w="3600"/>
            <w:vAlign w:val="center"/>
          </w:tcPr>
          <w:p>
            <w:r>
              <w:rPr>
                <w:b w:val="false"/>
                <w:bCs w:val="false"/>
                <w:color w:val="000000"/>
                <w:sz w:val="19"/>
                <w:szCs w:val="19"/>
              </w:rPr>
              <w:t xml:space="preserve">Number of complaints filed in the past 6 months</w:t>
            </w:r>
          </w:p>
        </w:tc>
        <w:tc>
          <w:tcPr>
            <w:tcW w:type="dxa" w:w="2600"/>
            <w:vAlign w:val="center"/>
          </w:tcPr>
          <w:p>
            <w:r>
              <w:rPr>
                <w:b w:val="false"/>
                <w:bCs w:val="false"/>
                <w:color w:val="000000"/>
                <w:sz w:val="18"/>
                <w:szCs w:val="18"/>
              </w:rPr>
              <w:t xml:space="preserve">Scale/count, 0-6</w:t>
            </w:r>
          </w:p>
        </w:tc>
        <w:tc>
          <w:tcPr>
            <w:tcW w:type="dxa" w:w="1900"/>
            <w:vAlign w:val="center"/>
          </w:tcPr>
          <w:p>
            <w:r>
              <w:rPr>
                <w:b w:val="false"/>
                <w:bCs w:val="false"/>
                <w:color w:val="000000"/>
                <w:sz w:val="18"/>
                <w:szCs w:val="18"/>
              </w:rPr>
              <w:t xml:space="preserve">Descriptives, Correlation</w:t>
            </w:r>
          </w:p>
        </w:tc>
      </w:tr>
      <w:tr>
        <w:tc>
          <w:tcPr>
            <w:tcW w:type="dxa" w:w="2200"/>
            <w:vAlign w:val="center"/>
          </w:tcPr>
          <w:p>
            <w:r>
              <w:rPr>
                <w:b/>
                <w:bCs/>
                <w:color w:val="000000"/>
                <w:sz w:val="19"/>
                <w:szCs w:val="19"/>
              </w:rPr>
              <w:t xml:space="preserve">WouldContinueBanking</w:t>
            </w:r>
          </w:p>
        </w:tc>
        <w:tc>
          <w:tcPr>
            <w:tcW w:type="dxa" w:w="3600"/>
            <w:vAlign w:val="center"/>
          </w:tcPr>
          <w:p>
            <w:r>
              <w:rPr>
                <w:b w:val="false"/>
                <w:bCs w:val="false"/>
                <w:color w:val="000000"/>
                <w:sz w:val="19"/>
                <w:szCs w:val="19"/>
              </w:rPr>
              <w:t xml:space="preserve">Would continue banking here</w:t>
            </w:r>
          </w:p>
        </w:tc>
        <w:tc>
          <w:tcPr>
            <w:tcW w:type="dxa" w:w="2600"/>
            <w:vAlign w:val="center"/>
          </w:tcPr>
          <w:p>
            <w:r>
              <w:rPr>
                <w:b w:val="false"/>
                <w:bCs w:val="false"/>
                <w:color w:val="000000"/>
                <w:sz w:val="18"/>
                <w:szCs w:val="18"/>
              </w:rPr>
              <w:t xml:space="preserve">Nominal: Yes, No</w:t>
            </w:r>
          </w:p>
        </w:tc>
        <w:tc>
          <w:tcPr>
            <w:tcW w:type="dxa" w:w="1900"/>
            <w:vAlign w:val="center"/>
          </w:tcPr>
          <w:p>
            <w:r>
              <w:rPr>
                <w:b w:val="false"/>
                <w:bCs w:val="false"/>
                <w:color w:val="000000"/>
                <w:sz w:val="18"/>
                <w:szCs w:val="18"/>
              </w:rPr>
              <w:t xml:space="preserve">Chi-Square, t-test (grouping variable)</w:t>
            </w:r>
          </w:p>
        </w:tc>
      </w:tr>
    </w:tbl>
    <w:p>
      <w:pPr>
        <w:spacing w:before="300"/>
      </w:pPr>
    </w:p>
    <w:p>
      <w:pPr>
        <w:pStyle w:val="Heading1"/>
        <w:spacing w:after="150" w:before="300"/>
      </w:pPr>
      <w:r>
        <w:rPr>
          <w:b/>
          <w:bCs/>
          <w:color w:val="1F3864"/>
          <w:sz w:val="28"/>
          <w:szCs w:val="28"/>
        </w:rPr>
        <w:t xml:space="preserve">5. Suggested Use by Module</w:t>
      </w:r>
    </w:p>
    <w:p>
      <w:pPr>
        <w:pStyle w:val="ListParagraph"/>
        <w:numPr>
          <w:ilvl w:val="0"/>
          <w:numId w:val="2"/>
        </w:numPr>
        <w:spacing w:after="80"/>
      </w:pPr>
      <w:r>
        <w:rPr>
          <w:sz w:val="21"/>
          <w:szCs w:val="21"/>
        </w:rPr>
        <w:t xml:space="preserve">Module 1 (Getting Oriented): import the CSV, explore Data View and Variable View</w:t>
      </w:r>
    </w:p>
    <w:p>
      <w:pPr>
        <w:pStyle w:val="ListParagraph"/>
        <w:numPr>
          <w:ilvl w:val="0"/>
          <w:numId w:val="2"/>
        </w:numPr>
        <w:spacing w:after="80"/>
      </w:pPr>
      <w:r>
        <w:rPr>
          <w:sz w:val="21"/>
          <w:szCs w:val="21"/>
        </w:rPr>
        <w:t xml:space="preserve">Module 2 (Variable View Setup): assign labels, value labels, and measurement levels to match the .sav answer key</w:t>
      </w:r>
    </w:p>
    <w:p>
      <w:pPr>
        <w:pStyle w:val="ListParagraph"/>
        <w:numPr>
          <w:ilvl w:val="0"/>
          <w:numId w:val="2"/>
        </w:numPr>
        <w:spacing w:after="80"/>
      </w:pPr>
      <w:r>
        <w:rPr>
          <w:sz w:val="21"/>
          <w:szCs w:val="21"/>
        </w:rPr>
        <w:t xml:space="preserve">Module 3 (Data Management): recode MonthlyIncome_Naira into income bands, compute an average service quality score</w:t>
      </w:r>
    </w:p>
    <w:p>
      <w:pPr>
        <w:pStyle w:val="ListParagraph"/>
        <w:numPr>
          <w:ilvl w:val="0"/>
          <w:numId w:val="2"/>
        </w:numPr>
        <w:spacing w:after="80"/>
      </w:pPr>
      <w:r>
        <w:rPr>
          <w:sz w:val="21"/>
          <w:szCs w:val="21"/>
        </w:rPr>
        <w:t xml:space="preserve">Module 4 (Missing Data): diagnose and treat missing values in Income, Tenure, Q3, and OverallSatisfaction</w:t>
      </w:r>
    </w:p>
    <w:p>
      <w:pPr>
        <w:pStyle w:val="ListParagraph"/>
        <w:numPr>
          <w:ilvl w:val="0"/>
          <w:numId w:val="2"/>
        </w:numPr>
        <w:spacing w:after="80"/>
      </w:pPr>
      <w:r>
        <w:rPr>
          <w:sz w:val="21"/>
          <w:szCs w:val="21"/>
        </w:rPr>
        <w:t xml:space="preserve">Module 5 (Descriptives): Frequencies and Descriptives on demographics and satisfaction scores</w:t>
      </w:r>
    </w:p>
    <w:p>
      <w:pPr>
        <w:pStyle w:val="ListParagraph"/>
        <w:numPr>
          <w:ilvl w:val="0"/>
          <w:numId w:val="2"/>
        </w:numPr>
        <w:spacing w:after="80"/>
      </w:pPr>
      <w:r>
        <w:rPr>
          <w:sz w:val="21"/>
          <w:szCs w:val="21"/>
        </w:rPr>
        <w:t xml:space="preserve">Module 6 (Visualizing Data): bar charts by BranchLocation, histograms of Age and Income</w:t>
      </w:r>
    </w:p>
    <w:p>
      <w:pPr>
        <w:pStyle w:val="ListParagraph"/>
        <w:numPr>
          <w:ilvl w:val="0"/>
          <w:numId w:val="2"/>
        </w:numPr>
        <w:spacing w:after="80"/>
      </w:pPr>
      <w:r>
        <w:rPr>
          <w:sz w:val="21"/>
          <w:szCs w:val="21"/>
        </w:rPr>
        <w:t xml:space="preserve">Module 7 (Crosstabs and Chi-Square): PreferredChannel by WouldContinueBanking</w:t>
      </w:r>
    </w:p>
    <w:p>
      <w:pPr>
        <w:pStyle w:val="ListParagraph"/>
        <w:numPr>
          <w:ilvl w:val="0"/>
          <w:numId w:val="2"/>
        </w:numPr>
        <w:spacing w:after="80"/>
      </w:pPr>
      <w:r>
        <w:rPr>
          <w:sz w:val="21"/>
          <w:szCs w:val="21"/>
        </w:rPr>
        <w:t xml:space="preserve">Module 8 (Comparing Means): t-test on OverallSatisfaction by Gender, ANOVA by BranchLocation</w:t>
      </w:r>
    </w:p>
    <w:p>
      <w:pPr>
        <w:pStyle w:val="ListParagraph"/>
        <w:numPr>
          <w:ilvl w:val="0"/>
          <w:numId w:val="2"/>
        </w:numPr>
        <w:spacing w:after="80"/>
      </w:pPr>
      <w:r>
        <w:rPr>
          <w:sz w:val="21"/>
          <w:szCs w:val="21"/>
        </w:rPr>
        <w:t xml:space="preserve">Module 9 (Correlation and Regression): predict LikelihoodToRecommend from OverallSatisfaction and the service quality items</w:t>
      </w:r>
    </w:p>
    <w:p>
      <w:pPr>
        <w:pStyle w:val="ListParagraph"/>
        <w:numPr>
          <w:ilvl w:val="0"/>
          <w:numId w:val="2"/>
        </w:numPr>
        <w:spacing w:after="80"/>
      </w:pPr>
      <w:r>
        <w:rPr>
          <w:sz w:val="21"/>
          <w:szCs w:val="21"/>
        </w:rPr>
        <w:t xml:space="preserve">Module 10 (Reliability Analysis): Cronbach's alpha on Q1 through Q5</w:t>
      </w:r>
    </w:p>
    <w:p>
      <w:pPr>
        <w:pStyle w:val="ListParagraph"/>
        <w:numPr>
          <w:ilvl w:val="0"/>
          <w:numId w:val="2"/>
        </w:numPr>
        <w:spacing w:after="80"/>
      </w:pPr>
      <w:r>
        <w:rPr>
          <w:sz w:val="21"/>
          <w:szCs w:val="21"/>
        </w:rPr>
        <w:t xml:space="preserve">Module 11 (Syntax Workflow): pasting syntax from dialogs used in Modules 1-10 into one reproducible script</w:t>
      </w:r>
    </w:p>
    <w:p>
      <w:pPr>
        <w:pStyle w:val="ListParagraph"/>
        <w:numPr>
          <w:ilvl w:val="0"/>
          <w:numId w:val="2"/>
        </w:numPr>
        <w:spacing w:after="80"/>
      </w:pPr>
      <w:r>
        <w:rPr>
          <w:sz w:val="21"/>
          <w:szCs w:val="21"/>
        </w:rPr>
        <w:t xml:space="preserve">Module 12 (Capstone Project): a full independent analysis combining every technique covered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Kajola Gbenga Adewale | Data Expert</w:t>
    </w:r>
    <w:r>
      <w:rPr>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SPSS from Scratch | Capstone Dataset Codebook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2026-07-04T09:20:40.768Z</dcterms:created>
  <dcterms:modified xsi:type="dcterms:W3CDTF">2026-07-04T09:20:40.768Z</dcterms:modified>
</cp:coreProperties>
</file>

<file path=docProps/custom.xml><?xml version="1.0" encoding="utf-8"?>
<Properties xmlns="http://schemas.openxmlformats.org/officeDocument/2006/custom-properties" xmlns:vt="http://schemas.openxmlformats.org/officeDocument/2006/docPropsVTypes"/>
</file>