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48"/>
          <w:szCs w:val="48"/>
        </w:rPr>
        <w:t xml:space="preserve">PRODIGY BANK CUSTOMER SURVEY</w:t>
      </w:r>
    </w:p>
    <w:p>
      <w:pPr>
        <w:spacing w:after="600"/>
        <w:jc w:val="center"/>
      </w:pPr>
      <w:r>
        <w:rPr>
          <w:b/>
          <w:bCs/>
          <w:i/>
          <w:iCs/>
          <w:color w:val="B8860B"/>
          <w:sz w:val="30"/>
          <w:szCs w:val="30"/>
        </w:rPr>
        <w:t xml:space="preserve">A Comprehensive SPSS Statistical Analysis and Interpretation Report</w:t>
      </w:r>
    </w:p>
    <w:p>
      <w:pPr>
        <w:spacing w:after="100"/>
        <w:jc w:val="center"/>
      </w:pPr>
      <w:r>
        <w:rPr>
          <w:sz w:val="22"/>
          <w:szCs w:val="22"/>
        </w:rPr>
        <w:t xml:space="preserve">Dataset: prodigy_bank_survey.xlsx</w:t>
      </w:r>
    </w:p>
    <w:p>
      <w:pPr>
        <w:spacing w:after="100"/>
        <w:jc w:val="center"/>
      </w:pPr>
      <w:r>
        <w:rPr>
          <w:sz w:val="22"/>
          <w:szCs w:val="22"/>
        </w:rPr>
        <w:t xml:space="preserve">Sample Size: N = 300 Customers</w:t>
      </w:r>
    </w:p>
    <w:p>
      <w:pPr>
        <w:spacing w:after="100"/>
        <w:jc w:val="center"/>
      </w:pPr>
      <w:r>
        <w:rPr>
          <w:sz w:val="22"/>
          <w:szCs w:val="22"/>
        </w:rPr>
        <w:t xml:space="preserve">Prepared for: Prodigy Bank - Customer Experience and Risk Insights Study</w:t>
      </w:r>
    </w:p>
    <w:p>
      <w:pPr>
        <w:spacing w:after="900"/>
        <w:jc w:val="center"/>
      </w:pPr>
      <w:r>
        <w:rPr>
          <w:sz w:val="22"/>
          <w:szCs w:val="22"/>
        </w:rPr>
        <w:t xml:space="preserve">Date: July 2026</w:t>
      </w:r>
    </w:p>
    <w:p>
      <w:pPr>
        <w:jc w:val="center"/>
      </w:pPr>
      <w:r>
        <w:rPr>
          <w:i/>
          <w:iCs/>
          <w:color w:val="555555"/>
          <w:sz w:val="18"/>
          <w:szCs w:val="18"/>
        </w:rPr>
        <w:t xml:space="preserve">Note: every output below was computed directly from the uploaded dataset using the equivalent statistical routines SPSS uses, so figures reflect this exact dataset rather than illustrative placeholders.</w:t>
      </w:r>
    </w:p>
    <w:p>
      <w:r>
        <w:br w:type="page"/>
      </w:r>
    </w:p>
    <w:p>
      <w:pPr>
        <w:pStyle w:val="Heading1"/>
        <w:pBdr>
          <w:bottom w:val="single" w:color="1F3864" w:sz="8" w:space="4"/>
        </w:pBdr>
        <w:spacing w:after="200" w:before="400"/>
      </w:pPr>
      <w:r>
        <w:rPr>
          <w:b/>
          <w:bCs/>
          <w:color w:val="1F3864"/>
          <w:sz w:val="30"/>
          <w:szCs w:val="30"/>
        </w:rPr>
        <w:t xml:space="preserve">0. Introduction and Dataset Overview</w:t>
      </w:r>
    </w:p>
    <w:p>
      <w:pPr>
        <w:spacing w:after="140" w:line="276"/>
        <w:jc w:val="both"/>
      </w:pPr>
      <w:r>
        <w:rPr>
          <w:sz w:val="21"/>
          <w:szCs w:val="21"/>
        </w:rPr>
        <w:t xml:space="preserve">This report presents a full statistical analysis of the Prodigy Bank customer survey dataset, comprising 300 customers across five branches (Lagos, Port Harcourt, Abuja, Kano, Ibadan). The dataset captures demographics (Branch, Gender, Age, Education), account information (Account Type, Years With Bank, Monthly Income, Number of Transactions per Month), five 5-point Likert perception ratings (Service Quality, Staff Friendliness, App Usability, Wait Time Satisfaction, Overall Satisfaction), and three risk/outcome variables (Complaint Filed, Credit Score, Loan Default, and Churn Risk).</w:t>
      </w:r>
    </w:p>
    <w:p>
      <w:pPr>
        <w:spacing w:after="140" w:line="276"/>
        <w:jc w:val="both"/>
      </w:pPr>
      <w:r>
        <w:rPr>
          <w:sz w:val="21"/>
          <w:szCs w:val="21"/>
        </w:rPr>
        <w:t xml:space="preserve">The goal is to reproduce, in full, the suite of SPSS statistical analyses applicable to this dataset, covering descriptive, comparative, associative, predictive, and data-reduction/classification techniques, and to interpret every output line by line so the findings can directly inform Prodigy Bank's customer experience, credit risk, and retention strategy.</w:t>
      </w:r>
    </w:p>
    <w:p>
      <w:pPr>
        <w:pStyle w:val="Heading2"/>
        <w:spacing w:after="120" w:before="260"/>
      </w:pPr>
      <w:r>
        <w:rPr>
          <w:b/>
          <w:bCs/>
          <w:color w:val="B8860B"/>
          <w:sz w:val="24"/>
          <w:szCs w:val="24"/>
        </w:rPr>
        <w:t xml:space="preserve">Variables in the Dataset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100"/>
        <w:gridCol w:w="2200"/>
        <w:gridCol w:w="36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9"/>
                <w:szCs w:val="19"/>
              </w:rPr>
              <w:t xml:space="preserve">#</w:t>
            </w:r>
          </w:p>
        </w:tc>
        <w:tc>
          <w:tcPr>
            <w:tcW w:type="dxa" w:w="2400"/>
            <w:shd w:fill="1F3864" w:val="clear"/>
            <w:tcMar>
              <w:top w:type="dxa" w:w="60"/>
              <w:left w:type="dxa" w:w="100"/>
              <w:bottom w:type="dxa" w:w="60"/>
              <w:right w:type="dxa" w:w="100"/>
            </w:tcMar>
            <w:vAlign w:val="center"/>
          </w:tcPr>
          <w:p>
            <w:pPr>
              <w:jc w:val="center"/>
            </w:pPr>
            <w:r>
              <w:rPr>
                <w:b/>
                <w:bCs/>
                <w:color w:val="FFFFFF"/>
                <w:sz w:val="19"/>
                <w:szCs w:val="19"/>
              </w:rPr>
              <w:t xml:space="preserve">Variable Name</w:t>
            </w:r>
          </w:p>
        </w:tc>
        <w:tc>
          <w:tcPr>
            <w:tcW w:type="dxa" w:w="1100"/>
            <w:shd w:fill="1F3864" w:val="clear"/>
            <w:tcMar>
              <w:top w:type="dxa" w:w="60"/>
              <w:left w:type="dxa" w:w="100"/>
              <w:bottom w:type="dxa" w:w="60"/>
              <w:right w:type="dxa" w:w="100"/>
            </w:tcMar>
            <w:vAlign w:val="center"/>
          </w:tcPr>
          <w:p>
            <w:pPr>
              <w:jc w:val="center"/>
            </w:pPr>
            <w:r>
              <w:rPr>
                <w:b/>
                <w:bCs/>
                <w:color w:val="FFFFFF"/>
                <w:sz w:val="19"/>
                <w:szCs w:val="19"/>
              </w:rPr>
              <w:t xml:space="preserve">Type</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Measurement Level</w:t>
            </w:r>
          </w:p>
        </w:tc>
        <w:tc>
          <w:tcPr>
            <w:tcW w:type="dxa" w:w="3600"/>
            <w:shd w:fill="1F3864" w:val="clear"/>
            <w:tcMar>
              <w:top w:type="dxa" w:w="60"/>
              <w:left w:type="dxa" w:w="100"/>
              <w:bottom w:type="dxa" w:w="60"/>
              <w:right w:type="dxa" w:w="100"/>
            </w:tcMar>
            <w:vAlign w:val="center"/>
          </w:tcPr>
          <w:p>
            <w:pPr>
              <w:jc w:val="center"/>
            </w:pPr>
            <w:r>
              <w:rPr>
                <w:b/>
                <w:bCs/>
                <w:color w:val="FFFFFF"/>
                <w:sz w:val="19"/>
                <w:szCs w:val="19"/>
              </w:rPr>
              <w:t xml:space="preserve">Description</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CustomerID</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Nominal (ID)</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Unique customer identifier</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Branch</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Branch location (5 categories)</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Gender</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Male / Female</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Age</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Age of customer in years</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Education</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Ordinal</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Secondary, Diploma, Bachelor, Postgraduate</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AccountType</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Savings, Current, Fixed Deposit</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YearsWithBank</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Years as a customer</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MonthlyIncome</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Monthly income in Naira</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9</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NumTransactionsMonth</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Transactions per month</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10</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Q1_ServiceQuality</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Ordinal (Likert 1-5)</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Service quality rating</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11</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Q2_StaffFriendliness</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Ordinal (Likert 1-5)</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Staff friendliness rating</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12</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Q3_AppUsability</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Ordinal (Likert 1-5)</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Mobile/app usability rating</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13</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Q4_WaitTimeSatisfaction</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Ordinal (Likert 1-5)</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Wait time satisfaction rating</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14</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Q5_OverallSatisfaction</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Ordinal (Likert 1-5)</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Overall satisfaction rating</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15</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ComplaintFiled</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Nominal (binary)</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Yes / No</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16</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CreditScore</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Credit score (roughly 448-833)</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17</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LoanDefault</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Nominal (binary)</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Yes / No</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18</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ChurnRisk</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Ordinal (3 levels)</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Low / Medium / High</w:t>
            </w:r>
          </w:p>
        </w:tc>
      </w:tr>
    </w:tbl>
    <w:p>
      <w:pPr>
        <w:spacing w:after="160" w:before="100"/>
      </w:pPr>
      <w:r>
        <w:rPr>
          <w:i/>
          <w:iCs/>
          <w:color w:val="555555"/>
          <w:sz w:val="19"/>
          <w:szCs w:val="19"/>
        </w:rPr>
        <w:t xml:space="preserve">Table 0.1 - Variable dictionary for the Prodigy Bank survey dataset.</w:t>
      </w:r>
    </w:p>
    <w:p>
      <w:pPr>
        <w:pStyle w:val="Heading2"/>
        <w:spacing w:after="120" w:before="260"/>
      </w:pPr>
      <w:r>
        <w:rPr>
          <w:b/>
          <w:bCs/>
          <w:color w:val="B8860B"/>
          <w:sz w:val="24"/>
          <w:szCs w:val="24"/>
        </w:rPr>
        <w:t xml:space="preserve">How This Report Is Organised</w:t>
      </w:r>
    </w:p>
    <w:p>
      <w:pPr>
        <w:spacing w:after="140" w:line="276"/>
        <w:jc w:val="both"/>
      </w:pPr>
      <w:r>
        <w:rPr>
          <w:sz w:val="21"/>
          <w:szCs w:val="21"/>
        </w:rPr>
        <w:t xml:space="preserve">Each analysis follows the same six-part structure used throughout: Title, Aim, Columns/Variables involved, Step-by-Step SPSS procedure, Output, and Interpretation with practical Insights. Analyses are grouped into five families mirroring the SPSS Analyze menu: (A) Descriptive Statistics, (B) Association and Reliability, (C) Group Comparison Tests, (D) Predictive Models, and (E) Data Reduction and Classification.</w:t>
      </w:r>
    </w:p>
    <w:p>
      <w:r>
        <w:br w:type="page"/>
      </w:r>
    </w:p>
    <w:p>
      <w:pPr>
        <w:pStyle w:val="Heading1"/>
        <w:pBdr>
          <w:bottom w:val="single" w:color="1F3864" w:sz="8" w:space="4"/>
        </w:pBdr>
        <w:spacing w:after="200" w:before="400"/>
      </w:pPr>
      <w:r>
        <w:rPr>
          <w:b/>
          <w:bCs/>
          <w:color w:val="1F3864"/>
          <w:sz w:val="30"/>
          <w:szCs w:val="30"/>
        </w:rPr>
        <w:t xml:space="preserve">1. Data Screening and Missing Value Analysis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assess data quality before substantive analysis: identify missing values, confirm variable types, and confirm sample size per variable. This corresponds to Analyze &gt; Missing Value Analysis and Analyze &gt; Descriptive Statistics &gt; Frequencies (used diagnostically)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All 18 variables.</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Import the XLSX file via File &gt; Open &gt; Data, confirming correct variable types.</w:t>
      </w:r>
    </w:p>
    <w:p>
      <w:pPr>
        <w:pStyle w:val="ListParagraph"/>
        <w:numPr>
          <w:ilvl w:val="0"/>
          <w:numId w:val="2"/>
        </w:numPr>
        <w:spacing w:after="80" w:line="270"/>
      </w:pPr>
      <w:r>
        <w:rPr>
          <w:sz w:val="21"/>
          <w:szCs w:val="21"/>
        </w:rPr>
        <w:t xml:space="preserve">Go to Analyze &gt; Missing Value Analysis, moving all variables into the Quantitative/Categorical boxes.</w:t>
      </w:r>
    </w:p>
    <w:p>
      <w:pPr>
        <w:pStyle w:val="ListParagraph"/>
        <w:numPr>
          <w:ilvl w:val="0"/>
          <w:numId w:val="2"/>
        </w:numPr>
        <w:spacing w:after="80" w:line="270"/>
      </w:pPr>
      <w:r>
        <w:rPr>
          <w:sz w:val="21"/>
          <w:szCs w:val="21"/>
        </w:rPr>
        <w:t xml:space="preserve">Alternatively run Analyze &gt; Descriptive Statistics &gt; Frequencies and check the Missing row per variable.</w:t>
      </w:r>
    </w:p>
    <w:p>
      <w:pPr>
        <w:pStyle w:val="ListParagraph"/>
        <w:numPr>
          <w:ilvl w:val="0"/>
          <w:numId w:val="2"/>
        </w:numPr>
        <w:spacing w:after="80" w:line="270"/>
      </w:pPr>
      <w:r>
        <w:rPr>
          <w:sz w:val="21"/>
          <w:szCs w:val="21"/>
        </w:rPr>
        <w:t xml:space="preserve">Decide a treatment strategy for any incomplete variables (not required here, see output).</w:t>
      </w:r>
    </w:p>
    <w:p>
      <w:pPr>
        <w:pStyle w:val="Heading2"/>
        <w:spacing w:after="120" w:before="260"/>
      </w:pPr>
      <w:r>
        <w:rPr>
          <w:b/>
          <w:bCs/>
          <w:color w:val="B8860B"/>
          <w:sz w:val="24"/>
          <w:szCs w:val="24"/>
        </w:rPr>
        <w:t xml:space="preserve">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9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N (Valid)</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N (Missing)</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 Missing</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All 18 variables</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w:t>
            </w:r>
          </w:p>
        </w:tc>
      </w:tr>
    </w:tbl>
    <w:p>
      <w:pPr>
        <w:spacing w:after="160" w:before="100"/>
      </w:pPr>
      <w:r>
        <w:rPr>
          <w:i/>
          <w:iCs/>
          <w:color w:val="555555"/>
          <w:sz w:val="19"/>
          <w:szCs w:val="19"/>
        </w:rPr>
        <w:t xml:space="preserve">Table 1.1 - Missing value summary. Every variable is fully complete.</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Unlike many real-world surveys, this dataset has zero missing values across all 300 customers and 18 variables. Every respondent answered every item, and every administrative field (Credit Score, Loan Default, Churn Risk) was captured completely. This is likely because the data was drawn directly from bank records for Credit Score, Loan Default, and account fields, and a mandatory survey form for the Likert ratings.</w:t>
      </w:r>
    </w:p>
    <w:p>
      <w:pPr>
        <w:spacing w:after="140" w:line="276"/>
        <w:jc w:val="both"/>
      </w:pPr>
      <w:r>
        <w:rPr>
          <w:sz w:val="21"/>
          <w:szCs w:val="21"/>
        </w:rPr>
        <w:t xml:space="preserve">Because there is no missingness, no imputation or deletion strategy is required anywhere in this report; every subsequent analysis uses the full N = 300 sample.</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Full data completeness means every statistic in this report is based on the entire customer sample, maximising statistical power.</w:t>
      </w:r>
    </w:p>
    <w:p>
      <w:pPr>
        <w:pStyle w:val="ListParagraph"/>
        <w:numPr>
          <w:ilvl w:val="0"/>
          <w:numId w:val="1"/>
        </w:numPr>
        <w:spacing w:after="60" w:line="270"/>
      </w:pPr>
      <w:r>
        <w:rPr>
          <w:sz w:val="21"/>
          <w:szCs w:val="21"/>
        </w:rPr>
        <w:t xml:space="preserve">This level of completeness is a good practice benchmark for Prodigy Bank's future survey administration.</w:t>
      </w:r>
    </w:p>
    <w:p>
      <w:r>
        <w:br w:type="page"/>
      </w:r>
    </w:p>
    <w:p>
      <w:pPr>
        <w:pStyle w:val="Heading1"/>
        <w:pBdr>
          <w:bottom w:val="single" w:color="1F3864" w:sz="8" w:space="4"/>
        </w:pBdr>
        <w:spacing w:after="200" w:before="400"/>
      </w:pPr>
      <w:r>
        <w:rPr>
          <w:b/>
          <w:bCs/>
          <w:color w:val="1F3864"/>
          <w:sz w:val="30"/>
          <w:szCs w:val="30"/>
        </w:rPr>
        <w:t xml:space="preserve">2. Frequency Analysis (Categorical and Likert Variables)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summarise the distribution of each categorical and ordinal variable. This corresponds to Analyze &gt; Descriptive Statistics &gt; Frequencies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Branch, Gender, Education, AccountType, ComplaintFiled, LoanDefault, ChurnRisk, and the five Likert items Q1 to Q5.</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Descriptive Statistics &gt; Frequencies.</w:t>
      </w:r>
    </w:p>
    <w:p>
      <w:pPr>
        <w:pStyle w:val="ListParagraph"/>
        <w:numPr>
          <w:ilvl w:val="0"/>
          <w:numId w:val="2"/>
        </w:numPr>
        <w:spacing w:after="80" w:line="270"/>
      </w:pPr>
      <w:r>
        <w:rPr>
          <w:sz w:val="21"/>
          <w:szCs w:val="21"/>
        </w:rPr>
        <w:t xml:space="preserve">Move all listed variables into the Variable(s) box.</w:t>
      </w:r>
    </w:p>
    <w:p>
      <w:pPr>
        <w:pStyle w:val="ListParagraph"/>
        <w:numPr>
          <w:ilvl w:val="0"/>
          <w:numId w:val="2"/>
        </w:numPr>
        <w:spacing w:after="80" w:line="270"/>
      </w:pPr>
      <w:r>
        <w:rPr>
          <w:sz w:val="21"/>
          <w:szCs w:val="21"/>
        </w:rPr>
        <w:t xml:space="preserve">Tick Display frequency tables, add Bar Charts or Histograms as needed.</w:t>
      </w:r>
    </w:p>
    <w:p>
      <w:pPr>
        <w:pStyle w:val="ListParagraph"/>
        <w:numPr>
          <w:ilvl w:val="0"/>
          <w:numId w:val="2"/>
        </w:numPr>
        <w:spacing w:after="80" w:line="270"/>
      </w:pPr>
      <w:r>
        <w:rPr>
          <w:sz w:val="21"/>
          <w:szCs w:val="21"/>
        </w:rPr>
        <w:t xml:space="preserve">Click OK to produce one table per variable.</w:t>
      </w:r>
    </w:p>
    <w:p>
      <w:pPr>
        <w:pStyle w:val="Heading2"/>
        <w:spacing w:after="120" w:before="260"/>
      </w:pPr>
      <w:r>
        <w:rPr>
          <w:b/>
          <w:bCs/>
          <w:color w:val="B8860B"/>
          <w:sz w:val="24"/>
          <w:szCs w:val="24"/>
        </w:rPr>
        <w:t xml:space="preserve">Output</w:t>
      </w:r>
    </w:p>
    <w:p>
      <w:pPr>
        <w:spacing w:after="80" w:before="160"/>
      </w:pPr>
      <w:r>
        <w:rPr>
          <w:b/>
          <w:bCs/>
          <w:i/>
          <w:iCs/>
          <w:color w:val="1F3864"/>
          <w:sz w:val="22"/>
          <w:szCs w:val="22"/>
        </w:rPr>
        <w:t xml:space="preserve">Branch</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Lagos</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88</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29.3%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Port Harcourt</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20.7%</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Abuja</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61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20.3%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Kano</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48</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16%</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Ibadan</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13.7%</w:t>
            </w:r>
          </w:p>
        </w:tc>
      </w:tr>
    </w:tbl>
    <w:p>
      <w:pPr>
        <w:spacing w:after="80" w:before="160"/>
      </w:pPr>
      <w:r>
        <w:rPr>
          <w:b/>
          <w:bCs/>
          <w:i/>
          <w:iCs/>
          <w:color w:val="1F3864"/>
          <w:sz w:val="22"/>
          <w:szCs w:val="22"/>
        </w:rPr>
        <w:t xml:space="preserve">Gender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Male</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166</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55.3%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Female</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44.7%</w:t>
            </w:r>
          </w:p>
        </w:tc>
      </w:tr>
    </w:tbl>
    <w:p>
      <w:pPr>
        <w:spacing w:after="80" w:before="160"/>
      </w:pPr>
      <w:r>
        <w:rPr>
          <w:b/>
          <w:bCs/>
          <w:i/>
          <w:iCs/>
          <w:color w:val="1F3864"/>
          <w:sz w:val="22"/>
          <w:szCs w:val="22"/>
        </w:rPr>
        <w:t xml:space="preserve">Education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Bachelor</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136</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45.3%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Diploma</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21.3%</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Postgraduate</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59</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19.7%</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Secondary</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41</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13.7%</w:t>
            </w:r>
          </w:p>
        </w:tc>
      </w:tr>
    </w:tbl>
    <w:p>
      <w:pPr>
        <w:spacing w:after="80" w:before="160"/>
      </w:pPr>
      <w:r>
        <w:rPr>
          <w:b/>
          <w:bCs/>
          <w:i/>
          <w:iCs/>
          <w:color w:val="1F3864"/>
          <w:sz w:val="22"/>
          <w:szCs w:val="22"/>
        </w:rPr>
        <w:t xml:space="preserve">AccountType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Savings</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170</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56.7%</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Current</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101</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33.7%</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Fixed Deposit</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29</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9.7%</w:t>
            </w:r>
          </w:p>
        </w:tc>
      </w:tr>
    </w:tbl>
    <w:p>
      <w:pPr>
        <w:spacing w:after="80" w:before="160"/>
      </w:pPr>
      <w:r>
        <w:rPr>
          <w:b/>
          <w:bCs/>
          <w:i/>
          <w:iCs/>
          <w:color w:val="1F3864"/>
          <w:sz w:val="22"/>
          <w:szCs w:val="22"/>
        </w:rPr>
        <w:t xml:space="preserve">ComplaintFiled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No</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184</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61.3%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116</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38.7%</w:t>
            </w:r>
          </w:p>
        </w:tc>
      </w:tr>
    </w:tbl>
    <w:p>
      <w:pPr>
        <w:spacing w:after="80" w:before="160"/>
      </w:pPr>
      <w:r>
        <w:rPr>
          <w:b/>
          <w:bCs/>
          <w:i/>
          <w:iCs/>
          <w:color w:val="1F3864"/>
          <w:sz w:val="22"/>
          <w:szCs w:val="22"/>
        </w:rPr>
        <w:t xml:space="preserve">LoanDefault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No</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214</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71.3%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86</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28.7%</w:t>
            </w:r>
          </w:p>
        </w:tc>
      </w:tr>
    </w:tbl>
    <w:p>
      <w:pPr>
        <w:spacing w:after="80" w:before="160"/>
      </w:pPr>
      <w:r>
        <w:rPr>
          <w:b/>
          <w:bCs/>
          <w:i/>
          <w:iCs/>
          <w:color w:val="1F3864"/>
          <w:sz w:val="22"/>
          <w:szCs w:val="22"/>
        </w:rPr>
        <w:t xml:space="preserve">ChurnRisk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Low</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160</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53.3%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117</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39%</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7.7%</w:t>
            </w:r>
          </w:p>
        </w:tc>
      </w:tr>
    </w:tbl>
    <w:p>
      <w:pPr>
        <w:spacing w:after="80" w:before="160"/>
      </w:pPr>
      <w:r>
        <w:rPr>
          <w:b/>
          <w:bCs/>
          <w:i/>
          <w:iCs/>
          <w:color w:val="1F3864"/>
          <w:sz w:val="22"/>
          <w:szCs w:val="22"/>
        </w:rPr>
        <w:t xml:space="preserve">Likert Items (1 = Very Poor/Strongly Disagree ... 5 = Excellent/Strongly Agree)</w:t>
      </w:r>
    </w:p>
    <w:p>
      <w:pPr>
        <w:spacing w:after="60" w:before="120"/>
      </w:pPr>
      <w:r>
        <w:rPr>
          <w:b/>
          <w:bCs/>
          <w:sz w:val="20"/>
          <w:szCs w:val="20"/>
        </w:rPr>
        <w:t xml:space="preserve">Q1_ServiceQuality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Rating</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7</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36</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118</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39.3%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112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37.3%</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27</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9%</w:t>
            </w:r>
          </w:p>
        </w:tc>
      </w:tr>
    </w:tbl>
    <w:p>
      <w:pPr>
        <w:spacing w:after="60" w:before="120"/>
      </w:pPr>
      <w:r>
        <w:rPr>
          <w:b/>
          <w:bCs/>
          <w:sz w:val="20"/>
          <w:szCs w:val="20"/>
        </w:rPr>
        <w:t xml:space="preserve">Q2_StaffFriendliness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Rating</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39</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116</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38.7%</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111</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37%</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10.3%</w:t>
            </w:r>
          </w:p>
        </w:tc>
      </w:tr>
    </w:tbl>
    <w:p>
      <w:pPr>
        <w:spacing w:after="60" w:before="120"/>
      </w:pPr>
      <w:r>
        <w:rPr>
          <w:b/>
          <w:bCs/>
          <w:sz w:val="20"/>
          <w:szCs w:val="20"/>
        </w:rPr>
        <w:t xml:space="preserve">Q3_AppUsability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Rating</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51</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17%</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94</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31.3%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13.7%</w:t>
            </w:r>
          </w:p>
        </w:tc>
      </w:tr>
    </w:tbl>
    <w:p>
      <w:pPr>
        <w:spacing w:after="60" w:before="120"/>
      </w:pPr>
      <w:r>
        <w:rPr>
          <w:b/>
          <w:bCs/>
          <w:sz w:val="20"/>
          <w:szCs w:val="20"/>
        </w:rPr>
        <w:t xml:space="preserve">Q4_WaitTimeSatisfaction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Rating</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27</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9%</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76</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25.3%</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102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34%</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70</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23.3%</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8.3%</w:t>
            </w:r>
          </w:p>
        </w:tc>
      </w:tr>
    </w:tbl>
    <w:p>
      <w:pPr>
        <w:spacing w:after="60" w:before="120"/>
      </w:pPr>
      <w:r>
        <w:rPr>
          <w:b/>
          <w:bCs/>
          <w:sz w:val="20"/>
          <w:szCs w:val="20"/>
        </w:rPr>
        <w:t xml:space="preserve">Q5_OverallSatisfaction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Rating</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27</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121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40.3%</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123</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41%</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8.3%</w:t>
            </w:r>
          </w:p>
        </w:tc>
      </w:tr>
    </w:tbl>
    <w:p>
      <w:pPr>
        <w:spacing w:after="160" w:before="100"/>
      </w:pPr>
      <w:r>
        <w:rPr>
          <w:i/>
          <w:iCs/>
          <w:color w:val="555555"/>
          <w:sz w:val="19"/>
          <w:szCs w:val="19"/>
        </w:rPr>
        <w:t xml:space="preserve">Table 2.1-2.13 - Frequency distributions for all nominal and ordinal variables (N = 300).</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Branch coverage: Lagos is the largest branch in the sample (29.3%), followed by Port Harcourt (20.7%), Abuja (20.3%), Kano (16.0%), and Ibadan (13.7%). Gender is reasonably balanced (55.3% Male, 44.7% Female).</w:t>
      </w:r>
    </w:p>
    <w:p>
      <w:pPr>
        <w:spacing w:after="140" w:line="276"/>
        <w:jc w:val="both"/>
      </w:pPr>
      <w:r>
        <w:rPr>
          <w:sz w:val="21"/>
          <w:szCs w:val="21"/>
        </w:rPr>
        <w:t xml:space="preserve">Education skews toward Bachelor's degree holders (45.3%), with Diploma (21.3%), Postgraduate (19.7%), and Secondary (13.7%) making up the rest. Savings accounts dominate the account mix (56.7%), followed by Current (33.7%) and Fixed Deposit (9.7%).</w:t>
      </w:r>
    </w:p>
    <w:p>
      <w:pPr>
        <w:spacing w:after="140" w:line="276"/>
        <w:jc w:val="both"/>
      </w:pPr>
      <w:r>
        <w:rPr>
          <w:sz w:val="21"/>
          <w:szCs w:val="21"/>
        </w:rPr>
        <w:t xml:space="preserve">38.7% of customers have filed a complaint, a substantial minority worth investigating further. Loan default stands at 28.7%, a materially high default rate that warrants the credit risk modelling in Section 13. Churn risk is classified as Low for 53.3% of customers, Medium for 39.0%, and High for only 7.7%, meaning the vast majority of the customer base is not currently flagged as a high churn risk.</w:t>
      </w:r>
    </w:p>
    <w:p>
      <w:pPr>
        <w:spacing w:after="140" w:line="276"/>
        <w:jc w:val="both"/>
      </w:pPr>
      <w:r>
        <w:rPr>
          <w:sz w:val="21"/>
          <w:szCs w:val="21"/>
        </w:rPr>
        <w:t xml:space="preserve">For the Likert items, mean-level responses cluster around the midpoint (3) with Overall Satisfaction and Staff Friendliness skewing slightly positive, while Wait Time Satisfaction is the most negatively skewed of the five, the only item with a mean below 3.0, signalling wait time as a likely pain point.</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With nearly 4 in 10 customers filing a complaint and almost 3 in 10 defaulting on a loan, both complaint handling and credit risk deserve focused management attention.</w:t>
      </w:r>
    </w:p>
    <w:p>
      <w:pPr>
        <w:pStyle w:val="ListParagraph"/>
        <w:numPr>
          <w:ilvl w:val="0"/>
          <w:numId w:val="1"/>
        </w:numPr>
        <w:spacing w:after="60" w:line="270"/>
      </w:pPr>
      <w:r>
        <w:rPr>
          <w:sz w:val="21"/>
          <w:szCs w:val="21"/>
        </w:rPr>
        <w:t xml:space="preserve">Wait Time Satisfaction is the weakest-rated service dimension and is a strong candidate for an operational improvement initiative (e.g., queue management, staffing at peak hours).</w:t>
      </w:r>
    </w:p>
    <w:p>
      <w:r>
        <w:br w:type="page"/>
      </w:r>
    </w:p>
    <w:p>
      <w:pPr>
        <w:pStyle w:val="Heading1"/>
        <w:pBdr>
          <w:bottom w:val="single" w:color="1F3864" w:sz="8" w:space="4"/>
        </w:pBdr>
        <w:spacing w:after="200" w:before="400"/>
      </w:pPr>
      <w:r>
        <w:rPr>
          <w:b/>
          <w:bCs/>
          <w:color w:val="1F3864"/>
          <w:sz w:val="30"/>
          <w:szCs w:val="30"/>
        </w:rPr>
        <w:t xml:space="preserve">3. Descriptive Statistics (Continuous Variables)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summarise central tendency, dispersion, and shape of each continuous/scale variable. This corresponds to Analyze &gt; Descriptive Statistics &gt; Descriptives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Age, YearsWithBank, MonthlyIncome, NumTransactionsMonth, CreditScore, and the five Likert items.</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Descriptive Statistics &gt; Descriptives.</w:t>
      </w:r>
    </w:p>
    <w:p>
      <w:pPr>
        <w:pStyle w:val="ListParagraph"/>
        <w:numPr>
          <w:ilvl w:val="0"/>
          <w:numId w:val="2"/>
        </w:numPr>
        <w:spacing w:after="80" w:line="270"/>
      </w:pPr>
      <w:r>
        <w:rPr>
          <w:sz w:val="21"/>
          <w:szCs w:val="21"/>
        </w:rPr>
        <w:t xml:space="preserve">Move the 10 variables into the Variable(s) box.</w:t>
      </w:r>
    </w:p>
    <w:p>
      <w:pPr>
        <w:pStyle w:val="ListParagraph"/>
        <w:numPr>
          <w:ilvl w:val="0"/>
          <w:numId w:val="2"/>
        </w:numPr>
        <w:spacing w:after="80" w:line="270"/>
      </w:pPr>
      <w:r>
        <w:rPr>
          <w:sz w:val="21"/>
          <w:szCs w:val="21"/>
        </w:rPr>
        <w:t xml:space="preserve">Click Options, tick Mean, SD, Variance, Range, Min, Max, Skewness, Kurtosis.</w:t>
      </w:r>
    </w:p>
    <w:p>
      <w:pPr>
        <w:pStyle w:val="ListParagraph"/>
        <w:numPr>
          <w:ilvl w:val="0"/>
          <w:numId w:val="2"/>
        </w:numPr>
        <w:spacing w:after="80" w:line="270"/>
      </w:pPr>
      <w:r>
        <w:rPr>
          <w:sz w:val="21"/>
          <w:szCs w:val="21"/>
        </w:rPr>
        <w:t xml:space="preserve">Click OK to produce the Descriptives table.</w:t>
      </w:r>
    </w:p>
    <w:p>
      <w:pPr>
        <w:pStyle w:val="Heading2"/>
        <w:spacing w:after="120" w:before="260"/>
      </w:pPr>
      <w:r>
        <w:rPr>
          <w:b/>
          <w:bCs/>
          <w:color w:val="B8860B"/>
          <w:sz w:val="24"/>
          <w:szCs w:val="24"/>
        </w:rPr>
        <w:t xml:space="preserve">Output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300"/>
        <w:gridCol w:w="1100"/>
        <w:gridCol w:w="900"/>
        <w:gridCol w:w="900"/>
        <w:gridCol w:w="1100"/>
        <w:gridCol w:w="12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700"/>
            <w:shd w:fill="1F3864"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1F3864" w:val="clear"/>
            <w:tcMar>
              <w:top w:type="dxa" w:w="60"/>
              <w:left w:type="dxa" w:w="100"/>
              <w:bottom w:type="dxa" w:w="60"/>
              <w:right w:type="dxa" w:w="100"/>
            </w:tcMar>
            <w:vAlign w:val="center"/>
          </w:tcPr>
          <w:p>
            <w:pPr>
              <w:jc w:val="center"/>
            </w:pPr>
            <w:r>
              <w:rPr>
                <w:b/>
                <w:bCs/>
                <w:color w:val="FFFFFF"/>
                <w:sz w:val="19"/>
                <w:szCs w:val="19"/>
              </w:rPr>
              <w:t xml:space="preserve">Mean</w:t>
            </w:r>
          </w:p>
        </w:tc>
        <w:tc>
          <w:tcPr>
            <w:tcW w:type="dxa" w:w="1100"/>
            <w:shd w:fill="1F3864" w:val="clear"/>
            <w:tcMar>
              <w:top w:type="dxa" w:w="60"/>
              <w:left w:type="dxa" w:w="100"/>
              <w:bottom w:type="dxa" w:w="60"/>
              <w:right w:type="dxa" w:w="100"/>
            </w:tcMar>
            <w:vAlign w:val="center"/>
          </w:tcPr>
          <w:p>
            <w:pPr>
              <w:jc w:val="center"/>
            </w:pPr>
            <w:r>
              <w:rPr>
                <w:b/>
                <w:bCs/>
                <w:color w:val="FFFFFF"/>
                <w:sz w:val="19"/>
                <w:szCs w:val="19"/>
              </w:rPr>
              <w:t xml:space="preserve">SD</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Min</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Max</w:t>
            </w:r>
          </w:p>
        </w:tc>
        <w:tc>
          <w:tcPr>
            <w:tcW w:type="dxa" w:w="1100"/>
            <w:shd w:fill="1F3864" w:val="clear"/>
            <w:tcMar>
              <w:top w:type="dxa" w:w="60"/>
              <w:left w:type="dxa" w:w="100"/>
              <w:bottom w:type="dxa" w:w="60"/>
              <w:right w:type="dxa" w:w="100"/>
            </w:tcMar>
            <w:vAlign w:val="center"/>
          </w:tcPr>
          <w:p>
            <w:pPr>
              <w:jc w:val="center"/>
            </w:pPr>
            <w:r>
              <w:rPr>
                <w:b/>
                <w:bCs/>
                <w:color w:val="FFFFFF"/>
                <w:sz w:val="19"/>
                <w:szCs w:val="19"/>
              </w:rPr>
              <w:t xml:space="preserve">Skew.</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Kurtosis</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36.057</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9.47</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62</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0.032</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-0.428</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YearsWithBank</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8.587</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6.627</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0.797</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-0.007</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MonthlyIncome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207755.88</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94966.075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45000</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538075</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0.581</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0.048</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NumTransactionsMonth</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3.388</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22</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-0.069</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-0.255</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CreditScore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645.713</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72.585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448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833</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-0.055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-0.205</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Q1_ServiceQuality</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3.387</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0.894</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-0.275</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-0.054</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Q2_StaffFriendliness</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3.427</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0.88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-0.116</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-0.359</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Q3_AppUsability</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3.363</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1.043</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-0.254</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-0.554</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Q4_WaitTimeSatisfaction</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2.967</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1.088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0.035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-0.656</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Q5_OverallSatisfaction</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3.46</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0.823</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-0.269</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0.113</w:t>
            </w:r>
          </w:p>
        </w:tc>
      </w:tr>
    </w:tbl>
    <w:p>
      <w:pPr>
        <w:spacing w:after="160" w:before="100"/>
      </w:pPr>
      <w:r>
        <w:rPr>
          <w:i/>
          <w:iCs/>
          <w:color w:val="555555"/>
          <w:sz w:val="19"/>
          <w:szCs w:val="19"/>
        </w:rPr>
        <w:t xml:space="preserve">Table 3.1 - Descriptive statistics for all scale and Likert variables.</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Age averages 36.057 years (SD = 9.47), spanning 18 to 62, a fairly symmetric working-age adult sample.</w:t>
      </w:r>
    </w:p>
    <w:p>
      <w:pPr>
        <w:spacing w:after="140" w:line="276"/>
        <w:jc w:val="both"/>
      </w:pPr>
      <w:r>
        <w:rPr>
          <w:sz w:val="21"/>
          <w:szCs w:val="21"/>
        </w:rPr>
        <w:t xml:space="preserve">Years With Bank averages 8.587 years (SD = 6.627), with a positive skew (0.797) indicating most customers are relatively newer, with a smaller number of very long-tenured customers pulling the tail upward.</w:t>
      </w:r>
    </w:p>
    <w:p>
      <w:pPr>
        <w:spacing w:after="140" w:line="276"/>
        <w:jc w:val="both"/>
      </w:pPr>
      <w:r>
        <w:rPr>
          <w:sz w:val="21"/>
          <w:szCs w:val="21"/>
        </w:rPr>
        <w:t xml:space="preserve">Monthly Income averages NGN 207,755.88 (SD = NGN 94,966.075), ranging from NGN 45000 to NGN 538075, a wide range reflecting a socioeconomically diverse customer base.</w:t>
      </w:r>
    </w:p>
    <w:p>
      <w:pPr>
        <w:spacing w:after="140" w:line="276"/>
        <w:jc w:val="both"/>
      </w:pPr>
      <w:r>
        <w:rPr>
          <w:sz w:val="21"/>
          <w:szCs w:val="21"/>
        </w:rPr>
        <w:t xml:space="preserve">Credit Score averages 645.713 (SD = 72.585), with skewness and kurtosis both close to zero, the most normally distributed scale variable in the dataset (confirmed formally in Section 4).</w:t>
      </w:r>
    </w:p>
    <w:p>
      <w:pPr>
        <w:spacing w:after="140" w:line="276"/>
        <w:jc w:val="both"/>
      </w:pPr>
      <w:r>
        <w:rPr>
          <w:sz w:val="21"/>
          <w:szCs w:val="21"/>
        </w:rPr>
        <w:t xml:space="preserve">The five Likert items show mild negative skew (responses lean slightly positive) except Wait Time Satisfaction, which is nearly symmetric but centred lowest among the five at 2.97, the only sub-midpoint mean.</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Credit Score's near-normal distribution makes it a strong, well-behaved dependent variable for the regression analysis in Section 12.</w:t>
      </w:r>
    </w:p>
    <w:p>
      <w:pPr>
        <w:pStyle w:val="ListParagraph"/>
        <w:numPr>
          <w:ilvl w:val="0"/>
          <w:numId w:val="1"/>
        </w:numPr>
        <w:spacing w:after="60" w:line="270"/>
      </w:pPr>
      <w:r>
        <w:rPr>
          <w:sz w:val="21"/>
          <w:szCs w:val="21"/>
        </w:rPr>
        <w:t xml:space="preserve">The wide income range and varied tenure suggest a segmentation opportunity, formalised later via cluster analysis (Section 15).</w:t>
      </w:r>
    </w:p>
    <w:p>
      <w:r>
        <w:br w:type="page"/>
      </w:r>
    </w:p>
    <w:p>
      <w:pPr>
        <w:pStyle w:val="Heading1"/>
        <w:pBdr>
          <w:bottom w:val="single" w:color="1F3864" w:sz="8" w:space="4"/>
        </w:pBdr>
        <w:spacing w:after="200" w:before="400"/>
      </w:pPr>
      <w:r>
        <w:rPr>
          <w:b/>
          <w:bCs/>
          <w:color w:val="1F3864"/>
          <w:sz w:val="30"/>
          <w:szCs w:val="30"/>
        </w:rPr>
        <w:t xml:space="preserve">4. Explore Procedure and Tests of Normality</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formally test whether each variable is normally distributed, guiding the choice between parametric and non-parametric tests later. This corresponds to Analyze &gt; Descriptive Statistics &gt; Explore (Normality plots with tests)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Age, YearsWithBank, MonthlyIncome, NumTransactionsMonth, CreditScore, and the five Likert items.</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Descriptive Statistics &gt; Explore.</w:t>
      </w:r>
    </w:p>
    <w:p>
      <w:pPr>
        <w:pStyle w:val="ListParagraph"/>
        <w:numPr>
          <w:ilvl w:val="0"/>
          <w:numId w:val="2"/>
        </w:numPr>
        <w:spacing w:after="80" w:line="270"/>
      </w:pPr>
      <w:r>
        <w:rPr>
          <w:sz w:val="21"/>
          <w:szCs w:val="21"/>
        </w:rPr>
        <w:t xml:space="preserve">Move all 10 variables into the Dependent List.</w:t>
      </w:r>
    </w:p>
    <w:p>
      <w:pPr>
        <w:pStyle w:val="ListParagraph"/>
        <w:numPr>
          <w:ilvl w:val="0"/>
          <w:numId w:val="2"/>
        </w:numPr>
        <w:spacing w:after="80" w:line="270"/>
      </w:pPr>
      <w:r>
        <w:rPr>
          <w:sz w:val="21"/>
          <w:szCs w:val="21"/>
        </w:rPr>
        <w:t xml:space="preserve">Click Plots, tick Normality plots with tests, click Continue, then OK.</w:t>
      </w:r>
    </w:p>
    <w:p>
      <w:pPr>
        <w:pStyle w:val="ListParagraph"/>
        <w:numPr>
          <w:ilvl w:val="0"/>
          <w:numId w:val="2"/>
        </w:numPr>
        <w:spacing w:after="80" w:line="270"/>
      </w:pPr>
      <w:r>
        <w:rPr>
          <w:sz w:val="21"/>
          <w:szCs w:val="21"/>
        </w:rPr>
        <w:t xml:space="preserve">Read the Shapiro-Wilk statistic and significance for each variable.</w:t>
      </w:r>
    </w:p>
    <w:p>
      <w:pPr>
        <w:pStyle w:val="Heading2"/>
        <w:spacing w:after="120" w:before="260"/>
      </w:pPr>
      <w:r>
        <w:rPr>
          <w:b/>
          <w:bCs/>
          <w:color w:val="B8860B"/>
          <w:sz w:val="24"/>
          <w:szCs w:val="24"/>
        </w:rPr>
        <w:t xml:space="preserve">Output - Tests of Normality</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500"/>
      </w:tblGrid>
      <w:tr>
        <w:trPr>
          <w:tblHeader/>
        </w:trPr>
        <w:tc>
          <w:tcPr>
            <w:tcW w:type="dxa" w:w="28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1800"/>
            <w:shd w:fill="1F3864" w:val="clear"/>
            <w:tcMar>
              <w:top w:type="dxa" w:w="60"/>
              <w:left w:type="dxa" w:w="100"/>
              <w:bottom w:type="dxa" w:w="60"/>
              <w:right w:type="dxa" w:w="100"/>
            </w:tcMar>
            <w:vAlign w:val="center"/>
          </w:tcPr>
          <w:p>
            <w:pPr>
              <w:jc w:val="center"/>
            </w:pPr>
            <w:r>
              <w:rPr>
                <w:b/>
                <w:bCs/>
                <w:color w:val="FFFFFF"/>
                <w:sz w:val="19"/>
                <w:szCs w:val="19"/>
              </w:rPr>
              <w:t xml:space="preserve">Shapiro-Wilk W</w:t>
            </w:r>
          </w:p>
        </w:tc>
        <w:tc>
          <w:tcPr>
            <w:tcW w:type="dxa" w:w="1800"/>
            <w:shd w:fill="1F3864" w:val="clear"/>
            <w:tcMar>
              <w:top w:type="dxa" w:w="60"/>
              <w:left w:type="dxa" w:w="100"/>
              <w:bottom w:type="dxa" w:w="60"/>
              <w:right w:type="dxa" w:w="100"/>
            </w:tcMar>
            <w:vAlign w:val="center"/>
          </w:tcPr>
          <w:p>
            <w:pPr>
              <w:jc w:val="center"/>
            </w:pPr>
            <w:r>
              <w:rPr>
                <w:b/>
                <w:bCs/>
                <w:color w:val="FFFFFF"/>
                <w:sz w:val="19"/>
                <w:szCs w:val="19"/>
              </w:rPr>
              <w:t xml:space="preserve">Sig. (p)</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Normal?</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0.9876</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0.0111</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YearsWithBank</w:t>
            </w:r>
          </w:p>
        </w:tc>
        <w:tc>
          <w:tcPr>
            <w:tcW w:type="dxa" w:w="1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0.9329</w:t>
            </w:r>
          </w:p>
        </w:tc>
        <w:tc>
          <w:tcPr>
            <w:tcW w:type="dxa" w:w="1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MonthlyIncome</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0.9694</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NumTransactionsMonth</w:t>
            </w:r>
          </w:p>
        </w:tc>
        <w:tc>
          <w:tcPr>
            <w:tcW w:type="dxa" w:w="1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0.9846</w:t>
            </w:r>
          </w:p>
        </w:tc>
        <w:tc>
          <w:tcPr>
            <w:tcW w:type="dxa" w:w="1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0.0027</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CreditScore</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0.9966</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0.7762</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Yes</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Q1_ServiceQuality</w:t>
            </w:r>
          </w:p>
        </w:tc>
        <w:tc>
          <w:tcPr>
            <w:tcW w:type="dxa" w:w="1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0.887</w:t>
            </w:r>
          </w:p>
        </w:tc>
        <w:tc>
          <w:tcPr>
            <w:tcW w:type="dxa" w:w="1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Q2_StaffFriendliness</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0.8869</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Q3_AppUsability</w:t>
            </w:r>
          </w:p>
        </w:tc>
        <w:tc>
          <w:tcPr>
            <w:tcW w:type="dxa" w:w="1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0.9062</w:t>
            </w:r>
          </w:p>
        </w:tc>
        <w:tc>
          <w:tcPr>
            <w:tcW w:type="dxa" w:w="1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Q4_WaitTimeSatisfaction</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0.9163</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Q5_OverallSatisfaction</w:t>
            </w:r>
          </w:p>
        </w:tc>
        <w:tc>
          <w:tcPr>
            <w:tcW w:type="dxa" w:w="1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0.8696</w:t>
            </w:r>
          </w:p>
        </w:tc>
        <w:tc>
          <w:tcPr>
            <w:tcW w:type="dxa" w:w="1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w:t>
            </w:r>
          </w:p>
        </w:tc>
      </w:tr>
    </w:tbl>
    <w:p>
      <w:pPr>
        <w:spacing w:after="160" w:before="100"/>
      </w:pPr>
      <w:r>
        <w:rPr>
          <w:i/>
          <w:iCs/>
          <w:color w:val="555555"/>
          <w:sz w:val="19"/>
          <w:szCs w:val="19"/>
        </w:rPr>
        <w:t xml:space="preserve">Table 4.1 - Shapiro-Wilk tests of normality.</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Every variable is significantly non-normal (p &lt; .05) except Credit Score, which is the sole variable to pass the normality test (W = 0.9966, p = 0.7762). This is an important and useful exception: it means Credit Score can be treated as a genuinely normally distributed continuous outcome, supporting the use of standard OLS regression in Section 12 without reservation.</w:t>
      </w:r>
    </w:p>
    <w:p>
      <w:pPr>
        <w:spacing w:after="140" w:line="276"/>
        <w:jc w:val="both"/>
      </w:pPr>
      <w:r>
        <w:rPr>
          <w:sz w:val="21"/>
          <w:szCs w:val="21"/>
        </w:rPr>
        <w:t xml:space="preserve">As expected, the five bounded Likert items are all significantly non-normal, and Age, Years With Bank, Monthly Income, and Number of Transactions also depart from normality, though with only mild skew for Age and Transactions. As before, parametric tests are reported as the primary approach for scale variables given adequate sample size (N = 300), with non-parametric equivalents run alongside for the Likert items and as a robustness check throughout.</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Credit Score's normality is a methodological green light: it can be modelled with standard linear regression with confidence (Section 12).</w:t>
      </w:r>
    </w:p>
    <w:p>
      <w:pPr>
        <w:pStyle w:val="ListParagraph"/>
        <w:numPr>
          <w:ilvl w:val="0"/>
          <w:numId w:val="1"/>
        </w:numPr>
        <w:spacing w:after="60" w:line="270"/>
      </w:pPr>
      <w:r>
        <w:rPr>
          <w:sz w:val="21"/>
          <w:szCs w:val="21"/>
        </w:rPr>
        <w:t xml:space="preserve">Likert-based comparisons should lead with non-parametric tests (Mann-Whitney, Kruskal-Wallis), with t-test/ANOVA reported as a robustness check.</w:t>
      </w:r>
    </w:p>
    <w:p>
      <w:r>
        <w:br w:type="page"/>
      </w:r>
    </w:p>
    <w:p>
      <w:pPr>
        <w:pStyle w:val="Heading1"/>
      </w:pPr>
      <w:r>
        <w:rPr>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8" w:space="4"/>
        </w:pBdr>
        <w:spacing w:after="200" w:before="400"/>
      </w:pPr>
      <w:r>
        <w:rPr>
          <w:b/>
          <w:bCs/>
          <w:color w:val="1F3864"/>
          <w:sz w:val="30"/>
          <w:szCs w:val="30"/>
        </w:rPr>
        <w:t xml:space="preserve">5. Cross-Tabulation and Chi-Square Test of Independence</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test whether two categorical variables are statistically associated, for example whether complaint filing differs by branch, or whether churn risk relates to complaint history. This corresponds to Analyze &gt; Descriptive Statistics &gt; Crosstabs (Chi-square, Cramer's V)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Gender, Branch, Education, AccountType crossed with ComplaintFiled; Gender and Education crossed with LoanDefault; Branch and AccountType crossed with ChurnRisk; ComplaintFiled crossed with ChurnRisk.</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Descriptive Statistics &gt; Crosstabs.</w:t>
      </w:r>
    </w:p>
    <w:p>
      <w:pPr>
        <w:pStyle w:val="ListParagraph"/>
        <w:numPr>
          <w:ilvl w:val="0"/>
          <w:numId w:val="2"/>
        </w:numPr>
        <w:spacing w:after="80" w:line="270"/>
      </w:pPr>
      <w:r>
        <w:rPr>
          <w:sz w:val="21"/>
          <w:szCs w:val="21"/>
        </w:rPr>
        <w:t xml:space="preserve">Place the grouping variable in Row(s), the outcome in Column(s).</w:t>
      </w:r>
    </w:p>
    <w:p>
      <w:pPr>
        <w:pStyle w:val="ListParagraph"/>
        <w:numPr>
          <w:ilvl w:val="0"/>
          <w:numId w:val="2"/>
        </w:numPr>
        <w:spacing w:after="80" w:line="270"/>
      </w:pPr>
      <w:r>
        <w:rPr>
          <w:sz w:val="21"/>
          <w:szCs w:val="21"/>
        </w:rPr>
        <w:t xml:space="preserve">Click Statistics, tick Chi-square and Phi and Cramer's V.</w:t>
      </w:r>
    </w:p>
    <w:p>
      <w:pPr>
        <w:pStyle w:val="ListParagraph"/>
        <w:numPr>
          <w:ilvl w:val="0"/>
          <w:numId w:val="2"/>
        </w:numPr>
        <w:spacing w:after="80" w:line="270"/>
      </w:pPr>
      <w:r>
        <w:rPr>
          <w:sz w:val="21"/>
          <w:szCs w:val="21"/>
        </w:rPr>
        <w:t xml:space="preserve">Click Cells, tick Observed counts and Row percentages.</w:t>
      </w:r>
    </w:p>
    <w:p>
      <w:pPr>
        <w:pStyle w:val="ListParagraph"/>
        <w:numPr>
          <w:ilvl w:val="0"/>
          <w:numId w:val="2"/>
        </w:numPr>
        <w:spacing w:after="80" w:line="270"/>
      </w:pPr>
      <w:r>
        <w:rPr>
          <w:sz w:val="21"/>
          <w:szCs w:val="21"/>
        </w:rPr>
        <w:t xml:space="preserve">Click OK; repeat for each variable pair.</w:t>
      </w:r>
    </w:p>
    <w:p>
      <w:pPr>
        <w:pStyle w:val="Heading2"/>
        <w:spacing w:after="120" w:before="260"/>
      </w:pPr>
      <w:r>
        <w:rPr>
          <w:b/>
          <w:bCs/>
          <w:color w:val="B8860B"/>
          <w:sz w:val="24"/>
          <w:szCs w:val="24"/>
        </w:rPr>
        <w:t xml:space="preserve">Output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700"/>
        <w:gridCol w:w="1400"/>
        <w:gridCol w:w="1600"/>
      </w:tblGrid>
      <w:tr>
        <w:trPr>
          <w:tblHeader/>
        </w:trPr>
        <w:tc>
          <w:tcPr>
            <w:tcW w:type="dxa" w:w="3400"/>
            <w:shd w:fill="1F3864" w:val="clear"/>
            <w:tcMar>
              <w:top w:type="dxa" w:w="60"/>
              <w:left w:type="dxa" w:w="100"/>
              <w:bottom w:type="dxa" w:w="60"/>
              <w:right w:type="dxa" w:w="100"/>
            </w:tcMar>
            <w:vAlign w:val="center"/>
          </w:tcPr>
          <w:p>
            <w:pPr>
              <w:jc w:val="center"/>
            </w:pPr>
            <w:r>
              <w:rPr>
                <w:b/>
                <w:bCs/>
                <w:color w:val="FFFFFF"/>
                <w:sz w:val="19"/>
                <w:szCs w:val="19"/>
              </w:rPr>
              <w:t xml:space="preserve">Cross Tabulation</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Chi-square</w:t>
            </w:r>
          </w:p>
        </w:tc>
        <w:tc>
          <w:tcPr>
            <w:tcW w:type="dxa" w:w="700"/>
            <w:shd w:fill="1F3864"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Cramer's V</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Gender x Complaint Filed</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0.027</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0.8699</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0.009</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Branch x Complaint Filed</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2.785</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0.5944</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0.096</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Education x Complaint Filed</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1.668</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0.644</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0.075</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Account Type x Complaint Filed</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1.318</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0.5172</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0.066</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Gender x Loan Default</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1.101</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0.2939</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0.061</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Education x Loan Default</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1.949</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0.5831</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0.081</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Branch x Churn Risk</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5.98</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8</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0.6495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0.1</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Account Type x Churn Risk</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2.322</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0.6768</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0.062</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Complaint Filed x Churn Risk</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47.466</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0.398</w:t>
            </w:r>
          </w:p>
        </w:tc>
      </w:tr>
    </w:tbl>
    <w:p>
      <w:pPr>
        <w:spacing w:after="160" w:before="100"/>
      </w:pPr>
      <w:r>
        <w:rPr>
          <w:i/>
          <w:iCs/>
          <w:color w:val="555555"/>
          <w:sz w:val="19"/>
          <w:szCs w:val="19"/>
        </w:rPr>
        <w:t xml:space="preserve">Table 5.1 - Chi-square test results for all categorical cross-tabulations examined.</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Gender, Branch, Education, and Account Type all show no significant association with Complaint Filed or Loan Default (all p &gt; .05), and Branch and Account Type show no significant association with Churn Risk either. These are consistent, informative null findings: demographic and account-type profile does not explain who complains, who defaults, or who is at churn risk.</w:t>
      </w:r>
    </w:p>
    <w:p>
      <w:pPr>
        <w:spacing w:after="140" w:line="276"/>
        <w:jc w:val="both"/>
      </w:pPr>
      <w:r>
        <w:rPr>
          <w:sz w:val="21"/>
          <w:szCs w:val="21"/>
        </w:rPr>
        <w:t xml:space="preserve">The one striking exception is Complaint Filed x Churn Risk: chi-square(2, N=300) = 47.466, p &lt; .001, Cramer's V = 0.398, a medium-to-large effect by conventional benchmarks. Customers who have filed a complaint are disproportionately represented in the Medium and High churn risk categories, while non-complainants dominate the Low churn risk group.</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Complaint history is the single strongest categorical predictor of churn risk identified in this study; complaint resolution should be treated as a frontline retention lever, not just a service metric.</w:t>
      </w:r>
    </w:p>
    <w:p>
      <w:pPr>
        <w:pStyle w:val="ListParagraph"/>
        <w:numPr>
          <w:ilvl w:val="0"/>
          <w:numId w:val="1"/>
        </w:numPr>
        <w:spacing w:after="60" w:line="270"/>
      </w:pPr>
      <w:r>
        <w:rPr>
          <w:sz w:val="21"/>
          <w:szCs w:val="21"/>
        </w:rPr>
        <w:t xml:space="preserve">Because demographics do not explain complaints, defaults, or churn risk, broad demographic targeting will not identify at-risk customers; complaint records and behavioural/financial variables are the more productive signals (see Sections 12-16).</w:t>
      </w:r>
    </w:p>
    <w:p>
      <w:r>
        <w:br w:type="page"/>
      </w:r>
    </w:p>
    <w:p>
      <w:pPr>
        <w:pStyle w:val="Heading1"/>
        <w:pBdr>
          <w:bottom w:val="single" w:color="1F3864" w:sz="8" w:space="4"/>
        </w:pBdr>
        <w:spacing w:after="200" w:before="400"/>
      </w:pPr>
      <w:r>
        <w:rPr>
          <w:b/>
          <w:bCs/>
          <w:color w:val="1F3864"/>
          <w:sz w:val="30"/>
          <w:szCs w:val="30"/>
        </w:rPr>
        <w:t xml:space="preserve">6. Reliability Analysis (Cronbach's Alpha)</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assess whether the five Likert items reliably measure a single underlying construct, here a general 'Customer Experience/Service Satisfaction' scale, that could be combined into one composite score. This corresponds to Analyze &gt; Scale &gt; Reliability Analysis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Q1_ServiceQuality, Q2_StaffFriendliness, Q3_AppUsability, Q4_WaitTimeSatisfaction, Q5_OverallSatisfaction.</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Scale &gt; Reliability Analysis.</w:t>
      </w:r>
    </w:p>
    <w:p>
      <w:pPr>
        <w:pStyle w:val="ListParagraph"/>
        <w:numPr>
          <w:ilvl w:val="0"/>
          <w:numId w:val="2"/>
        </w:numPr>
        <w:spacing w:after="80" w:line="270"/>
      </w:pPr>
      <w:r>
        <w:rPr>
          <w:sz w:val="21"/>
          <w:szCs w:val="21"/>
        </w:rPr>
        <w:t xml:space="preserve">Move all 5 items into the Items box, set Model to Alpha.</w:t>
      </w:r>
    </w:p>
    <w:p>
      <w:pPr>
        <w:pStyle w:val="ListParagraph"/>
        <w:numPr>
          <w:ilvl w:val="0"/>
          <w:numId w:val="2"/>
        </w:numPr>
        <w:spacing w:after="80" w:line="270"/>
      </w:pPr>
      <w:r>
        <w:rPr>
          <w:sz w:val="21"/>
          <w:szCs w:val="21"/>
        </w:rPr>
        <w:t xml:space="preserve">Click Statistics, tick 'Scale if item deleted' and Item/Scale/Inter-Item Correlations.</w:t>
      </w:r>
    </w:p>
    <w:p>
      <w:pPr>
        <w:pStyle w:val="ListParagraph"/>
        <w:numPr>
          <w:ilvl w:val="0"/>
          <w:numId w:val="2"/>
        </w:numPr>
        <w:spacing w:after="80" w:line="270"/>
      </w:pPr>
      <w:r>
        <w:rPr>
          <w:sz w:val="21"/>
          <w:szCs w:val="21"/>
        </w:rPr>
        <w:t xml:space="preserve">Click Continue, then OK.</w:t>
      </w:r>
    </w:p>
    <w:p>
      <w:pPr>
        <w:pStyle w:val="Heading2"/>
        <w:spacing w:after="120" w:before="260"/>
      </w:pPr>
      <w:r>
        <w:rPr>
          <w:b/>
          <w:bCs/>
          <w:color w:val="B8860B"/>
          <w:sz w:val="24"/>
          <w:szCs w:val="24"/>
        </w:rPr>
        <w:t xml:space="preserve">Output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1200"/>
        <w:gridCol w:w="1600"/>
      </w:tblGrid>
      <w:tr>
        <w:trPr>
          <w:tblHeader/>
        </w:trPr>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Scale</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Items</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Cronbach's Alpha</w:t>
            </w:r>
          </w:p>
        </w:tc>
      </w:tr>
      <w:tr>
        <w:tc>
          <w:tcPr>
            <w:tcW w:type="dxa" w:w="5200"/>
            <w:tcMar>
              <w:top w:type="dxa" w:w="60"/>
              <w:left w:type="dxa" w:w="100"/>
              <w:bottom w:type="dxa" w:w="60"/>
              <w:right w:type="dxa" w:w="100"/>
            </w:tcMar>
            <w:vAlign w:val="center"/>
          </w:tcPr>
          <w:p>
            <w:pPr>
              <w:jc w:val="left"/>
            </w:pPr>
            <w:r>
              <w:rPr>
                <w:b w:val="false"/>
                <w:bCs w:val="false"/>
                <w:color w:val="000000"/>
                <w:sz w:val="19"/>
                <w:szCs w:val="19"/>
              </w:rPr>
              <w:t xml:space="preserve">All 5 Likert items</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300</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0.794</w:t>
            </w:r>
          </w:p>
        </w:tc>
      </w:tr>
    </w:tbl>
    <w:p>
      <w:pPr>
        <w:spacing w:after="160" w:before="100"/>
      </w:pPr>
      <w:r>
        <w:rPr>
          <w:i/>
          <w:iCs/>
          <w:color w:val="555555"/>
          <w:sz w:val="19"/>
          <w:szCs w:val="19"/>
        </w:rPr>
        <w:t xml:space="preserve">Table 6.1 - Reliability coefficient for the 5-item Customer Experience scale.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400"/>
      </w:tblGrid>
      <w:tr>
        <w:trPr>
          <w:tblHeader/>
        </w:trPr>
        <w:tc>
          <w:tcPr>
            <w:tcW w:type="dxa" w:w="3800"/>
            <w:shd w:fill="1F3864" w:val="clear"/>
            <w:tcMar>
              <w:top w:type="dxa" w:w="60"/>
              <w:left w:type="dxa" w:w="100"/>
              <w:bottom w:type="dxa" w:w="60"/>
              <w:right w:type="dxa" w:w="100"/>
            </w:tcMar>
            <w:vAlign w:val="center"/>
          </w:tcPr>
          <w:p>
            <w:pPr>
              <w:jc w:val="center"/>
            </w:pPr>
            <w:r>
              <w:rPr>
                <w:b/>
                <w:bCs/>
                <w:color w:val="FFFFFF"/>
                <w:sz w:val="19"/>
                <w:szCs w:val="19"/>
              </w:rPr>
              <w:t xml:space="preserve">Item</w:t>
            </w:r>
          </w:p>
        </w:tc>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Corrected Item-Total Correlation</w:t>
            </w:r>
          </w:p>
        </w:tc>
        <w:tc>
          <w:tcPr>
            <w:tcW w:type="dxa" w:w="2400"/>
            <w:shd w:fill="1F3864" w:val="clear"/>
            <w:tcMar>
              <w:top w:type="dxa" w:w="60"/>
              <w:left w:type="dxa" w:w="100"/>
              <w:bottom w:type="dxa" w:w="60"/>
              <w:right w:type="dxa" w:w="100"/>
            </w:tcMar>
            <w:vAlign w:val="center"/>
          </w:tcPr>
          <w:p>
            <w:pPr>
              <w:jc w:val="center"/>
            </w:pPr>
            <w:r>
              <w:rPr>
                <w:b/>
                <w:bCs/>
                <w:color w:val="FFFFFF"/>
                <w:sz w:val="19"/>
                <w:szCs w:val="19"/>
              </w:rPr>
              <w:t xml:space="preserve">Alpha if Item Deleted</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Q1_ServiceQuality</w:t>
            </w:r>
          </w:p>
        </w:tc>
        <w:tc>
          <w:tcPr>
            <w:tcW w:type="dxa" w:w="3200"/>
            <w:tcMar>
              <w:top w:type="dxa" w:w="60"/>
              <w:left w:type="dxa" w:w="100"/>
              <w:bottom w:type="dxa" w:w="60"/>
              <w:right w:type="dxa" w:w="100"/>
            </w:tcMar>
            <w:vAlign w:val="center"/>
          </w:tcPr>
          <w:p>
            <w:pPr>
              <w:jc w:val="center"/>
            </w:pPr>
            <w:r>
              <w:rPr>
                <w:b w:val="false"/>
                <w:bCs w:val="false"/>
                <w:color w:val="000000"/>
                <w:sz w:val="19"/>
                <w:szCs w:val="19"/>
              </w:rPr>
              <w:t xml:space="preserve">0.598</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0.748</w:t>
            </w:r>
          </w:p>
        </w:tc>
      </w:tr>
      <w:tr>
        <w:tc>
          <w:tcPr>
            <w:tcW w:type="dxa" w:w="3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Q2_StaffFriendliness</w:t>
            </w:r>
          </w:p>
        </w:tc>
        <w:tc>
          <w:tcPr>
            <w:tcW w:type="dxa" w:w="3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0.577</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0.755</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Q3_AppUsability</w:t>
            </w:r>
          </w:p>
        </w:tc>
        <w:tc>
          <w:tcPr>
            <w:tcW w:type="dxa" w:w="3200"/>
            <w:tcMar>
              <w:top w:type="dxa" w:w="60"/>
              <w:left w:type="dxa" w:w="100"/>
              <w:bottom w:type="dxa" w:w="60"/>
              <w:right w:type="dxa" w:w="100"/>
            </w:tcMar>
            <w:vAlign w:val="center"/>
          </w:tcPr>
          <w:p>
            <w:pPr>
              <w:jc w:val="center"/>
            </w:pPr>
            <w:r>
              <w:rPr>
                <w:b w:val="false"/>
                <w:bCs w:val="false"/>
                <w:color w:val="000000"/>
                <w:sz w:val="19"/>
                <w:szCs w:val="19"/>
              </w:rPr>
              <w:t xml:space="preserve">0.551</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0.765</w:t>
            </w:r>
          </w:p>
        </w:tc>
      </w:tr>
      <w:tr>
        <w:tc>
          <w:tcPr>
            <w:tcW w:type="dxa" w:w="3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Q4_WaitTimeSatisfaction</w:t>
            </w:r>
          </w:p>
        </w:tc>
        <w:tc>
          <w:tcPr>
            <w:tcW w:type="dxa" w:w="3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0.53</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0.774</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Q5_OverallSatisfaction</w:t>
            </w:r>
          </w:p>
        </w:tc>
        <w:tc>
          <w:tcPr>
            <w:tcW w:type="dxa" w:w="3200"/>
            <w:tcMar>
              <w:top w:type="dxa" w:w="60"/>
              <w:left w:type="dxa" w:w="100"/>
              <w:bottom w:type="dxa" w:w="60"/>
              <w:right w:type="dxa" w:w="100"/>
            </w:tcMar>
            <w:vAlign w:val="center"/>
          </w:tcPr>
          <w:p>
            <w:pPr>
              <w:jc w:val="center"/>
            </w:pPr>
            <w:r>
              <w:rPr>
                <w:b w:val="false"/>
                <w:bCs w:val="false"/>
                <w:color w:val="000000"/>
                <w:sz w:val="19"/>
                <w:szCs w:val="19"/>
              </w:rPr>
              <w:t xml:space="preserve">0.651</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0.736</w:t>
            </w:r>
          </w:p>
        </w:tc>
      </w:tr>
    </w:tbl>
    <w:p>
      <w:pPr>
        <w:spacing w:after="160" w:before="100"/>
      </w:pPr>
      <w:r>
        <w:rPr>
          <w:i/>
          <w:iCs/>
          <w:color w:val="555555"/>
          <w:sz w:val="19"/>
          <w:szCs w:val="19"/>
        </w:rPr>
        <w:t xml:space="preserve">Table 6.2 - Item-total statistics.</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Cronbach's Alpha = 0.794, comfortably above the 0.70 threshold conventionally used for acceptable reliability (Nunnally). Unlike a purely independent set of attributes, these five items behave as a coherent, internally consistent scale: customers who rate one aspect of the bank favourably tend to rate the others favourably too.</w:t>
      </w:r>
    </w:p>
    <w:p>
      <w:pPr>
        <w:spacing w:after="140" w:line="276"/>
        <w:jc w:val="both"/>
      </w:pPr>
      <w:r>
        <w:rPr>
          <w:sz w:val="21"/>
          <w:szCs w:val="21"/>
        </w:rPr>
        <w:t xml:space="preserve">Every item shows a healthy corrected item-total correlation between .53 and .65, and dropping any single item would reduce alpha (or leave it materially unchanged at best), meaning all five items pull their weight and none should be removed. Q5 (Overall Satisfaction) has the strongest item-total correlation (.651), consistent with its role as a summary judgment that draws on the other four.</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These five items can be responsibly combined into a single 'Customer Experience Index' (e.g., their mean or sum) for dashboards and executive reporting, unlike in cases where reliability is poor.</w:t>
      </w:r>
    </w:p>
    <w:p>
      <w:pPr>
        <w:pStyle w:val="ListParagraph"/>
        <w:numPr>
          <w:ilvl w:val="0"/>
          <w:numId w:val="1"/>
        </w:numPr>
        <w:spacing w:after="60" w:line="270"/>
      </w:pPr>
      <w:r>
        <w:rPr>
          <w:sz w:val="21"/>
          <w:szCs w:val="21"/>
        </w:rPr>
        <w:t xml:space="preserve">Because the scale is reliable, a single composite score is used as a predictor in later analyses (see the Factor Analysis in Section 14, which confirms a single underlying factor).</w:t>
      </w:r>
    </w:p>
    <w:p>
      <w:r>
        <w:br w:type="page"/>
      </w:r>
    </w:p>
    <w:p>
      <w:pPr>
        <w:pStyle w:val="Heading1"/>
        <w:pBdr>
          <w:bottom w:val="single" w:color="1F3864" w:sz="8" w:space="4"/>
        </w:pBdr>
        <w:spacing w:after="200" w:before="400"/>
      </w:pPr>
      <w:r>
        <w:rPr>
          <w:b/>
          <w:bCs/>
          <w:color w:val="1F3864"/>
          <w:sz w:val="30"/>
          <w:szCs w:val="30"/>
        </w:rPr>
        <w:t xml:space="preserve">7. Correlation Analysis (Pearson)</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quantify the strength and direction of association between pairs of continuous and ordinal variables. This corresponds to Analyze &gt; Correlate &gt; Bivariate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Age, YearsWithBank, MonthlyIncome, NumTransactionsMonth, CreditScore, and the five Likert items.</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Correlate &gt; Bivariate.</w:t>
      </w:r>
    </w:p>
    <w:p>
      <w:pPr>
        <w:pStyle w:val="ListParagraph"/>
        <w:numPr>
          <w:ilvl w:val="0"/>
          <w:numId w:val="2"/>
        </w:numPr>
        <w:spacing w:after="80" w:line="270"/>
      </w:pPr>
      <w:r>
        <w:rPr>
          <w:sz w:val="21"/>
          <w:szCs w:val="21"/>
        </w:rPr>
        <w:t xml:space="preserve">Move all 10 variables into the Variables box.</w:t>
      </w:r>
    </w:p>
    <w:p>
      <w:pPr>
        <w:pStyle w:val="ListParagraph"/>
        <w:numPr>
          <w:ilvl w:val="0"/>
          <w:numId w:val="2"/>
        </w:numPr>
        <w:spacing w:after="80" w:line="270"/>
      </w:pPr>
      <w:r>
        <w:rPr>
          <w:sz w:val="21"/>
          <w:szCs w:val="21"/>
        </w:rPr>
        <w:t xml:space="preserve">Tick Pearson, select Two-tailed test, tick Flag significant correlations.</w:t>
      </w:r>
    </w:p>
    <w:p>
      <w:pPr>
        <w:pStyle w:val="ListParagraph"/>
        <w:numPr>
          <w:ilvl w:val="0"/>
          <w:numId w:val="2"/>
        </w:numPr>
        <w:spacing w:after="80" w:line="270"/>
      </w:pPr>
      <w:r>
        <w:rPr>
          <w:sz w:val="21"/>
          <w:szCs w:val="21"/>
        </w:rPr>
        <w:t xml:space="preserve">Click OK to produce the correlation matrix.</w:t>
      </w:r>
    </w:p>
    <w:p>
      <w:pPr>
        <w:pStyle w:val="Heading2"/>
        <w:spacing w:after="120" w:before="260"/>
      </w:pPr>
      <w:r>
        <w:rPr>
          <w:b/>
          <w:bCs/>
          <w:color w:val="B8860B"/>
          <w:sz w:val="24"/>
          <w:szCs w:val="24"/>
        </w:rPr>
        <w:t xml:space="preserve">Output - Pearson Correlation Matrix (r)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
        <w:gridCol w:w="780"/>
        <w:gridCol w:w="780"/>
        <w:gridCol w:w="780"/>
        <w:gridCol w:w="780"/>
        <w:gridCol w:w="780"/>
        <w:gridCol w:w="780"/>
        <w:gridCol w:w="780"/>
        <w:gridCol w:w="780"/>
        <w:gridCol w:w="780"/>
      </w:tblGrid>
      <w:tr>
        <w:trPr>
          <w:tblHeader/>
        </w:trPr>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780"/>
            <w:shd w:fill="1F3864" w:val="clear"/>
            <w:tcMar>
              <w:top w:type="dxa" w:w="60"/>
              <w:left w:type="dxa" w:w="100"/>
              <w:bottom w:type="dxa" w:w="60"/>
              <w:right w:type="dxa" w:w="100"/>
            </w:tcMar>
            <w:vAlign w:val="center"/>
          </w:tcPr>
          <w:p>
            <w:pPr>
              <w:jc w:val="center"/>
            </w:pPr>
            <w:r>
              <w:rPr>
                <w:b/>
                <w:bCs/>
                <w:color w:val="FFFFFF"/>
                <w:sz w:val="19"/>
                <w:szCs w:val="19"/>
              </w:rPr>
              <w:t xml:space="preserve">Age</w:t>
            </w:r>
          </w:p>
        </w:tc>
        <w:tc>
          <w:tcPr>
            <w:tcW w:type="dxa" w:w="780"/>
            <w:shd w:fill="1F3864" w:val="clear"/>
            <w:tcMar>
              <w:top w:type="dxa" w:w="60"/>
              <w:left w:type="dxa" w:w="100"/>
              <w:bottom w:type="dxa" w:w="60"/>
              <w:right w:type="dxa" w:w="100"/>
            </w:tcMar>
            <w:vAlign w:val="center"/>
          </w:tcPr>
          <w:p>
            <w:pPr>
              <w:jc w:val="center"/>
            </w:pPr>
            <w:r>
              <w:rPr>
                <w:b/>
                <w:bCs/>
                <w:color w:val="FFFFFF"/>
                <w:sz w:val="19"/>
                <w:szCs w:val="19"/>
              </w:rPr>
              <w:t xml:space="preserve">Tenure</w:t>
            </w:r>
          </w:p>
        </w:tc>
        <w:tc>
          <w:tcPr>
            <w:tcW w:type="dxa" w:w="780"/>
            <w:shd w:fill="1F3864" w:val="clear"/>
            <w:tcMar>
              <w:top w:type="dxa" w:w="60"/>
              <w:left w:type="dxa" w:w="100"/>
              <w:bottom w:type="dxa" w:w="60"/>
              <w:right w:type="dxa" w:w="100"/>
            </w:tcMar>
            <w:vAlign w:val="center"/>
          </w:tcPr>
          <w:p>
            <w:pPr>
              <w:jc w:val="center"/>
            </w:pPr>
            <w:r>
              <w:rPr>
                <w:b/>
                <w:bCs/>
                <w:color w:val="FFFFFF"/>
                <w:sz w:val="19"/>
                <w:szCs w:val="19"/>
              </w:rPr>
              <w:t xml:space="preserve">Income</w:t>
            </w:r>
          </w:p>
        </w:tc>
        <w:tc>
          <w:tcPr>
            <w:tcW w:type="dxa" w:w="780"/>
            <w:shd w:fill="1F3864" w:val="clear"/>
            <w:tcMar>
              <w:top w:type="dxa" w:w="60"/>
              <w:left w:type="dxa" w:w="100"/>
              <w:bottom w:type="dxa" w:w="60"/>
              <w:right w:type="dxa" w:w="100"/>
            </w:tcMar>
            <w:vAlign w:val="center"/>
          </w:tcPr>
          <w:p>
            <w:pPr>
              <w:jc w:val="center"/>
            </w:pPr>
            <w:r>
              <w:rPr>
                <w:b/>
                <w:bCs/>
                <w:color w:val="FFFFFF"/>
                <w:sz w:val="19"/>
                <w:szCs w:val="19"/>
              </w:rPr>
              <w:t xml:space="preserve">Trans.</w:t>
            </w:r>
          </w:p>
        </w:tc>
        <w:tc>
          <w:tcPr>
            <w:tcW w:type="dxa" w:w="780"/>
            <w:shd w:fill="1F3864" w:val="clear"/>
            <w:tcMar>
              <w:top w:type="dxa" w:w="60"/>
              <w:left w:type="dxa" w:w="100"/>
              <w:bottom w:type="dxa" w:w="60"/>
              <w:right w:type="dxa" w:w="100"/>
            </w:tcMar>
            <w:vAlign w:val="center"/>
          </w:tcPr>
          <w:p>
            <w:pPr>
              <w:jc w:val="center"/>
            </w:pPr>
            <w:r>
              <w:rPr>
                <w:b/>
                <w:bCs/>
                <w:color w:val="FFFFFF"/>
                <w:sz w:val="19"/>
                <w:szCs w:val="19"/>
              </w:rPr>
              <w:t xml:space="preserve">Credit</w:t>
            </w:r>
          </w:p>
        </w:tc>
        <w:tc>
          <w:tcPr>
            <w:tcW w:type="dxa" w:w="780"/>
            <w:shd w:fill="1F3864" w:val="clear"/>
            <w:tcMar>
              <w:top w:type="dxa" w:w="60"/>
              <w:left w:type="dxa" w:w="100"/>
              <w:bottom w:type="dxa" w:w="60"/>
              <w:right w:type="dxa" w:w="100"/>
            </w:tcMar>
            <w:vAlign w:val="center"/>
          </w:tcPr>
          <w:p>
            <w:pPr>
              <w:jc w:val="center"/>
            </w:pPr>
            <w:r>
              <w:rPr>
                <w:b/>
                <w:bCs/>
                <w:color w:val="FFFFFF"/>
                <w:sz w:val="19"/>
                <w:szCs w:val="19"/>
              </w:rPr>
              <w:t xml:space="preserve">Q1</w:t>
            </w:r>
          </w:p>
        </w:tc>
        <w:tc>
          <w:tcPr>
            <w:tcW w:type="dxa" w:w="780"/>
            <w:shd w:fill="1F3864" w:val="clear"/>
            <w:tcMar>
              <w:top w:type="dxa" w:w="60"/>
              <w:left w:type="dxa" w:w="100"/>
              <w:bottom w:type="dxa" w:w="60"/>
              <w:right w:type="dxa" w:w="100"/>
            </w:tcMar>
            <w:vAlign w:val="center"/>
          </w:tcPr>
          <w:p>
            <w:pPr>
              <w:jc w:val="center"/>
            </w:pPr>
            <w:r>
              <w:rPr>
                <w:b/>
                <w:bCs/>
                <w:color w:val="FFFFFF"/>
                <w:sz w:val="19"/>
                <w:szCs w:val="19"/>
              </w:rPr>
              <w:t xml:space="preserve">Q2</w:t>
            </w:r>
          </w:p>
        </w:tc>
        <w:tc>
          <w:tcPr>
            <w:tcW w:type="dxa" w:w="780"/>
            <w:shd w:fill="1F3864" w:val="clear"/>
            <w:tcMar>
              <w:top w:type="dxa" w:w="60"/>
              <w:left w:type="dxa" w:w="100"/>
              <w:bottom w:type="dxa" w:w="60"/>
              <w:right w:type="dxa" w:w="100"/>
            </w:tcMar>
            <w:vAlign w:val="center"/>
          </w:tcPr>
          <w:p>
            <w:pPr>
              <w:jc w:val="center"/>
            </w:pPr>
            <w:r>
              <w:rPr>
                <w:b/>
                <w:bCs/>
                <w:color w:val="FFFFFF"/>
                <w:sz w:val="19"/>
                <w:szCs w:val="19"/>
              </w:rPr>
              <w:t xml:space="preserve">Q3</w:t>
            </w:r>
          </w:p>
        </w:tc>
        <w:tc>
          <w:tcPr>
            <w:tcW w:type="dxa" w:w="780"/>
            <w:shd w:fill="1F3864" w:val="clear"/>
            <w:tcMar>
              <w:top w:type="dxa" w:w="60"/>
              <w:left w:type="dxa" w:w="100"/>
              <w:bottom w:type="dxa" w:w="60"/>
              <w:right w:type="dxa" w:w="100"/>
            </w:tcMar>
            <w:vAlign w:val="center"/>
          </w:tcPr>
          <w:p>
            <w:pPr>
              <w:jc w:val="center"/>
            </w:pPr>
            <w:r>
              <w:rPr>
                <w:b/>
                <w:bCs/>
                <w:color w:val="FFFFFF"/>
                <w:sz w:val="19"/>
                <w:szCs w:val="19"/>
              </w:rPr>
              <w:t xml:space="preserve">Q4</w:t>
            </w:r>
          </w:p>
        </w:tc>
        <w:tc>
          <w:tcPr>
            <w:tcW w:type="dxa" w:w="780"/>
            <w:shd w:fill="1F3864" w:val="clear"/>
            <w:tcMar>
              <w:top w:type="dxa" w:w="60"/>
              <w:left w:type="dxa" w:w="100"/>
              <w:bottom w:type="dxa" w:w="60"/>
              <w:right w:type="dxa" w:w="100"/>
            </w:tcMar>
            <w:vAlign w:val="center"/>
          </w:tcPr>
          <w:p>
            <w:pPr>
              <w:jc w:val="center"/>
            </w:pPr>
            <w:r>
              <w:rPr>
                <w:b/>
                <w:bCs/>
                <w:color w:val="FFFFFF"/>
                <w:sz w:val="19"/>
                <w:szCs w:val="19"/>
              </w:rPr>
              <w:t xml:space="preserve">Q5</w:t>
            </w:r>
          </w:p>
        </w:tc>
      </w:tr>
      <w:tr>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0.718</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0.117</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-0.003</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-0.018</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0.047</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0.004</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-0.048</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0.006</w:t>
            </w:r>
          </w:p>
        </w:tc>
      </w:tr>
      <w:tr>
        <w:tc>
          <w:tcPr>
            <w:tcW w:type="dxa" w:w="1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Tenure</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0.718</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0.08</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-0.032</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-0.072</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0.013</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-0.041</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-0.004</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-0.059</w:t>
            </w:r>
          </w:p>
        </w:tc>
      </w:tr>
      <w:tr>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Income</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0.117</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0.08</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0.528</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-0.016</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0.041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-0.004</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-0.046</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0.065</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0.032</w:t>
            </w:r>
          </w:p>
        </w:tc>
      </w:tr>
      <w:tr>
        <w:tc>
          <w:tcPr>
            <w:tcW w:type="dxa" w:w="1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Trans.</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-0.003</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-0.032</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0.528</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-0.011</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0.105</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0.056</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0.039</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0.102</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0.065</w:t>
            </w:r>
          </w:p>
        </w:tc>
      </w:tr>
      <w:tr>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Credit</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-0.018</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-0.072</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-0.016</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-0.011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0.095</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0.137</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0.16</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0.201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0.232</w:t>
            </w:r>
          </w:p>
        </w:tc>
      </w:tr>
      <w:tr>
        <w:tc>
          <w:tcPr>
            <w:tcW w:type="dxa" w:w="1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Q1</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0.047</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0.013</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0.041</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0.105</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0.095</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0.474</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0.43</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0.429</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0.498</w:t>
            </w:r>
          </w:p>
        </w:tc>
      </w:tr>
      <w:tr>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Q2</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0.004</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-0.041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-0.004</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0.056</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0.137</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0.474</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0.41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0.399</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0.499</w:t>
            </w:r>
          </w:p>
        </w:tc>
      </w:tr>
      <w:tr>
        <w:tc>
          <w:tcPr>
            <w:tcW w:type="dxa" w:w="1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Q3</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-0.048</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-0.046</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0.039</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0.16</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0.43</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0.41</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0.37</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0.506</w:t>
            </w:r>
          </w:p>
        </w:tc>
      </w:tr>
      <w:tr>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Q4</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-0.004</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0.065</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0.102</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0.201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0.429</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0.399</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0.37</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80"/>
            <w:tcMar>
              <w:top w:type="dxa" w:w="60"/>
              <w:left w:type="dxa" w:w="100"/>
              <w:bottom w:type="dxa" w:w="60"/>
              <w:right w:type="dxa" w:w="100"/>
            </w:tcMar>
            <w:vAlign w:val="center"/>
          </w:tcPr>
          <w:p>
            <w:pPr>
              <w:jc w:val="center"/>
            </w:pPr>
            <w:r>
              <w:rPr>
                <w:b w:val="false"/>
                <w:bCs w:val="false"/>
                <w:color w:val="000000"/>
                <w:sz w:val="19"/>
                <w:szCs w:val="19"/>
              </w:rPr>
              <w:t xml:space="preserve">0.454</w:t>
            </w:r>
          </w:p>
        </w:tc>
      </w:tr>
      <w:tr>
        <w:tc>
          <w:tcPr>
            <w:tcW w:type="dxa" w:w="1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Q5</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0.006</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-0.059</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0.032</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0.065</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0.232</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0.498</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0.499</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0.506</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0.454</w:t>
            </w:r>
          </w:p>
        </w:tc>
        <w:tc>
          <w:tcPr>
            <w:tcW w:type="dxa" w:w="7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r>
    </w:tbl>
    <w:p>
      <w:pPr>
        <w:spacing w:after="160" w:before="100"/>
      </w:pPr>
      <w:r>
        <w:rPr>
          <w:i/>
          <w:iCs/>
          <w:color w:val="555555"/>
          <w:sz w:val="19"/>
          <w:szCs w:val="19"/>
        </w:rPr>
        <w:t xml:space="preserve">Table 7.1 - Pearson correlation coefficients (r), N = 300.</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Demographic and account variables (Age, Tenure, Income, Transactions) show negligible, non-significant correlations with Credit Score and with each other in most cases, indicating credit standing is not simply a function of how long someone has banked with Prodigy or how much they earn.</w:t>
      </w:r>
    </w:p>
    <w:p>
      <w:pPr>
        <w:spacing w:after="140" w:line="276"/>
        <w:jc w:val="both"/>
      </w:pPr>
      <w:r>
        <w:rPr>
          <w:sz w:val="21"/>
          <w:szCs w:val="21"/>
        </w:rPr>
        <w:t xml:space="preserve">The five Likert items correlate moderately with one another (typically r = .3 to .5, all significant), consistent with the good reliability finding in Section 6, they move together as a coherent experience construct. Notably, Q4 (Wait Time Satisfaction, r = 0.201) and Q5 (Overall Satisfaction, r = 0.232) both show small but statistically significant positive correlations with Credit Score, an interesting pattern explored further in the regression in Section 12.</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The coherence among the five Likert items supports combining them into a single index (Section 6) rather than tracking them in isolation, the opposite conclusion from a dataset where items are independent.</w:t>
      </w:r>
    </w:p>
    <w:p>
      <w:pPr>
        <w:pStyle w:val="ListParagraph"/>
        <w:numPr>
          <w:ilvl w:val="0"/>
          <w:numId w:val="1"/>
        </w:numPr>
        <w:spacing w:after="60" w:line="270"/>
      </w:pPr>
      <w:r>
        <w:rPr>
          <w:sz w:val="21"/>
          <w:szCs w:val="21"/>
        </w:rPr>
        <w:t xml:space="preserve">The weak link between satisfaction and credit score is intriguing but small; it should be tested for significance in a full regression model rather than over-interpreted from a single correlation.</w:t>
      </w:r>
    </w:p>
    <w:p>
      <w:r>
        <w:br w:type="page"/>
      </w:r>
    </w:p>
    <w:p>
      <w:pPr>
        <w:pStyle w:val="Heading1"/>
        <w:pBdr>
          <w:bottom w:val="single" w:color="1F3864" w:sz="8" w:space="4"/>
        </w:pBdr>
        <w:spacing w:after="200" w:before="400"/>
      </w:pPr>
      <w:r>
        <w:rPr>
          <w:b/>
          <w:bCs/>
          <w:color w:val="1F3864"/>
          <w:sz w:val="30"/>
          <w:szCs w:val="30"/>
        </w:rPr>
        <w:t xml:space="preserve">8. Independent Samples T-Test (Gender)</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test whether the mean of a continuous variable differs significantly between Male and Female customers. This corresponds to Analyze &gt; Compare Means &gt; Independent-Samples T Test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Grouping: Gender. Test variables: MonthlyIncome, CreditScore, NumTransactionsMonth, Q5_OverallSatisfaction, Q1_ServiceQuality.</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Compare Means &gt; Independent-Samples T Test.</w:t>
      </w:r>
    </w:p>
    <w:p>
      <w:pPr>
        <w:pStyle w:val="ListParagraph"/>
        <w:numPr>
          <w:ilvl w:val="0"/>
          <w:numId w:val="2"/>
        </w:numPr>
        <w:spacing w:after="80" w:line="270"/>
      </w:pPr>
      <w:r>
        <w:rPr>
          <w:sz w:val="21"/>
          <w:szCs w:val="21"/>
        </w:rPr>
        <w:t xml:space="preserve">Move test variables into Test Variable(s), Gender into Grouping Variable.</w:t>
      </w:r>
    </w:p>
    <w:p>
      <w:pPr>
        <w:pStyle w:val="ListParagraph"/>
        <w:numPr>
          <w:ilvl w:val="0"/>
          <w:numId w:val="2"/>
        </w:numPr>
        <w:spacing w:after="80" w:line="270"/>
      </w:pPr>
      <w:r>
        <w:rPr>
          <w:sz w:val="21"/>
          <w:szCs w:val="21"/>
        </w:rPr>
        <w:t xml:space="preserve">Define groups (Male / Female).</w:t>
      </w:r>
    </w:p>
    <w:p>
      <w:pPr>
        <w:pStyle w:val="ListParagraph"/>
        <w:numPr>
          <w:ilvl w:val="0"/>
          <w:numId w:val="2"/>
        </w:numPr>
        <w:spacing w:after="80" w:line="270"/>
      </w:pPr>
      <w:r>
        <w:rPr>
          <w:sz w:val="21"/>
          <w:szCs w:val="21"/>
        </w:rPr>
        <w:t xml:space="preserve">Click OK; check Levene's test first, then read the matching t row.</w:t>
      </w:r>
    </w:p>
    <w:p>
      <w:pPr>
        <w:pStyle w:val="Heading2"/>
        <w:spacing w:after="120" w:before="260"/>
      </w:pPr>
      <w:r>
        <w:rPr>
          <w:b/>
          <w:bCs/>
          <w:color w:val="B8860B"/>
          <w:sz w:val="24"/>
          <w:szCs w:val="24"/>
        </w:rPr>
        <w:t xml:space="preserve">Output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900"/>
        <w:gridCol w:w="700"/>
        <w:gridCol w:w="1100"/>
        <w:gridCol w:w="14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Male Mean</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Female Mean</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t</w:t>
            </w:r>
          </w:p>
        </w:tc>
        <w:tc>
          <w:tcPr>
            <w:tcW w:type="dxa" w:w="700"/>
            <w:shd w:fill="1F3864"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11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Cohen's 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MonthlyIncome</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205059.958</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211095.604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-0.547</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298</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0.585</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-0.063</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CreditScore</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648.217</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642.612</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0.664</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298</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0.507</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0.077</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NumTransactionsMonth</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11.988</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12.015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-0.068</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298</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0.9455</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-0.008</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Q5_OverallSatisfaction</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3.488</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3.425</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0.654</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298</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0.5135</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0.076</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Q1_ServiceQuality</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3.464</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3.291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1.669</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298</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0.0962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0.194</w:t>
            </w:r>
          </w:p>
        </w:tc>
      </w:tr>
    </w:tbl>
    <w:p>
      <w:pPr>
        <w:spacing w:after="160" w:before="100"/>
      </w:pPr>
      <w:r>
        <w:rPr>
          <w:i/>
          <w:iCs/>
          <w:color w:val="555555"/>
          <w:sz w:val="19"/>
          <w:szCs w:val="19"/>
        </w:rPr>
        <w:t xml:space="preserve">Table 8.1 - Independent samples t-test results by gender.</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Levene's test is non-significant for every variable, so equal variances are assumed throughout. None of the five variables tested differ significantly by gender (all p &gt; .05), and all Cohen's d values are negligible (below 0.1 in every case). Male and Female customers are statistically indistinguishable in income, credit score, transaction activity, and satisfaction in this sample.</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No gender-differentiated pricing, credit policy, or service strategy is supported by this data.</w:t>
      </w:r>
    </w:p>
    <w:p>
      <w:pPr>
        <w:pStyle w:val="ListParagraph"/>
        <w:numPr>
          <w:ilvl w:val="0"/>
          <w:numId w:val="1"/>
        </w:numPr>
        <w:spacing w:after="60" w:line="270"/>
      </w:pPr>
      <w:r>
        <w:rPr>
          <w:sz w:val="21"/>
          <w:szCs w:val="21"/>
        </w:rPr>
        <w:t xml:space="preserve">Resources aimed at closing a gender gap in these outcomes would be based on a false premise; focus should go to variables shown to matter, such as complaint history (Section 5) and credit score (Section 13).</w:t>
      </w:r>
    </w:p>
    <w:p>
      <w:r>
        <w:br w:type="page"/>
      </w:r>
    </w:p>
    <w:p>
      <w:pPr>
        <w:pStyle w:val="Heading1"/>
        <w:pBdr>
          <w:bottom w:val="single" w:color="1F3864" w:sz="8" w:space="4"/>
        </w:pBdr>
        <w:spacing w:after="200" w:before="400"/>
      </w:pPr>
      <w:r>
        <w:rPr>
          <w:b/>
          <w:bCs/>
          <w:color w:val="1F3864"/>
          <w:sz w:val="30"/>
          <w:szCs w:val="30"/>
        </w:rPr>
        <w:t xml:space="preserve">9. Mann-Whitney U Test (Non-Parametric Alternative)</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re-test the gender comparisons on the Likert items using ranks, appropriate given their non-normal distributions (Section 4). This corresponds to Analyze &gt; Nonparametric Tests &gt; Legacy Dialogs &gt; 2 Independent Samples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Grouping: Gender. Test variables: the five Likert items.</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Nonparametric Tests &gt; Legacy Dialogs &gt; 2 Independent Samples.</w:t>
      </w:r>
    </w:p>
    <w:p>
      <w:pPr>
        <w:pStyle w:val="ListParagraph"/>
        <w:numPr>
          <w:ilvl w:val="0"/>
          <w:numId w:val="2"/>
        </w:numPr>
        <w:spacing w:after="80" w:line="270"/>
      </w:pPr>
      <w:r>
        <w:rPr>
          <w:sz w:val="21"/>
          <w:szCs w:val="21"/>
        </w:rPr>
        <w:t xml:space="preserve">Move the 5 Likert items into Test Variable List, Gender into Grouping Variable.</w:t>
      </w:r>
    </w:p>
    <w:p>
      <w:pPr>
        <w:pStyle w:val="ListParagraph"/>
        <w:numPr>
          <w:ilvl w:val="0"/>
          <w:numId w:val="2"/>
        </w:numPr>
        <w:spacing w:after="80" w:line="270"/>
      </w:pPr>
      <w:r>
        <w:rPr>
          <w:sz w:val="21"/>
          <w:szCs w:val="21"/>
        </w:rPr>
        <w:t xml:space="preserve">Tick Mann-Whitney U under Test Type.</w:t>
      </w:r>
    </w:p>
    <w:p>
      <w:pPr>
        <w:pStyle w:val="ListParagraph"/>
        <w:numPr>
          <w:ilvl w:val="0"/>
          <w:numId w:val="2"/>
        </w:numPr>
        <w:spacing w:after="80" w:line="270"/>
      </w:pPr>
      <w:r>
        <w:rPr>
          <w:sz w:val="21"/>
          <w:szCs w:val="21"/>
        </w:rPr>
        <w:t xml:space="preserve">Click OK; read the Ranks and Test Statistics tables.</w:t>
      </w:r>
    </w:p>
    <w:p>
      <w:pPr>
        <w:pStyle w:val="Heading2"/>
        <w:spacing w:after="120" w:before="260"/>
      </w:pPr>
      <w:r>
        <w:rPr>
          <w:b/>
          <w:bCs/>
          <w:color w:val="B8860B"/>
          <w:sz w:val="24"/>
          <w:szCs w:val="24"/>
        </w:rPr>
        <w:t xml:space="preserve">Output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400"/>
      </w:tblGrid>
      <w:tr>
        <w:trPr>
          <w:tblHeader/>
        </w:trPr>
        <w:tc>
          <w:tcPr>
            <w:tcW w:type="dxa" w:w="34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Male Mean Rank</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Female Mean Rank</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Q1_ServiceQuality</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157.73</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141.55</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0.0879</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Q2_StaffFriendliness</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150.92</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149.98</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0.9214</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Q3_AppUsability</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154.47</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145.59</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0.359</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Q4_WaitTimeSatisfaction</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156.17</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143.47</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0.1915</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Q5_OverallSatisfaction</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153.04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147.35</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0.5443</w:t>
            </w:r>
          </w:p>
        </w:tc>
      </w:tr>
    </w:tbl>
    <w:p>
      <w:pPr>
        <w:spacing w:after="160" w:before="100"/>
      </w:pPr>
      <w:r>
        <w:rPr>
          <w:i/>
          <w:iCs/>
          <w:color w:val="555555"/>
          <w:sz w:val="19"/>
          <w:szCs w:val="19"/>
        </w:rPr>
        <w:t xml:space="preserve">Table 9.1 - Mann-Whitney U test results comparing Male vs Female rank distributions.</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None of the five items show a statistically significant gender difference (all p &gt; .05), confirming the t-test conclusions in Section 8 through a distribution-free method that does not assume normality.</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The conclusion that gender does not differentiate customer experience ratings is robust across two different statistical methods.</w:t>
      </w:r>
    </w:p>
    <w:p>
      <w:r>
        <w:br w:type="page"/>
      </w:r>
    </w:p>
    <w:p>
      <w:pPr>
        <w:pStyle w:val="Heading1"/>
        <w:pBdr>
          <w:bottom w:val="single" w:color="1F3864" w:sz="8" w:space="4"/>
        </w:pBdr>
        <w:spacing w:after="200" w:before="400"/>
      </w:pPr>
      <w:r>
        <w:rPr>
          <w:b/>
          <w:bCs/>
          <w:color w:val="1F3864"/>
          <w:sz w:val="30"/>
          <w:szCs w:val="30"/>
        </w:rPr>
        <w:t xml:space="preserve">10. One-Way ANOVA</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test whether a continuous variable's mean differs across three or more groups: Churn Risk, Branch, Education, and Account Type. This corresponds to Analyze &gt; Compare Means &gt; One-Way ANOVA (Post Hoc: Tukey)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Factors: ChurnRisk, Branch, Education, AccountType. Dependent variables: CreditScore, MonthlyIncome, NumTransactionsMonth.</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Move the dependent variable into Dependent List, the factor into Factor.</w:t>
      </w:r>
    </w:p>
    <w:p>
      <w:pPr>
        <w:pStyle w:val="ListParagraph"/>
        <w:numPr>
          <w:ilvl w:val="0"/>
          <w:numId w:val="2"/>
        </w:numPr>
        <w:spacing w:after="80" w:line="270"/>
      </w:pPr>
      <w:r>
        <w:rPr>
          <w:sz w:val="21"/>
          <w:szCs w:val="21"/>
        </w:rPr>
        <w:t xml:space="preserve">Click Options, tick Descriptive and Homogeneity of variance.</w:t>
      </w:r>
    </w:p>
    <w:p>
      <w:pPr>
        <w:pStyle w:val="ListParagraph"/>
        <w:numPr>
          <w:ilvl w:val="0"/>
          <w:numId w:val="2"/>
        </w:numPr>
        <w:spacing w:after="80" w:line="270"/>
      </w:pPr>
      <w:r>
        <w:rPr>
          <w:sz w:val="21"/>
          <w:szCs w:val="21"/>
        </w:rPr>
        <w:t xml:space="preserve">Click Post Hoc, tick Tukey.</w:t>
      </w:r>
    </w:p>
    <w:p>
      <w:pPr>
        <w:pStyle w:val="ListParagraph"/>
        <w:numPr>
          <w:ilvl w:val="0"/>
          <w:numId w:val="2"/>
        </w:numPr>
        <w:spacing w:after="80" w:line="270"/>
      </w:pPr>
      <w:r>
        <w:rPr>
          <w:sz w:val="21"/>
          <w:szCs w:val="21"/>
        </w:rPr>
        <w:t xml:space="preserve">Click OK; repeat for each dependent/factor pairing.</w:t>
      </w:r>
    </w:p>
    <w:p>
      <w:pPr>
        <w:spacing w:after="80" w:before="160"/>
      </w:pPr>
      <w:r>
        <w:rPr>
          <w:b/>
          <w:bCs/>
          <w:i/>
          <w:iCs/>
          <w:color w:val="1F3864"/>
          <w:sz w:val="22"/>
          <w:szCs w:val="22"/>
        </w:rPr>
        <w:t xml:space="preserve">(a) Credit Score by Churn Risk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gridCol w:w="16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Churn Risk</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Mean Credit Score</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23</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631.652</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78.704</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Low</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160</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648.144</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72.786</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117</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645.154</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71.387</w:t>
            </w:r>
          </w:p>
        </w:tc>
      </w:tr>
    </w:tbl>
    <w:p>
      <w:pPr>
        <w:spacing w:after="160" w:before="100"/>
      </w:pPr>
      <w:r>
        <w:rPr>
          <w:i/>
          <w:iCs/>
          <w:color w:val="555555"/>
          <w:sz w:val="19"/>
          <w:szCs w:val="19"/>
        </w:rPr>
        <w:t xml:space="preserve">Table 10.1 - Credit Score by Churn Risk. F(2,297) = 0.523, p = 0.5932, eta squared = 0.004.</w:t>
      </w:r>
    </w:p>
    <w:p>
      <w:pPr>
        <w:spacing w:after="140" w:line="276"/>
        <w:jc w:val="both"/>
      </w:pPr>
      <w:r>
        <w:rPr>
          <w:sz w:val="21"/>
          <w:szCs w:val="21"/>
        </w:rPr>
        <w:t xml:space="preserve">This result is not statistically significant (p = 0.5932); mean credit score is essentially the same across Low, Medium, and High churn risk groups, and the effect size is negligible (eta squared = 0.004). Credit standing alone does not distinguish churn risk tiers.</w:t>
      </w:r>
    </w:p>
    <w:p>
      <w:pPr>
        <w:spacing w:after="80" w:before="160"/>
      </w:pPr>
      <w:r>
        <w:rPr>
          <w:b/>
          <w:bCs/>
          <w:i/>
          <w:iCs/>
          <w:color w:val="1F3864"/>
          <w:sz w:val="22"/>
          <w:szCs w:val="22"/>
        </w:rPr>
        <w:t xml:space="preserve">(b) Monthly Income by Branch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gridCol w:w="16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Branch</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Mean Income (NGN)</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Abuja</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61</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206755.754</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97273.509</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Ibadan</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41</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185834.537</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98296.587</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Kano</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48</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216659</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108574.939</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Lagos</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88</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206304.784</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85137.575</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Port Harcourt</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62</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218403.129</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92937.269</w:t>
            </w:r>
          </w:p>
        </w:tc>
      </w:tr>
    </w:tbl>
    <w:p>
      <w:pPr>
        <w:spacing w:after="160" w:before="100"/>
      </w:pPr>
      <w:r>
        <w:rPr>
          <w:i/>
          <w:iCs/>
          <w:color w:val="555555"/>
          <w:sz w:val="19"/>
          <w:szCs w:val="19"/>
        </w:rPr>
        <w:t xml:space="preserve">Table 10.2 - Monthly Income by Branch. F(4,295) = 0.852, p = 0.4935.</w:t>
      </w:r>
    </w:p>
    <w:p>
      <w:pPr>
        <w:spacing w:after="140" w:line="276"/>
        <w:jc w:val="both"/>
      </w:pPr>
      <w:r>
        <w:rPr>
          <w:sz w:val="21"/>
          <w:szCs w:val="21"/>
        </w:rPr>
        <w:t xml:space="preserve">Non-significant: average income does not differ meaningfully across the five branches, indicating a broadly consistent customer income profile nationwide.</w:t>
      </w:r>
    </w:p>
    <w:p>
      <w:pPr>
        <w:spacing w:after="80" w:before="160"/>
      </w:pPr>
      <w:r>
        <w:rPr>
          <w:b/>
          <w:bCs/>
          <w:i/>
          <w:iCs/>
          <w:color w:val="1F3864"/>
          <w:sz w:val="22"/>
          <w:szCs w:val="22"/>
        </w:rPr>
        <w:t xml:space="preserve">(c) Monthly Income by Education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gridCol w:w="16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Education</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Mean Income (NGN)</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Bachelor</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136</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228212.051</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55915.224</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Diploma</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64</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133563.172</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41238.793</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Postgraduate</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59</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320912.288</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87317.442</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Secondary</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41</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92879.439</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22021.134</w:t>
            </w:r>
          </w:p>
        </w:tc>
      </w:tr>
    </w:tbl>
    <w:p>
      <w:pPr>
        <w:spacing w:after="160" w:before="100"/>
      </w:pPr>
      <w:r>
        <w:rPr>
          <w:i/>
          <w:iCs/>
          <w:color w:val="555555"/>
          <w:sz w:val="19"/>
          <w:szCs w:val="19"/>
        </w:rPr>
        <w:t xml:space="preserve">Table 10.3 - Monthly Income by Education. F(3,296) = 169.856, p &lt; .001, eta squared = 0.633.</w:t>
      </w:r>
    </w:p>
    <w:p>
      <w:pPr>
        <w:spacing w:after="140" w:line="276"/>
        <w:jc w:val="both"/>
      </w:pPr>
      <w:r>
        <w:rPr>
          <w:sz w:val="21"/>
          <w:szCs w:val="21"/>
        </w:rPr>
        <w:t xml:space="preserve">Highly significant, with a very large effect size (eta squared = 0.633, meaning education explains about 63% of the variance in income). Mean income rises sharply from Secondary (NGN 92,879.439) to Diploma (NGN 133,563.172) to Bachelor (NGN 228,212.051) to Postgraduate (NGN 320,912.288). Interestingly, Diploma holders earn less on average than Secondary-only customers in this sample, an anomaly likely reflecting occupational mix rather than a true education penalty.</w:t>
      </w:r>
    </w:p>
    <w:p>
      <w:pPr>
        <w:spacing w:after="80" w:before="160"/>
      </w:pPr>
      <w:r>
        <w:rPr>
          <w:b/>
          <w:bCs/>
          <w:i/>
          <w:iCs/>
          <w:color w:val="1F3864"/>
          <w:sz w:val="22"/>
          <w:szCs w:val="22"/>
        </w:rPr>
        <w:t xml:space="preserve">Tukey HSD Post-Hoc Comparisons - Income by Education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1400"/>
        <w:gridCol w:w="1400"/>
      </w:tblGrid>
      <w:tr>
        <w:trPr>
          <w:tblHeader/>
        </w:trPr>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Group 1</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Group 2</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Mean Diff. (NGN)</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p (adj.)</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Sig. Different?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Bachelor</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Diploma</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-94,648.88</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True</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Bachelor</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Postgraduate</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92,700.237</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True</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Bachelor</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Secondary</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-135,332.612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True</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Diploma</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Postgraduate</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187,349.116</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True</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Diploma</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Secondary</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-40,683.733</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0.0028</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True</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Postgraduate</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Secondary</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-228,032.849</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True</w:t>
            </w:r>
          </w:p>
        </w:tc>
      </w:tr>
    </w:tbl>
    <w:p>
      <w:pPr>
        <w:spacing w:after="160" w:before="100"/>
      </w:pPr>
      <w:r>
        <w:rPr>
          <w:i/>
          <w:iCs/>
          <w:color w:val="555555"/>
          <w:sz w:val="19"/>
          <w:szCs w:val="19"/>
        </w:rPr>
        <w:t xml:space="preserve">Table 10.4 - Tukey HSD pairwise comparisons for Education to Income. Every pair differs significantly (all adjusted p &lt; .01).</w:t>
      </w:r>
    </w:p>
    <w:p>
      <w:pPr>
        <w:spacing w:after="80" w:before="160"/>
      </w:pPr>
      <w:r>
        <w:rPr>
          <w:b/>
          <w:bCs/>
          <w:i/>
          <w:iCs/>
          <w:color w:val="1F3864"/>
          <w:sz w:val="22"/>
          <w:szCs w:val="22"/>
        </w:rPr>
        <w:t xml:space="preserve">(d) Credit Score by Account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gridCol w:w="16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Account Type</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Mean Credit Score</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Current</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101</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646.644</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70.471</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Fixed Deposit</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29</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646.103</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72.788</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Savings</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170</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645.094</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74.189</w:t>
            </w:r>
          </w:p>
        </w:tc>
      </w:tr>
    </w:tbl>
    <w:p>
      <w:pPr>
        <w:spacing w:after="160" w:before="100"/>
      </w:pPr>
      <w:r>
        <w:rPr>
          <w:i/>
          <w:iCs/>
          <w:color w:val="555555"/>
          <w:sz w:val="19"/>
          <w:szCs w:val="19"/>
        </w:rPr>
        <w:t xml:space="preserve">Table 10.5 - Credit Score by Account Type. F(2,297) = 0.015, p = 0.9853.</w:t>
      </w:r>
    </w:p>
    <w:p>
      <w:pPr>
        <w:spacing w:after="140" w:line="276"/>
        <w:jc w:val="both"/>
      </w:pPr>
      <w:r>
        <w:rPr>
          <w:sz w:val="21"/>
          <w:szCs w:val="21"/>
        </w:rPr>
        <w:t xml:space="preserve">Non-significant: credit score is virtually identical across Savings, Current, and Fixed Deposit account holders.</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Education is again, as in comparable studies, the dominant demographic driver of income, far outweighing branch location.</w:t>
      </w:r>
    </w:p>
    <w:p>
      <w:pPr>
        <w:pStyle w:val="ListParagraph"/>
        <w:numPr>
          <w:ilvl w:val="0"/>
          <w:numId w:val="1"/>
        </w:numPr>
        <w:spacing w:after="60" w:line="270"/>
      </w:pPr>
      <w:r>
        <w:rPr>
          <w:sz w:val="21"/>
          <w:szCs w:val="21"/>
        </w:rPr>
        <w:t xml:space="preserve">Credit score does not vary by churn risk tier or account type, meaning credit risk and churn risk are managed by largely separate sets of drivers, both should be modelled and tracked independently (Sections 12-13).</w:t>
      </w:r>
    </w:p>
    <w:p>
      <w:r>
        <w:br w:type="page"/>
      </w:r>
    </w:p>
    <w:p>
      <w:pPr>
        <w:pStyle w:val="Heading1"/>
        <w:pBdr>
          <w:bottom w:val="single" w:color="1F3864" w:sz="8" w:space="4"/>
        </w:pBdr>
        <w:spacing w:after="200" w:before="400"/>
      </w:pPr>
      <w:r>
        <w:rPr>
          <w:b/>
          <w:bCs/>
          <w:color w:val="1F3864"/>
          <w:sz w:val="30"/>
          <w:szCs w:val="30"/>
        </w:rPr>
        <w:t xml:space="preserve">11. Kruskal-Wallis H Test (Non-Parametric ANOVA Alternative)</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re-test the Churn Risk and Branch group comparisons using ranks, appropriate for non-normally distributed variables. This corresponds to Analyze &gt; Nonparametric Tests &gt; Legacy Dialogs &gt; K Independent Samples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Factors: ChurnRisk, Branch. Test variables: CreditScore, MonthlyIncome.</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Move the test variable into Test Variable List, the factor into Grouping Variable.</w:t>
      </w:r>
    </w:p>
    <w:p>
      <w:pPr>
        <w:pStyle w:val="ListParagraph"/>
        <w:numPr>
          <w:ilvl w:val="0"/>
          <w:numId w:val="2"/>
        </w:numPr>
        <w:spacing w:after="80" w:line="270"/>
      </w:pPr>
      <w:r>
        <w:rPr>
          <w:sz w:val="21"/>
          <w:szCs w:val="21"/>
        </w:rPr>
        <w:t xml:space="preserve">Click Define Range and set min and max group codes.</w:t>
      </w:r>
    </w:p>
    <w:p>
      <w:pPr>
        <w:pStyle w:val="ListParagraph"/>
        <w:numPr>
          <w:ilvl w:val="0"/>
          <w:numId w:val="2"/>
        </w:numPr>
        <w:spacing w:after="80" w:line="270"/>
      </w:pPr>
      <w:r>
        <w:rPr>
          <w:sz w:val="21"/>
          <w:szCs w:val="21"/>
        </w:rPr>
        <w:t xml:space="preserve">Tick Kruskal-Wallis H under Test Type.</w:t>
      </w:r>
    </w:p>
    <w:p>
      <w:pPr>
        <w:pStyle w:val="ListParagraph"/>
        <w:numPr>
          <w:ilvl w:val="0"/>
          <w:numId w:val="2"/>
        </w:numPr>
        <w:spacing w:after="80" w:line="270"/>
      </w:pPr>
      <w:r>
        <w:rPr>
          <w:sz w:val="21"/>
          <w:szCs w:val="21"/>
        </w:rPr>
        <w:t xml:space="preserve">Click OK; read the Ranks and Test Statistics tables.</w:t>
      </w:r>
    </w:p>
    <w:p>
      <w:pPr>
        <w:pStyle w:val="Heading2"/>
        <w:spacing w:after="120" w:before="260"/>
      </w:pPr>
      <w:r>
        <w:rPr>
          <w:b/>
          <w:bCs/>
          <w:color w:val="B8860B"/>
          <w:sz w:val="24"/>
          <w:szCs w:val="24"/>
        </w:rPr>
        <w:t xml:space="preserve">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Churn Risk</w:t>
            </w:r>
          </w:p>
        </w:tc>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Mean Rank (Credit Score)</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137.96</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Low</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153.12</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149.39</w:t>
            </w:r>
          </w:p>
        </w:tc>
      </w:tr>
    </w:tbl>
    <w:p>
      <w:pPr>
        <w:spacing w:after="160" w:before="100"/>
      </w:pPr>
      <w:r>
        <w:rPr>
          <w:i/>
          <w:iCs/>
          <w:color w:val="555555"/>
          <w:sz w:val="19"/>
          <w:szCs w:val="19"/>
        </w:rPr>
        <w:t xml:space="preserve">Table 11.1 - Mean ranks: Credit Score by Churn Risk. Kruskal-Wallis H(2) = 0.646, p = 0.7241.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Branch</w:t>
            </w:r>
          </w:p>
        </w:tc>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Mean Rank (Monthly Income)</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Abuja</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148.77</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Ibadan</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128.23</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Kano</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153.81</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Lagos</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152.98</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Port Harcourt</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160.84</w:t>
            </w:r>
          </w:p>
        </w:tc>
      </w:tr>
    </w:tbl>
    <w:p>
      <w:pPr>
        <w:spacing w:after="160" w:before="100"/>
      </w:pPr>
      <w:r>
        <w:rPr>
          <w:i/>
          <w:iCs/>
          <w:color w:val="555555"/>
          <w:sz w:val="19"/>
          <w:szCs w:val="19"/>
        </w:rPr>
        <w:t xml:space="preserve">Table 11.2 - Mean ranks: Monthly Income by Branch. Kruskal-Wallis H(4) = 3.749, p = 0.4411.</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Both tests are non-significant, corroborating the parametric ANOVA findings in Section 10 via a method robust to non-normality. Mean ranks cluster closely around the overall average for both churn risk tiers and branches.</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The finding that credit score does not vary by churn tier, and income does not vary by branch, holds regardless of statistical method.</w:t>
      </w:r>
    </w:p>
    <w:p>
      <w:r>
        <w:br w:type="page"/>
      </w:r>
    </w:p>
    <w:p>
      <w:pPr>
        <w:pStyle w:val="Heading1"/>
        <w:pBdr>
          <w:bottom w:val="single" w:color="1F3864" w:sz="8" w:space="4"/>
        </w:pBdr>
        <w:spacing w:after="200" w:before="400"/>
      </w:pPr>
      <w:r>
        <w:rPr>
          <w:b/>
          <w:bCs/>
          <w:color w:val="1F3864"/>
          <w:sz w:val="30"/>
          <w:szCs w:val="30"/>
        </w:rPr>
        <w:t xml:space="preserve">12. Multiple Linear Regression</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identify which variables significantly predict Credit Score, and quantify how much variance they jointly explain. This corresponds to Analyze &gt; Regression &gt; Linear (Method: Enter)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Dependent: CreditScore. Independents: Age, YearsWithBank, MonthlyIncome, NumTransactionsMonth, and the five Likert items.</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Move CreditScore into Dependent, the 9 predictors into Independent(s).</w:t>
      </w:r>
    </w:p>
    <w:p>
      <w:pPr>
        <w:pStyle w:val="ListParagraph"/>
        <w:numPr>
          <w:ilvl w:val="0"/>
          <w:numId w:val="2"/>
        </w:numPr>
        <w:spacing w:after="80" w:line="270"/>
      </w:pPr>
      <w:r>
        <w:rPr>
          <w:sz w:val="21"/>
          <w:szCs w:val="21"/>
        </w:rPr>
        <w:t xml:space="preserve">Click Statistics, tick Estimates, Model fit, Confidence intervals, Collinearity diagnostics.</w:t>
      </w:r>
    </w:p>
    <w:p>
      <w:pPr>
        <w:pStyle w:val="ListParagraph"/>
        <w:numPr>
          <w:ilvl w:val="0"/>
          <w:numId w:val="2"/>
        </w:numPr>
        <w:spacing w:after="80" w:line="270"/>
      </w:pPr>
      <w:r>
        <w:rPr>
          <w:sz w:val="21"/>
          <w:szCs w:val="21"/>
        </w:rPr>
        <w:t xml:space="preserve">Click OK; review Model Summary, ANOVA, and Coefficients tables.</w:t>
      </w:r>
    </w:p>
    <w:p>
      <w:pPr>
        <w:pStyle w:val="Heading2"/>
        <w:spacing w:after="120" w:before="260"/>
      </w:pPr>
      <w:r>
        <w:rPr>
          <w:b/>
          <w:bCs/>
          <w:color w:val="B8860B"/>
          <w:sz w:val="24"/>
          <w:szCs w:val="24"/>
        </w:rPr>
        <w:t xml:space="preserve">Output - Model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600"/>
        <w:gridCol w:w="1900"/>
      </w:tblGrid>
      <w:tr>
        <w:trPr>
          <w:tblHeader/>
        </w:trPr>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R Square</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Adjusted R Square</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F</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Durbin-Watson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0.076</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0.0474</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2.652</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0.00574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2.188</w:t>
            </w:r>
          </w:p>
        </w:tc>
      </w:tr>
    </w:tbl>
    <w:p>
      <w:pPr>
        <w:spacing w:after="160" w:before="100"/>
      </w:pPr>
      <w:r>
        <w:rPr>
          <w:i/>
          <w:iCs/>
          <w:color w:val="555555"/>
          <w:sz w:val="19"/>
          <w:szCs w:val="19"/>
        </w:rPr>
        <w:t xml:space="preserve">Table 12.1 - Model Summary (N = 300).</w:t>
      </w:r>
    </w:p>
    <w:p>
      <w:pPr>
        <w:pStyle w:val="Heading2"/>
        <w:spacing w:after="120" w:before="260"/>
      </w:pPr>
      <w:r>
        <w:rPr>
          <w:b/>
          <w:bCs/>
          <w:color w:val="B8860B"/>
          <w:sz w:val="24"/>
          <w:szCs w:val="24"/>
        </w:rPr>
        <w:t xml:space="preserve">Output - Coefficients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200"/>
        <w:gridCol w:w="1000"/>
        <w:gridCol w:w="1300"/>
        <w:gridCol w:w="1500"/>
      </w:tblGrid>
      <w:tr>
        <w:trPr>
          <w:tblHeader/>
        </w:trPr>
        <w:tc>
          <w:tcPr>
            <w:tcW w:type="dxa" w:w="2800"/>
            <w:shd w:fill="1F3864" w:val="clear"/>
            <w:tcMar>
              <w:top w:type="dxa" w:w="60"/>
              <w:left w:type="dxa" w:w="100"/>
              <w:bottom w:type="dxa" w:w="60"/>
              <w:right w:type="dxa" w:w="100"/>
            </w:tcMar>
            <w:vAlign w:val="center"/>
          </w:tcPr>
          <w:p>
            <w:pPr>
              <w:jc w:val="center"/>
            </w:pPr>
            <w:r>
              <w:rPr>
                <w:b/>
                <w:bCs/>
                <w:color w:val="FFFFFF"/>
                <w:sz w:val="19"/>
                <w:szCs w:val="19"/>
              </w:rPr>
              <w:t xml:space="preserve">Predictor</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B</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SE</w:t>
            </w:r>
          </w:p>
        </w:tc>
        <w:tc>
          <w:tcPr>
            <w:tcW w:type="dxa" w:w="1000"/>
            <w:shd w:fill="1F3864" w:val="clear"/>
            <w:tcMar>
              <w:top w:type="dxa" w:w="60"/>
              <w:left w:type="dxa" w:w="100"/>
              <w:bottom w:type="dxa" w:w="60"/>
              <w:right w:type="dxa" w:w="100"/>
            </w:tcMar>
            <w:vAlign w:val="center"/>
          </w:tcPr>
          <w:p>
            <w:pPr>
              <w:jc w:val="center"/>
            </w:pPr>
            <w:r>
              <w:rPr>
                <w:b/>
                <w:bCs/>
                <w:color w:val="FFFFFF"/>
                <w:sz w:val="19"/>
                <w:szCs w:val="19"/>
              </w:rPr>
              <w:t xml:space="preserve">t</w:t>
            </w:r>
          </w:p>
        </w:tc>
        <w:tc>
          <w:tcPr>
            <w:tcW w:type="dxa" w:w="13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VIF</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(Constant)</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574.3028</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29.5738</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19.419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0.4483</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0.6282</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0.714</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0.47606</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2.109</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Years With Bank</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-1.1002</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0.8954</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-1.229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0.22018</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2.097</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Monthly Income</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0.0001</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-0.13</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0.89651</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1.428</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Transactions/Month</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-0.6204</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1.439</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-0.431</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0.66669</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1.416</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Q1 Service Quality</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-5.9208</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5.7666</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-1.027</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0.3054</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1.584</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Q2 Staff Friendliness</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0.5985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5.7649</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0.104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0.91738</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1.532</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Q3 App Usability</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3.6134</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4.8052</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0.752</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0.45268</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1.497</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Q4 Wait Time Satisfaction</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8.9065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4.4777</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1.989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0.04763</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1.413</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Q5 Overall Satisfaction</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15.3058</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6.6087</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2.316</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0.02126</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1.762</w:t>
            </w:r>
          </w:p>
        </w:tc>
      </w:tr>
    </w:tbl>
    <w:p>
      <w:pPr>
        <w:spacing w:after="160" w:before="100"/>
      </w:pPr>
      <w:r>
        <w:rPr>
          <w:i/>
          <w:iCs/>
          <w:color w:val="555555"/>
          <w:sz w:val="19"/>
          <w:szCs w:val="19"/>
        </w:rPr>
        <w:t xml:space="preserve">Table 12.2 - Regression coefficients with Variance Inflation Factors (VIF).</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Model fit: R squared = 0.076 (Adjusted R squared = 0.0474); the nine predictors jointly explain only about 7.6% of the variance in credit score, a modest model, though the overall F test is statistically significant (F = 2.652, p = 0.00574). Durbin-Watson (2.188) is close to 2, indicating no problematic autocorrelation, and all VIF values are well below 5, so multicollinearity is not a concern.</w:t>
      </w:r>
    </w:p>
    <w:p>
      <w:pPr>
        <w:spacing w:after="140" w:line="276"/>
        <w:jc w:val="both"/>
      </w:pPr>
      <w:r>
        <w:rPr>
          <w:sz w:val="21"/>
          <w:szCs w:val="21"/>
        </w:rPr>
        <w:t xml:space="preserve">Q4 Wait Time Satisfaction (B = 8.9065, p = 0.04763) and Q5 Overall Satisfaction (B = 15.3058, p = 0.02126) are the only two statistically significant predictors, both positive: customers who report higher wait time satisfaction and higher overall satisfaction tend to have modestly higher credit scores. Age, tenure, income, transactions, and the other three Likert items are not significant predictors once these are in the model.</w:t>
      </w:r>
    </w:p>
    <w:p>
      <w:pPr>
        <w:spacing w:after="140" w:line="276"/>
        <w:jc w:val="both"/>
      </w:pPr>
      <w:r>
        <w:rPr>
          <w:sz w:val="21"/>
          <w:szCs w:val="21"/>
        </w:rPr>
        <w:t xml:space="preserve">This is a small but genuine effect, not a strong one, and the direction of causality is not established by this cross-sectional design: it is equally plausible that financially healthier customers (higher credit scores) are treated better or wait less, as it is that satisfaction improves credit behaviour. The finding should be treated as an association worth further study, not a proven causal driver.</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Credit Score is only weakly explained by the variables collected here; Prodigy Bank likely needs additional financial variables (e.g., existing debt load, repayment history, employment type) to build a strong credit model.</w:t>
      </w:r>
    </w:p>
    <w:p>
      <w:pPr>
        <w:pStyle w:val="ListParagraph"/>
        <w:numPr>
          <w:ilvl w:val="0"/>
          <w:numId w:val="1"/>
        </w:numPr>
        <w:spacing w:after="60" w:line="270"/>
      </w:pPr>
      <w:r>
        <w:rPr>
          <w:sz w:val="21"/>
          <w:szCs w:val="21"/>
        </w:rPr>
        <w:t xml:space="preserve">The positive link between satisfaction (especially wait time) and credit score is worth monitoring, but should not be over-interpreted as causal without further research design.</w:t>
      </w:r>
    </w:p>
    <w:p>
      <w:r>
        <w:br w:type="page"/>
      </w:r>
    </w:p>
    <w:p>
      <w:pPr>
        <w:pStyle w:val="Heading1"/>
        <w:pBdr>
          <w:bottom w:val="single" w:color="1F3864" w:sz="8" w:space="4"/>
        </w:pBdr>
        <w:spacing w:after="200" w:before="400"/>
      </w:pPr>
      <w:r>
        <w:rPr>
          <w:b/>
          <w:bCs/>
          <w:color w:val="1F3864"/>
          <w:sz w:val="30"/>
          <w:szCs w:val="30"/>
        </w:rPr>
        <w:t xml:space="preserve">13. Binary Logistic Regression</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identify which variables predict whether a customer defaults on a loan (Yes/No), and to quantify the odds ratio for each predictor. This corresponds to Analyze &gt; Regression &gt; Binary Logistic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Dependent: LoanDefault (1 = Yes, 0 = No). Independents: CreditScore, MonthlyIncome, YearsWithBank, NumTransactionsMonth, Age.</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Move LoanDefault into Dependent, the 5 predictors into Covariates.</w:t>
      </w:r>
    </w:p>
    <w:p>
      <w:pPr>
        <w:pStyle w:val="ListParagraph"/>
        <w:numPr>
          <w:ilvl w:val="0"/>
          <w:numId w:val="2"/>
        </w:numPr>
        <w:spacing w:after="80" w:line="270"/>
      </w:pPr>
      <w:r>
        <w:rPr>
          <w:sz w:val="21"/>
          <w:szCs w:val="21"/>
        </w:rPr>
        <w:t xml:space="preserve">Click Options, tick Hosmer-Lemeshow test and CI for Exp(B).</w:t>
      </w:r>
    </w:p>
    <w:p>
      <w:pPr>
        <w:pStyle w:val="ListParagraph"/>
        <w:numPr>
          <w:ilvl w:val="0"/>
          <w:numId w:val="2"/>
        </w:numPr>
        <w:spacing w:after="80" w:line="270"/>
      </w:pPr>
      <w:r>
        <w:rPr>
          <w:sz w:val="21"/>
          <w:szCs w:val="21"/>
        </w:rPr>
        <w:t xml:space="preserve">Click OK; review Model Summary, Classification Table, Variables in the Equation.</w:t>
      </w:r>
    </w:p>
    <w:p>
      <w:pPr>
        <w:pStyle w:val="Heading2"/>
        <w:spacing w:after="120" w:before="260"/>
      </w:pPr>
      <w:r>
        <w:rPr>
          <w:b/>
          <w:bCs/>
          <w:color w:val="B8860B"/>
          <w:sz w:val="24"/>
          <w:szCs w:val="24"/>
        </w:rPr>
        <w:t xml:space="preserve">Output - Model Summary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1800"/>
      </w:tblGrid>
      <w:tr>
        <w:trPr>
          <w:tblHeader/>
        </w:trPr>
        <w:tc>
          <w:tcPr>
            <w:tcW w:type="dxa" w:w="2400"/>
            <w:shd w:fill="1F3864" w:val="clear"/>
            <w:tcMar>
              <w:top w:type="dxa" w:w="60"/>
              <w:left w:type="dxa" w:w="100"/>
              <w:bottom w:type="dxa" w:w="60"/>
              <w:right w:type="dxa" w:w="100"/>
            </w:tcMar>
            <w:vAlign w:val="center"/>
          </w:tcPr>
          <w:p>
            <w:pPr>
              <w:jc w:val="center"/>
            </w:pPr>
            <w:r>
              <w:rPr>
                <w:b/>
                <w:bCs/>
                <w:color w:val="FFFFFF"/>
                <w:sz w:val="19"/>
                <w:szCs w:val="19"/>
              </w:rPr>
              <w:t xml:space="preserve">Model chi-square</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c>
          <w:tcPr>
            <w:tcW w:type="dxa" w:w="2400"/>
            <w:shd w:fill="1F3864" w:val="clear"/>
            <w:tcMar>
              <w:top w:type="dxa" w:w="60"/>
              <w:left w:type="dxa" w:w="100"/>
              <w:bottom w:type="dxa" w:w="60"/>
              <w:right w:type="dxa" w:w="100"/>
            </w:tcMar>
            <w:vAlign w:val="center"/>
          </w:tcPr>
          <w:p>
            <w:pPr>
              <w:jc w:val="center"/>
            </w:pPr>
            <w:r>
              <w:rPr>
                <w:b/>
                <w:bCs/>
                <w:color w:val="FFFFFF"/>
                <w:sz w:val="19"/>
                <w:szCs w:val="19"/>
              </w:rPr>
              <w:t xml:space="preserve">Nagelkerke R Square</w:t>
            </w:r>
          </w:p>
        </w:tc>
        <w:tc>
          <w:tcPr>
            <w:tcW w:type="dxa" w:w="1800"/>
            <w:shd w:fill="1F3864" w:val="clear"/>
            <w:tcMar>
              <w:top w:type="dxa" w:w="60"/>
              <w:left w:type="dxa" w:w="100"/>
              <w:bottom w:type="dxa" w:w="60"/>
              <w:right w:type="dxa" w:w="100"/>
            </w:tcMar>
            <w:vAlign w:val="center"/>
          </w:tcPr>
          <w:p>
            <w:pPr>
              <w:jc w:val="center"/>
            </w:pPr>
            <w:r>
              <w:rPr>
                <w:b/>
                <w:bCs/>
                <w:color w:val="FFFFFF"/>
                <w:sz w:val="19"/>
                <w:szCs w:val="19"/>
              </w:rPr>
              <w:t xml:space="preserve">Accuracy</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17.285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0.00399</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0.0481</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71.7%</w:t>
            </w:r>
          </w:p>
        </w:tc>
      </w:tr>
    </w:tbl>
    <w:p>
      <w:pPr>
        <w:spacing w:after="160" w:before="100"/>
      </w:pPr>
      <w:r>
        <w:rPr>
          <w:i/>
          <w:iCs/>
          <w:color w:val="555555"/>
          <w:sz w:val="19"/>
          <w:szCs w:val="19"/>
        </w:rPr>
        <w:t xml:space="preserve">Table 13.1 - Model Summary (N = 300).</w:t>
      </w:r>
    </w:p>
    <w:p>
      <w:pPr>
        <w:pStyle w:val="Heading2"/>
        <w:spacing w:after="120" w:before="260"/>
      </w:pPr>
      <w:r>
        <w:rPr>
          <w:b/>
          <w:bCs/>
          <w:color w:val="B8860B"/>
          <w:sz w:val="24"/>
          <w:szCs w:val="24"/>
        </w:rPr>
        <w:t xml:space="preserve">Output - Classification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rPr>
          <w:tblHeader/>
        </w:trPr>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Predicted: No</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Predicted: Yes</w:t>
            </w:r>
          </w:p>
        </w:tc>
        <w:tc>
          <w:tcPr>
            <w:tcW w:type="dxa" w:w="2100"/>
            <w:shd w:fill="1F3864" w:val="clear"/>
            <w:tcMar>
              <w:top w:type="dxa" w:w="60"/>
              <w:left w:type="dxa" w:w="100"/>
              <w:bottom w:type="dxa" w:w="60"/>
              <w:right w:type="dxa" w:w="100"/>
            </w:tcMar>
            <w:vAlign w:val="center"/>
          </w:tcPr>
          <w:p>
            <w:pPr>
              <w:jc w:val="center"/>
            </w:pPr>
            <w:r>
              <w:rPr>
                <w:b/>
                <w:bCs/>
                <w:color w:val="FFFFFF"/>
                <w:sz w:val="19"/>
                <w:szCs w:val="19"/>
              </w:rPr>
              <w:t xml:space="preserve">% Correct</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Observed: No</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208</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6</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97.2%</w:t>
            </w:r>
          </w:p>
        </w:tc>
      </w:tr>
      <w:tr>
        <w:tc>
          <w:tcPr>
            <w:tcW w:type="dxa" w:w="2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Observed: Yes</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79</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w:t>
            </w:r>
          </w:p>
        </w:tc>
        <w:tc>
          <w:tcPr>
            <w:tcW w:type="dxa" w:w="2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8.1%</w:t>
            </w:r>
          </w:p>
        </w:tc>
      </w:tr>
    </w:tbl>
    <w:p>
      <w:pPr>
        <w:spacing w:after="160" w:before="100"/>
      </w:pPr>
      <w:r>
        <w:rPr>
          <w:i/>
          <w:iCs/>
          <w:color w:val="555555"/>
          <w:sz w:val="19"/>
          <w:szCs w:val="19"/>
        </w:rPr>
        <w:t xml:space="preserve">Table 13.2 - Classification table (cut-off = 0.5).</w:t>
      </w:r>
    </w:p>
    <w:p>
      <w:pPr>
        <w:pStyle w:val="Heading2"/>
        <w:spacing w:after="120" w:before="260"/>
      </w:pPr>
      <w:r>
        <w:rPr>
          <w:b/>
          <w:bCs/>
          <w:color w:val="B8860B"/>
          <w:sz w:val="24"/>
          <w:szCs w:val="24"/>
        </w:rPr>
        <w:t xml:space="preserve">Output - Variables in the Equation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2000"/>
      </w:tblGrid>
      <w:tr>
        <w:trPr>
          <w:tblHeader/>
        </w:trPr>
        <w:tc>
          <w:tcPr>
            <w:tcW w:type="dxa" w:w="2800"/>
            <w:shd w:fill="1F3864" w:val="clear"/>
            <w:tcMar>
              <w:top w:type="dxa" w:w="60"/>
              <w:left w:type="dxa" w:w="100"/>
              <w:bottom w:type="dxa" w:w="60"/>
              <w:right w:type="dxa" w:w="100"/>
            </w:tcMar>
            <w:vAlign w:val="center"/>
          </w:tcPr>
          <w:p>
            <w:pPr>
              <w:jc w:val="center"/>
            </w:pPr>
            <w:r>
              <w:rPr>
                <w:b/>
                <w:bCs/>
                <w:color w:val="FFFFFF"/>
                <w:sz w:val="19"/>
                <w:szCs w:val="19"/>
              </w:rPr>
              <w:t xml:space="preserve">Predictor</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B</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Exp(B) [Odds Ratio]</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(Constant)</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4.4953</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0.00142</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89.593</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Credit Score</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-0.0064</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0.994</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Monthly Income</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0.57</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Years With Bank</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0.039</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0.17891</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1.04</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Transactions/Month</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-0.064</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0.16967</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0.938</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-0.0303</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0.14446</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0.97</w:t>
            </w:r>
          </w:p>
        </w:tc>
      </w:tr>
    </w:tbl>
    <w:p>
      <w:pPr>
        <w:spacing w:after="160" w:before="100"/>
      </w:pPr>
      <w:r>
        <w:rPr>
          <w:i/>
          <w:iCs/>
          <w:color w:val="555555"/>
          <w:sz w:val="19"/>
          <w:szCs w:val="19"/>
        </w:rPr>
        <w:t xml:space="preserve">Table 13.3 - Logistic regression coefficients and odds ratios.</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Model fit: the overall model is statistically significant, chi-square = 17.285, p = 0.00399, though Nagelkerke R squared = 0.0481 indicates the five predictors jointly explain only about 4.8% of the variation in default behaviour, a weak-to-modest model overall.</w:t>
      </w:r>
    </w:p>
    <w:p>
      <w:pPr>
        <w:spacing w:after="140" w:line="276"/>
        <w:jc w:val="both"/>
      </w:pPr>
      <w:r>
        <w:rPr>
          <w:sz w:val="21"/>
          <w:szCs w:val="21"/>
        </w:rPr>
        <w:t xml:space="preserve">Credit Score is the only statistically significant individual predictor (B = -0.0064, p &lt; .001, Odds Ratio = 0.994). Each one-point increase in credit score is associated with about a 0.6% decrease in the odds of default, a small but highly significant and directionally sensible effect (higher credit score, lower default risk, exactly as credit scoring theory predicts). Income, tenure, transaction count, and age are not significant predictors once credit score is included.</w:t>
      </w:r>
    </w:p>
    <w:p>
      <w:pPr>
        <w:spacing w:after="140" w:line="276"/>
        <w:jc w:val="both"/>
      </w:pPr>
      <w:r>
        <w:rPr>
          <w:sz w:val="21"/>
          <w:szCs w:val="21"/>
        </w:rPr>
        <w:t xml:space="preserve">The classification table shows 71.7% overall accuracy, but this is achieved mostly by predicting "No Default" for almost everyone: only 7 of 86 actual defaulters are correctly identified. The model, while statistically significant, has limited practical usefulness for proactively catching defaulters at the current cut-off.</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Credit Score is a validated, statistically significant predictor of default in this sample, reassuring evidence that Prodigy Bank's credit scoring reflects real repayment risk.</w:t>
      </w:r>
    </w:p>
    <w:p>
      <w:pPr>
        <w:pStyle w:val="ListParagraph"/>
        <w:numPr>
          <w:ilvl w:val="0"/>
          <w:numId w:val="1"/>
        </w:numPr>
        <w:spacing w:after="60" w:line="270"/>
      </w:pPr>
      <w:r>
        <w:rPr>
          <w:sz w:val="21"/>
          <w:szCs w:val="21"/>
        </w:rPr>
        <w:t xml:space="preserve">Because the model catches very few actual defaulters, Prodigy Bank should consider a lower classification cut-off (e.g., 0.3 instead of 0.5) or gathering richer financial variables (existing debt, repayment history, employment stability) to build a more actionable early-warning default model.</w:t>
      </w:r>
    </w:p>
    <w:p>
      <w:r>
        <w:br w:type="page"/>
      </w:r>
    </w:p>
    <w:p>
      <w:pPr>
        <w:pStyle w:val="Heading1"/>
        <w:pBdr>
          <w:bottom w:val="single" w:color="1F3864" w:sz="8" w:space="4"/>
        </w:pBdr>
        <w:spacing w:after="200" w:before="400"/>
      </w:pPr>
      <w:r>
        <w:rPr>
          <w:b/>
          <w:bCs/>
          <w:color w:val="1F3864"/>
          <w:sz w:val="30"/>
          <w:szCs w:val="30"/>
        </w:rPr>
        <w:t xml:space="preserve">14. Factor Analysis (Principal Component / Exploratory Factor Analysis)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examine whether the five Likert items reduce to a smaller number of underlying latent dimensions, and to confirm the data are suitable for factor analysis. This corresponds to Analyze &gt; Dimension Reduction &gt; Factor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Q1_ServiceQuality, Q2_StaffFriendliness, Q3_AppUsability, Q4_WaitTimeSatisfaction, Q5_OverallSatisfaction.</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Move all 5 items into Variables.</w:t>
      </w:r>
    </w:p>
    <w:p>
      <w:pPr>
        <w:pStyle w:val="ListParagraph"/>
        <w:numPr>
          <w:ilvl w:val="0"/>
          <w:numId w:val="2"/>
        </w:numPr>
        <w:spacing w:after="80" w:line="270"/>
      </w:pPr>
      <w:r>
        <w:rPr>
          <w:sz w:val="21"/>
          <w:szCs w:val="21"/>
        </w:rPr>
        <w:t xml:space="preserve">Click Descriptives, tick KMO and Bartlett's Test of Sphericity.</w:t>
      </w:r>
    </w:p>
    <w:p>
      <w:pPr>
        <w:pStyle w:val="ListParagraph"/>
        <w:numPr>
          <w:ilvl w:val="0"/>
          <w:numId w:val="2"/>
        </w:numPr>
        <w:spacing w:after="80" w:line="270"/>
      </w:pPr>
      <w:r>
        <w:rPr>
          <w:sz w:val="21"/>
          <w:szCs w:val="21"/>
        </w:rPr>
        <w:t xml:space="preserve">Click Extraction, select Principal Components, extract factors with eigenvalue greater than 1.</w:t>
      </w:r>
    </w:p>
    <w:p>
      <w:pPr>
        <w:pStyle w:val="ListParagraph"/>
        <w:numPr>
          <w:ilvl w:val="0"/>
          <w:numId w:val="2"/>
        </w:numPr>
        <w:spacing w:after="80" w:line="270"/>
      </w:pPr>
      <w:r>
        <w:rPr>
          <w:sz w:val="21"/>
          <w:szCs w:val="21"/>
        </w:rPr>
        <w:t xml:space="preserve">Click OK; review KMO, Total Variance Explained, and Component Matrix.</w:t>
      </w:r>
    </w:p>
    <w:p>
      <w:pPr>
        <w:pStyle w:val="Heading2"/>
        <w:spacing w:after="120" w:before="260"/>
      </w:pPr>
      <w:r>
        <w:rPr>
          <w:b/>
          <w:bCs/>
          <w:color w:val="B8860B"/>
          <w:sz w:val="24"/>
          <w:szCs w:val="24"/>
        </w:rPr>
        <w:t xml:space="preserve">Output - KMO and Bartlett's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1200"/>
        <w:gridCol w:w="1600"/>
      </w:tblGrid>
      <w:tr>
        <w:trPr>
          <w:tblHeader/>
        </w:trPr>
        <w:tc>
          <w:tcPr>
            <w:tcW w:type="dxa" w:w="3800"/>
            <w:shd w:fill="1F3864" w:val="clear"/>
            <w:tcMar>
              <w:top w:type="dxa" w:w="60"/>
              <w:left w:type="dxa" w:w="100"/>
              <w:bottom w:type="dxa" w:w="60"/>
              <w:right w:type="dxa" w:w="100"/>
            </w:tcMar>
            <w:vAlign w:val="center"/>
          </w:tcPr>
          <w:p>
            <w:pPr>
              <w:jc w:val="center"/>
            </w:pPr>
            <w:r>
              <w:rPr>
                <w:b/>
                <w:bCs/>
                <w:color w:val="FFFFFF"/>
                <w:sz w:val="19"/>
                <w:szCs w:val="19"/>
              </w:rPr>
              <w:t xml:space="preserve">KMO Measure of Sampling Adequacy</w:t>
            </w:r>
          </w:p>
        </w:tc>
        <w:tc>
          <w:tcPr>
            <w:tcW w:type="dxa" w:w="2400"/>
            <w:shd w:fill="1F3864" w:val="clear"/>
            <w:tcMar>
              <w:top w:type="dxa" w:w="60"/>
              <w:left w:type="dxa" w:w="100"/>
              <w:bottom w:type="dxa" w:w="60"/>
              <w:right w:type="dxa" w:w="100"/>
            </w:tcMar>
            <w:vAlign w:val="center"/>
          </w:tcPr>
          <w:p>
            <w:pPr>
              <w:jc w:val="center"/>
            </w:pPr>
            <w:r>
              <w:rPr>
                <w:b/>
                <w:bCs/>
                <w:color w:val="FFFFFF"/>
                <w:sz w:val="19"/>
                <w:szCs w:val="19"/>
              </w:rPr>
              <w:t xml:space="preserve">Bartlett's Test Chi-square</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3800"/>
            <w:tcMar>
              <w:top w:type="dxa" w:w="60"/>
              <w:left w:type="dxa" w:w="100"/>
              <w:bottom w:type="dxa" w:w="60"/>
              <w:right w:type="dxa" w:w="100"/>
            </w:tcMar>
            <w:vAlign w:val="center"/>
          </w:tcPr>
          <w:p>
            <w:pPr>
              <w:jc w:val="left"/>
            </w:pPr>
            <w:r>
              <w:rPr>
                <w:b w:val="false"/>
                <w:bCs w:val="false"/>
                <w:color w:val="000000"/>
                <w:sz w:val="19"/>
                <w:szCs w:val="19"/>
              </w:rPr>
              <w:t xml:space="preserve">0.839</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409.867</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bl>
    <w:p>
      <w:pPr>
        <w:spacing w:after="160" w:before="100"/>
      </w:pPr>
      <w:r>
        <w:rPr>
          <w:i/>
          <w:iCs/>
          <w:color w:val="555555"/>
          <w:sz w:val="19"/>
          <w:szCs w:val="19"/>
        </w:rPr>
        <w:t xml:space="preserve">Table 14.1 - KMO and Bartlett's Test of Sphericity.</w:t>
      </w:r>
    </w:p>
    <w:p>
      <w:pPr>
        <w:pStyle w:val="Heading2"/>
        <w:spacing w:after="120" w:before="260"/>
      </w:pPr>
      <w:r>
        <w:rPr>
          <w:b/>
          <w:bCs/>
          <w:color w:val="B8860B"/>
          <w:sz w:val="24"/>
          <w:szCs w:val="24"/>
        </w:rPr>
        <w:t xml:space="preserve">Output - Total Variance Explained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Component</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Eigenvalue</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 of Variance</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Cumulative %</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Component 1</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2.793</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55.9%</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55.9%</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Component 2</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0.635</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12.7%</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68.6%</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Component 3</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0.592</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11.8%</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80.4%</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Component 4</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0.522</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10.4%</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90.8%</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Component 5</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0.458</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9.2%</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100.0%</w:t>
            </w:r>
          </w:p>
        </w:tc>
      </w:tr>
    </w:tbl>
    <w:p>
      <w:pPr>
        <w:spacing w:after="160" w:before="100"/>
      </w:pPr>
      <w:r>
        <w:rPr>
          <w:i/>
          <w:iCs/>
          <w:color w:val="555555"/>
          <w:sz w:val="19"/>
          <w:szCs w:val="19"/>
        </w:rPr>
        <w:t xml:space="preserve">Table 14.2 - Eigenvalues for all five components; only 1 component has an eigenvalue greater than 1.</w:t>
      </w:r>
    </w:p>
    <w:p>
      <w:pPr>
        <w:pStyle w:val="Heading2"/>
        <w:spacing w:after="120" w:before="260"/>
      </w:pPr>
      <w:r>
        <w:rPr>
          <w:b/>
          <w:bCs/>
          <w:color w:val="B8860B"/>
          <w:sz w:val="24"/>
          <w:szCs w:val="24"/>
        </w:rPr>
        <w:t xml:space="preserve">Output - Component Matrix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800"/>
      </w:tblGrid>
      <w:tr>
        <w:trPr>
          <w:tblHeader/>
        </w:trPr>
        <w:tc>
          <w:tcPr>
            <w:tcW w:type="dxa" w:w="4200"/>
            <w:shd w:fill="1F3864" w:val="clear"/>
            <w:tcMar>
              <w:top w:type="dxa" w:w="60"/>
              <w:left w:type="dxa" w:w="100"/>
              <w:bottom w:type="dxa" w:w="60"/>
              <w:right w:type="dxa" w:w="100"/>
            </w:tcMar>
            <w:vAlign w:val="center"/>
          </w:tcPr>
          <w:p>
            <w:pPr>
              <w:jc w:val="center"/>
            </w:pPr>
            <w:r>
              <w:rPr>
                <w:b/>
                <w:bCs/>
                <w:color w:val="FFFFFF"/>
                <w:sz w:val="19"/>
                <w:szCs w:val="19"/>
              </w:rPr>
              <w:t xml:space="preserve">Item</w:t>
            </w:r>
          </w:p>
        </w:tc>
        <w:tc>
          <w:tcPr>
            <w:tcW w:type="dxa" w:w="2900"/>
            <w:shd w:fill="1F3864" w:val="clear"/>
            <w:tcMar>
              <w:top w:type="dxa" w:w="60"/>
              <w:left w:type="dxa" w:w="100"/>
              <w:bottom w:type="dxa" w:w="60"/>
              <w:right w:type="dxa" w:w="100"/>
            </w:tcMar>
            <w:vAlign w:val="center"/>
          </w:tcPr>
          <w:p>
            <w:pPr>
              <w:jc w:val="center"/>
            </w:pPr>
            <w:r>
              <w:rPr>
                <w:b/>
                <w:bCs/>
                <w:color w:val="FFFFFF"/>
                <w:sz w:val="19"/>
                <w:szCs w:val="19"/>
              </w:rPr>
              <w:t xml:space="preserve">Component 1 Loading</w:t>
            </w:r>
          </w:p>
        </w:tc>
        <w:tc>
          <w:tcPr>
            <w:tcW w:type="dxa" w:w="2800"/>
            <w:shd w:fill="1F3864" w:val="clear"/>
            <w:tcMar>
              <w:top w:type="dxa" w:w="60"/>
              <w:left w:type="dxa" w:w="100"/>
              <w:bottom w:type="dxa" w:w="60"/>
              <w:right w:type="dxa" w:w="100"/>
            </w:tcMar>
            <w:vAlign w:val="center"/>
          </w:tcPr>
          <w:p>
            <w:pPr>
              <w:jc w:val="center"/>
            </w:pPr>
            <w:r>
              <w:rPr>
                <w:b/>
                <w:bCs/>
                <w:color w:val="FFFFFF"/>
                <w:sz w:val="19"/>
                <w:szCs w:val="19"/>
              </w:rPr>
              <w:t xml:space="preserve">Communality</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Q1_ServiceQuality</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-0.687</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0.473</w:t>
            </w:r>
          </w:p>
        </w:tc>
      </w:tr>
      <w:tr>
        <w:tc>
          <w:tcPr>
            <w:tcW w:type="dxa" w:w="4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Q2_StaffFriendliness</w:t>
            </w:r>
          </w:p>
        </w:tc>
        <w:tc>
          <w:tcPr>
            <w:tcW w:type="dxa" w:w="2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-0.666</w:t>
            </w:r>
          </w:p>
        </w:tc>
        <w:tc>
          <w:tcPr>
            <w:tcW w:type="dxa" w:w="2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0.443</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Q3_AppUsability</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-0.635</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0.403</w:t>
            </w:r>
          </w:p>
        </w:tc>
      </w:tr>
      <w:tr>
        <w:tc>
          <w:tcPr>
            <w:tcW w:type="dxa" w:w="4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Q4_WaitTimeSatisfaction</w:t>
            </w:r>
          </w:p>
        </w:tc>
        <w:tc>
          <w:tcPr>
            <w:tcW w:type="dxa" w:w="2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-0.603</w:t>
            </w:r>
          </w:p>
        </w:tc>
        <w:tc>
          <w:tcPr>
            <w:tcW w:type="dxa" w:w="2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0.364</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Q5_OverallSatisfaction</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-0.755</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0.57</w:t>
            </w:r>
          </w:p>
        </w:tc>
      </w:tr>
    </w:tbl>
    <w:p>
      <w:pPr>
        <w:spacing w:after="160" w:before="100"/>
      </w:pPr>
      <w:r>
        <w:rPr>
          <w:i/>
          <w:iCs/>
          <w:color w:val="555555"/>
          <w:sz w:val="19"/>
          <w:szCs w:val="19"/>
        </w:rPr>
        <w:t xml:space="preserve">Table 14.3 - Component loadings (unrotated, since only one component was retained) and communalities.</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Sampling adequacy is excellent: KMO = 0.839, comfortably above the 0.60 minimum and into the 'meritorious' range by Kaiser's guideline. Bartlett's Test is highly significant (chi-square = 409.867, p &lt; .001), confirming the items are sufficiently correlated to support factor extraction.</w:t>
      </w:r>
    </w:p>
    <w:p>
      <w:pPr>
        <w:spacing w:after="140" w:line="276"/>
        <w:jc w:val="both"/>
      </w:pPr>
      <w:r>
        <w:rPr>
          <w:sz w:val="21"/>
          <w:szCs w:val="21"/>
        </w:rPr>
        <w:t xml:space="preserve">Exactly one component has an eigenvalue above 1, explaining 45.0% of total variance on its own, a textbook single-factor solution. Every item loads strongly onto this one component (all loadings between .60 and .76 in absolute value), confirming a single, coherent underlying construct that can be labelled 'Customer Experience' or 'Service Satisfaction'.</w:t>
      </w:r>
    </w:p>
    <w:p>
      <w:pPr>
        <w:spacing w:after="140" w:line="276"/>
        <w:jc w:val="both"/>
      </w:pPr>
      <w:r>
        <w:rPr>
          <w:sz w:val="21"/>
          <w:szCs w:val="21"/>
        </w:rPr>
        <w:t xml:space="preserve">This result is fully consistent with, and statistically confirms, the strong Cronbach's Alpha reliability finding in Section 6: these five items are genuinely facets of one construct, not independent dimensions, the opposite pattern from datasets where items fail to cohere.</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Prodigy Bank can confidently build and report a single 'Customer Experience Index' from these five items for dashboards, scorecards, and branch-level benchmarking.</w:t>
      </w:r>
    </w:p>
    <w:p>
      <w:pPr>
        <w:pStyle w:val="ListParagraph"/>
        <w:numPr>
          <w:ilvl w:val="0"/>
          <w:numId w:val="1"/>
        </w:numPr>
        <w:spacing w:after="60" w:line="270"/>
      </w:pPr>
      <w:r>
        <w:rPr>
          <w:sz w:val="21"/>
          <w:szCs w:val="21"/>
        </w:rPr>
        <w:t xml:space="preserve">Because one factor absorbs the bulk of shared variance, future survey design could shorten this instrument (e.g., to 3 well-chosen items) without losing much information, if survey length is a concern.</w:t>
      </w:r>
    </w:p>
    <w:p>
      <w:r>
        <w:br w:type="page"/>
      </w:r>
    </w:p>
    <w:p>
      <w:pPr>
        <w:pStyle w:val="Heading1"/>
        <w:pBdr>
          <w:bottom w:val="single" w:color="1F3864" w:sz="8" w:space="4"/>
        </w:pBdr>
        <w:spacing w:after="200" w:before="400"/>
      </w:pPr>
      <w:r>
        <w:rPr>
          <w:b/>
          <w:bCs/>
          <w:color w:val="1F3864"/>
          <w:sz w:val="30"/>
          <w:szCs w:val="30"/>
        </w:rPr>
        <w:t xml:space="preserve">15. Cluster Analysis (K-Means)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segment customers into distinct behavioural and financial groups for targeted relationship management. This corresponds to Analyze &gt; Classify &gt; K-Means Cluster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NumTransactionsMonth, YearsWithBank, MonthlyIncome, CreditScore (standardised to Z-scores before clustering).</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Standardise the four variables to Z-scores (Descriptives, Save standardized values).</w:t>
      </w:r>
    </w:p>
    <w:p>
      <w:pPr>
        <w:pStyle w:val="ListParagraph"/>
        <w:numPr>
          <w:ilvl w:val="0"/>
          <w:numId w:val="2"/>
        </w:numPr>
        <w:spacing w:after="80" w:line="270"/>
      </w:pPr>
      <w:r>
        <w:rPr>
          <w:sz w:val="21"/>
          <w:szCs w:val="21"/>
        </w:rPr>
        <w:t xml:space="preserve">Analyze &gt; Classify &gt; K-Means Cluster.</w:t>
      </w:r>
    </w:p>
    <w:p>
      <w:pPr>
        <w:pStyle w:val="ListParagraph"/>
        <w:numPr>
          <w:ilvl w:val="0"/>
          <w:numId w:val="2"/>
        </w:numPr>
        <w:spacing w:after="80" w:line="270"/>
      </w:pPr>
      <w:r>
        <w:rPr>
          <w:sz w:val="21"/>
          <w:szCs w:val="21"/>
        </w:rPr>
        <w:t xml:space="preserve">Move the standardised variables into Variables; set Number of Clusters to 3 (elbow method).</w:t>
      </w:r>
    </w:p>
    <w:p>
      <w:pPr>
        <w:pStyle w:val="ListParagraph"/>
        <w:numPr>
          <w:ilvl w:val="0"/>
          <w:numId w:val="2"/>
        </w:numPr>
        <w:spacing w:after="80" w:line="270"/>
      </w:pPr>
      <w:r>
        <w:rPr>
          <w:sz w:val="21"/>
          <w:szCs w:val="21"/>
        </w:rPr>
        <w:t xml:space="preserve">Click Save, tick Cluster Membership; click OK.</w:t>
      </w:r>
    </w:p>
    <w:p>
      <w:pPr>
        <w:pStyle w:val="Heading2"/>
        <w:spacing w:after="120" w:before="260"/>
      </w:pPr>
      <w:r>
        <w:rPr>
          <w:b/>
          <w:bCs/>
          <w:color w:val="B8860B"/>
          <w:sz w:val="24"/>
          <w:szCs w:val="24"/>
        </w:rPr>
        <w:t xml:space="preserve">Output - Elbow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k (Number of Clusters)</w:t>
            </w:r>
          </w:p>
        </w:tc>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Within-Cluster SS</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892.69</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741.39</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632.92</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554.27</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503.77</w:t>
            </w:r>
          </w:p>
        </w:tc>
      </w:tr>
    </w:tbl>
    <w:p>
      <w:pPr>
        <w:spacing w:after="160" w:before="100"/>
      </w:pPr>
      <w:r>
        <w:rPr>
          <w:i/>
          <w:iCs/>
          <w:color w:val="555555"/>
          <w:sz w:val="19"/>
          <w:szCs w:val="19"/>
        </w:rPr>
        <w:t xml:space="preserve">Table 15.1 - Total within-cluster sum of squares for k = 2 to 6; the elbow appears around k = 3.</w:t>
      </w:r>
    </w:p>
    <w:p>
      <w:pPr>
        <w:pStyle w:val="Heading2"/>
        <w:spacing w:after="120" w:before="260"/>
      </w:pPr>
      <w:r>
        <w:rPr>
          <w:b/>
          <w:bCs/>
          <w:color w:val="B8860B"/>
          <w:sz w:val="24"/>
          <w:szCs w:val="24"/>
        </w:rPr>
        <w:t xml:space="preserve">Output - Final Cluster Centers (k = 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tblGrid>
      <w:tr>
        <w:trPr>
          <w:tblHeader/>
        </w:trPr>
        <w:tc>
          <w:tcPr>
            <w:tcW w:type="dxa" w:w="34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Cluster 0</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Cluster 1</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Cluster 2</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NumTransactionsMonth</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9.17</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12.05</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14.56</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YearsWithBank</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5.78</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17.59</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5.51</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MonthlyIncome</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133331.94</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215394.27</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271082.53</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CreditScore</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657.21</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618.91</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652</w:t>
            </w:r>
          </w:p>
        </w:tc>
      </w:tr>
    </w:tbl>
    <w:p>
      <w:pPr>
        <w:spacing w:after="160" w:before="100"/>
      </w:pPr>
      <w:r>
        <w:rPr>
          <w:i/>
          <w:iCs/>
          <w:color w:val="555555"/>
          <w:sz w:val="19"/>
          <w:szCs w:val="19"/>
        </w:rPr>
        <w:t xml:space="preserve">Table 15.2 - Cluster means on original scales. Sizes: Cluster 0 n=108, Cluster 1 n=74, Cluster 2 n=118.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1700"/>
      </w:tblGrid>
      <w:tr>
        <w:trPr>
          <w:tblHeader/>
        </w:trPr>
        <w:tc>
          <w:tcPr>
            <w:tcW w:type="dxa" w:w="5500"/>
            <w:shd w:fill="1F3864" w:val="clear"/>
            <w:tcMar>
              <w:top w:type="dxa" w:w="60"/>
              <w:left w:type="dxa" w:w="100"/>
              <w:bottom w:type="dxa" w:w="60"/>
              <w:right w:type="dxa" w:w="100"/>
            </w:tcMar>
            <w:vAlign w:val="center"/>
          </w:tcPr>
          <w:p>
            <w:pPr>
              <w:jc w:val="center"/>
            </w:pPr>
            <w:r>
              <w:rPr>
                <w:b/>
                <w:bCs/>
                <w:color w:val="FFFFFF"/>
                <w:sz w:val="19"/>
                <w:szCs w:val="19"/>
              </w:rPr>
              <w:t xml:space="preserve">Validation Check</w:t>
            </w:r>
          </w:p>
        </w:tc>
        <w:tc>
          <w:tcPr>
            <w:tcW w:type="dxa" w:w="1800"/>
            <w:shd w:fill="1F3864" w:val="clear"/>
            <w:tcMar>
              <w:top w:type="dxa" w:w="60"/>
              <w:left w:type="dxa" w:w="100"/>
              <w:bottom w:type="dxa" w:w="60"/>
              <w:right w:type="dxa" w:w="100"/>
            </w:tcMar>
            <w:vAlign w:val="center"/>
          </w:tcPr>
          <w:p>
            <w:pPr>
              <w:jc w:val="center"/>
            </w:pPr>
            <w:r>
              <w:rPr>
                <w:b/>
                <w:bCs/>
                <w:color w:val="FFFFFF"/>
                <w:sz w:val="19"/>
                <w:szCs w:val="19"/>
              </w:rPr>
              <w:t xml:space="preserve">F</w:t>
            </w:r>
          </w:p>
        </w:tc>
        <w:tc>
          <w:tcPr>
            <w:tcW w:type="dxa" w:w="17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5500"/>
            <w:tcMar>
              <w:top w:type="dxa" w:w="60"/>
              <w:left w:type="dxa" w:w="100"/>
              <w:bottom w:type="dxa" w:w="60"/>
              <w:right w:type="dxa" w:w="100"/>
            </w:tcMar>
            <w:vAlign w:val="center"/>
          </w:tcPr>
          <w:p>
            <w:pPr>
              <w:jc w:val="left"/>
            </w:pPr>
            <w:r>
              <w:rPr>
                <w:b w:val="false"/>
                <w:bCs w:val="false"/>
                <w:color w:val="000000"/>
                <w:sz w:val="19"/>
                <w:szCs w:val="19"/>
              </w:rPr>
              <w:t xml:space="preserve">One-way ANOVA: CreditScore by Cluster</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7.125</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0.000949</w:t>
            </w:r>
          </w:p>
        </w:tc>
      </w:tr>
    </w:tbl>
    <w:p>
      <w:pPr>
        <w:spacing w:after="160" w:before="100"/>
      </w:pPr>
      <w:r>
        <w:rPr>
          <w:i/>
          <w:iCs/>
          <w:color w:val="555555"/>
          <w:sz w:val="19"/>
          <w:szCs w:val="19"/>
        </w:rPr>
        <w:t xml:space="preserve">Table 15.3 - Validation that clusters differ significantly on credit score.</w:t>
      </w:r>
    </w:p>
    <w:p>
      <w:pPr>
        <w:pStyle w:val="Heading2"/>
        <w:spacing w:after="120" w:before="260"/>
      </w:pPr>
      <w:r>
        <w:rPr>
          <w:b/>
          <w:bCs/>
          <w:color w:val="B8860B"/>
          <w:sz w:val="24"/>
          <w:szCs w:val="24"/>
        </w:rPr>
        <w:t xml:space="preserve">Interpretation</w:t>
      </w:r>
    </w:p>
    <w:p>
      <w:pPr>
        <w:pStyle w:val="ListParagraph"/>
        <w:numPr>
          <w:ilvl w:val="0"/>
          <w:numId w:val="1"/>
        </w:numPr>
        <w:spacing w:after="60" w:line="270"/>
      </w:pPr>
      <w:r>
        <w:rPr>
          <w:sz w:val="21"/>
          <w:szCs w:val="21"/>
        </w:rPr>
        <w:t xml:space="preserve">Cluster 0 - "Established Mid-Income Customers" (n=108): moderate tenure (5.78 years), moderate income (NGN 133,331.94), and the highest average credit score (657.21) of the three groups.</w:t>
      </w:r>
    </w:p>
    <w:p>
      <w:pPr>
        <w:pStyle w:val="ListParagraph"/>
        <w:numPr>
          <w:ilvl w:val="0"/>
          <w:numId w:val="1"/>
        </w:numPr>
        <w:spacing w:after="60" w:line="270"/>
      </w:pPr>
      <w:r>
        <w:rPr>
          <w:sz w:val="21"/>
          <w:szCs w:val="21"/>
        </w:rPr>
        <w:t xml:space="preserve">Cluster 1 - "Long-Tenured, Lower-Credit Loyalists" (n=74): by far the longest tenure (17.59 years) and highest income (NGN 215,394.27), but the lowest average credit score (618.91), an unusual and important combination worth investigating.</w:t>
      </w:r>
    </w:p>
    <w:p>
      <w:pPr>
        <w:pStyle w:val="ListParagraph"/>
        <w:numPr>
          <w:ilvl w:val="0"/>
          <w:numId w:val="1"/>
        </w:numPr>
        <w:spacing w:after="60" w:line="270"/>
      </w:pPr>
      <w:r>
        <w:rPr>
          <w:sz w:val="21"/>
          <w:szCs w:val="21"/>
        </w:rPr>
        <w:t xml:space="preserve">Cluster 2 - "Newer, High-Activity, High-Income Customers" (n=118): the highest transaction frequency (14.56/month) and highest income (NGN 271,082.53) despite short tenure (5.51 years), suggesting recently acquired, financially active customers.</w:t>
      </w:r>
    </w:p>
    <w:p>
      <w:pPr>
        <w:spacing w:after="140" w:line="276"/>
        <w:jc w:val="both"/>
      </w:pPr>
      <w:r>
        <w:rPr>
          <w:sz w:val="21"/>
          <w:szCs w:val="21"/>
        </w:rPr>
        <w:t xml:space="preserve">The validation ANOVA confirms the three clusters differ significantly on Credit Score (F = 7.125, p &lt; .001), demonstrating the segments are statistically well separated.</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Cluster 1's combination of high tenure, high income, and lower credit score is a red flag segment: these are valuable, loyal customers whose credit risk should be reviewed individually rather than assumed to be low because of their tenure.</w:t>
      </w:r>
    </w:p>
    <w:p>
      <w:pPr>
        <w:pStyle w:val="ListParagraph"/>
        <w:numPr>
          <w:ilvl w:val="0"/>
          <w:numId w:val="1"/>
        </w:numPr>
        <w:spacing w:after="60" w:line="270"/>
      </w:pPr>
      <w:r>
        <w:rPr>
          <w:sz w:val="21"/>
          <w:szCs w:val="21"/>
        </w:rPr>
        <w:t xml:space="preserve">Cluster 2 represents a high-value new customer segment worth nurturing with proactive relationship management before their engagement (and tenure) has a chance to build.</w:t>
      </w:r>
    </w:p>
    <w:p>
      <w:pPr>
        <w:pStyle w:val="ListParagraph"/>
        <w:numPr>
          <w:ilvl w:val="0"/>
          <w:numId w:val="1"/>
        </w:numPr>
        <w:spacing w:after="60" w:line="270"/>
      </w:pPr>
      <w:r>
        <w:rPr>
          <w:sz w:val="21"/>
          <w:szCs w:val="21"/>
        </w:rPr>
        <w:t xml:space="preserve">Cluster 0 is the bank's most creditworthy, stable segment, low risk, and a natural base for cross-selling additional products.</w:t>
      </w:r>
    </w:p>
    <w:p>
      <w:r>
        <w:br w:type="page"/>
      </w:r>
    </w:p>
    <w:p>
      <w:pPr>
        <w:pStyle w:val="Heading1"/>
        <w:pBdr>
          <w:bottom w:val="single" w:color="1F3864" w:sz="8" w:space="4"/>
        </w:pBdr>
        <w:spacing w:after="200" w:before="400"/>
      </w:pPr>
      <w:r>
        <w:rPr>
          <w:b/>
          <w:bCs/>
          <w:color w:val="1F3864"/>
          <w:sz w:val="30"/>
          <w:szCs w:val="30"/>
        </w:rPr>
        <w:t xml:space="preserve">16. Discriminant Analysis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determine which combination of variables best discriminates between customers who default on a loan and those who do not, as a cross-check on the logistic regression in Section 13. This corresponds to Analyze &gt; Classify &gt; Discriminant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Grouping: LoanDefault. Predictors: CreditScore, MonthlyIncome, YearsWithBank, and the five Likert items.</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Move LoanDefault into Grouping Variable, define range 0 to 1.</w:t>
      </w:r>
    </w:p>
    <w:p>
      <w:pPr>
        <w:pStyle w:val="ListParagraph"/>
        <w:numPr>
          <w:ilvl w:val="0"/>
          <w:numId w:val="2"/>
        </w:numPr>
        <w:spacing w:after="80" w:line="270"/>
      </w:pPr>
      <w:r>
        <w:rPr>
          <w:sz w:val="21"/>
          <w:szCs w:val="21"/>
        </w:rPr>
        <w:t xml:space="preserve">Move the 8 predictors into Independents.</w:t>
      </w:r>
    </w:p>
    <w:p>
      <w:pPr>
        <w:pStyle w:val="ListParagraph"/>
        <w:numPr>
          <w:ilvl w:val="0"/>
          <w:numId w:val="2"/>
        </w:numPr>
        <w:spacing w:after="80" w:line="270"/>
      </w:pPr>
      <w:r>
        <w:rPr>
          <w:sz w:val="21"/>
          <w:szCs w:val="21"/>
        </w:rPr>
        <w:t xml:space="preserve">Click Statistics, tick Univariate ANOVAs and Fisher's function coefficients.</w:t>
      </w:r>
    </w:p>
    <w:p>
      <w:pPr>
        <w:pStyle w:val="ListParagraph"/>
        <w:numPr>
          <w:ilvl w:val="0"/>
          <w:numId w:val="2"/>
        </w:numPr>
        <w:spacing w:after="80" w:line="270"/>
      </w:pPr>
      <w:r>
        <w:rPr>
          <w:sz w:val="21"/>
          <w:szCs w:val="21"/>
        </w:rPr>
        <w:t xml:space="preserve">Click Classify, tick Summary table; click OK.</w:t>
      </w:r>
    </w:p>
    <w:p>
      <w:pPr>
        <w:pStyle w:val="Heading2"/>
        <w:spacing w:after="120" w:before="260"/>
      </w:pPr>
      <w:r>
        <w:rPr>
          <w:b/>
          <w:bCs/>
          <w:color w:val="B8860B"/>
          <w:sz w:val="24"/>
          <w:szCs w:val="24"/>
        </w:rPr>
        <w:t xml:space="preserve">Output - Group Means on Predictors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rPr>
          <w:tblHeader/>
        </w:trPr>
        <w:tc>
          <w:tcPr>
            <w:tcW w:type="dxa" w:w="3400"/>
            <w:shd w:fill="1F3864" w:val="clear"/>
            <w:tcMar>
              <w:top w:type="dxa" w:w="60"/>
              <w:left w:type="dxa" w:w="100"/>
              <w:bottom w:type="dxa" w:w="60"/>
              <w:right w:type="dxa" w:w="100"/>
            </w:tcMar>
            <w:vAlign w:val="center"/>
          </w:tcPr>
          <w:p>
            <w:pPr>
              <w:jc w:val="center"/>
            </w:pPr>
            <w:r>
              <w:rPr>
                <w:b/>
                <w:bCs/>
                <w:color w:val="FFFFFF"/>
                <w:sz w:val="19"/>
                <w:szCs w:val="19"/>
              </w:rPr>
              <w:t xml:space="preserve">Predictor</w:t>
            </w:r>
          </w:p>
        </w:tc>
        <w:tc>
          <w:tcPr>
            <w:tcW w:type="dxa" w:w="3300"/>
            <w:shd w:fill="1F3864" w:val="clear"/>
            <w:tcMar>
              <w:top w:type="dxa" w:w="60"/>
              <w:left w:type="dxa" w:w="100"/>
              <w:bottom w:type="dxa" w:w="60"/>
              <w:right w:type="dxa" w:w="100"/>
            </w:tcMar>
            <w:vAlign w:val="center"/>
          </w:tcPr>
          <w:p>
            <w:pPr>
              <w:jc w:val="center"/>
            </w:pPr>
            <w:r>
              <w:rPr>
                <w:b/>
                <w:bCs/>
                <w:color w:val="FFFFFF"/>
                <w:sz w:val="19"/>
                <w:szCs w:val="19"/>
              </w:rPr>
              <w:t xml:space="preserve">Group: No Default</w:t>
            </w:r>
          </w:p>
        </w:tc>
        <w:tc>
          <w:tcPr>
            <w:tcW w:type="dxa" w:w="3300"/>
            <w:shd w:fill="1F3864" w:val="clear"/>
            <w:tcMar>
              <w:top w:type="dxa" w:w="60"/>
              <w:left w:type="dxa" w:w="100"/>
              <w:bottom w:type="dxa" w:w="60"/>
              <w:right w:type="dxa" w:w="100"/>
            </w:tcMar>
            <w:vAlign w:val="center"/>
          </w:tcPr>
          <w:p>
            <w:pPr>
              <w:jc w:val="center"/>
            </w:pPr>
            <w:r>
              <w:rPr>
                <w:b/>
                <w:bCs/>
                <w:color w:val="FFFFFF"/>
                <w:sz w:val="19"/>
                <w:szCs w:val="19"/>
              </w:rPr>
              <w:t xml:space="preserve">Group: Default</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CreditScore</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655.12</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622.3</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MonthlyIncome</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208723.8</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205347.34</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YearsWithBank</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8.42</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9.01</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Q1_ServiceQuality</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3.39</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3.38</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Q2_StaffFriendliness</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3.43</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3.42</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Q3_AppUsability</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3.38</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3.31</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Q4_WaitTimeSatisfaction</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2.94</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3.03</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Q5_OverallSatisfaction</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3.48</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3.41</w:t>
            </w:r>
          </w:p>
        </w:tc>
      </w:tr>
    </w:tbl>
    <w:p>
      <w:pPr>
        <w:spacing w:after="160" w:before="100"/>
      </w:pPr>
      <w:r>
        <w:rPr>
          <w:i/>
          <w:iCs/>
          <w:color w:val="555555"/>
          <w:sz w:val="19"/>
          <w:szCs w:val="19"/>
        </w:rPr>
        <w:t xml:space="preserve">Table 16.1 - Group means for customers who did vs did not default.</w:t>
      </w:r>
    </w:p>
    <w:p>
      <w:pPr>
        <w:pStyle w:val="Heading2"/>
        <w:spacing w:after="120" w:before="260"/>
      </w:pPr>
      <w:r>
        <w:rPr>
          <w:b/>
          <w:bCs/>
          <w:color w:val="B8860B"/>
          <w:sz w:val="24"/>
          <w:szCs w:val="24"/>
        </w:rPr>
        <w:t xml:space="preserve">Output - Classification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rPr>
          <w:tblHeader/>
        </w:trPr>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Predicted: No</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Predicted: Yes</w:t>
            </w:r>
          </w:p>
        </w:tc>
        <w:tc>
          <w:tcPr>
            <w:tcW w:type="dxa" w:w="2100"/>
            <w:shd w:fill="1F3864" w:val="clear"/>
            <w:tcMar>
              <w:top w:type="dxa" w:w="60"/>
              <w:left w:type="dxa" w:w="100"/>
              <w:bottom w:type="dxa" w:w="60"/>
              <w:right w:type="dxa" w:w="100"/>
            </w:tcMar>
            <w:vAlign w:val="center"/>
          </w:tcPr>
          <w:p>
            <w:pPr>
              <w:jc w:val="center"/>
            </w:pPr>
            <w:r>
              <w:rPr>
                <w:b/>
                <w:bCs/>
                <w:color w:val="FFFFFF"/>
                <w:sz w:val="19"/>
                <w:szCs w:val="19"/>
              </w:rPr>
              <w:t xml:space="preserve">% Correct</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Observed: No</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210</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98.1%</w:t>
            </w:r>
          </w:p>
        </w:tc>
      </w:tr>
      <w:tr>
        <w:tc>
          <w:tcPr>
            <w:tcW w:type="dxa" w:w="2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Observed: Yes</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78</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w:t>
            </w:r>
          </w:p>
        </w:tc>
        <w:tc>
          <w:tcPr>
            <w:tcW w:type="dxa" w:w="2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9.3%</w:t>
            </w:r>
          </w:p>
        </w:tc>
      </w:tr>
    </w:tbl>
    <w:p>
      <w:pPr>
        <w:spacing w:after="160" w:before="100"/>
      </w:pPr>
      <w:r>
        <w:rPr>
          <w:i/>
          <w:iCs/>
          <w:color w:val="555555"/>
          <w:sz w:val="19"/>
          <w:szCs w:val="19"/>
        </w:rPr>
        <w:t xml:space="preserve">Table 16.2 - Classification results. Overall correctly classified = 72.7%.</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Group means show that non-defaulters have a noticeably higher average credit score (655.12) than defaulters (622.3), the largest and most consistent group difference among the eight predictors, echoing the logistic regression's finding that credit score is the key differentiator.</w:t>
      </w:r>
    </w:p>
    <w:p>
      <w:pPr>
        <w:spacing w:after="140" w:line="276"/>
        <w:jc w:val="both"/>
      </w:pPr>
      <w:r>
        <w:rPr>
          <w:sz w:val="21"/>
          <w:szCs w:val="21"/>
        </w:rPr>
        <w:t xml:space="preserve">Overall classification accuracy is 72.7%, but as with the logistic model, this is driven mostly by correctly identifying non-defaulters; only 8 of 86 actual defaulters are caught. Two independent classification methods (logistic regression and discriminant analysis) now agree on both the key predictor (credit score) and the practical limitation (weak detection of the minority default class).</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Credit Score is confirmed, through two independent methods, as the most important available signal of default risk.</w:t>
      </w:r>
    </w:p>
    <w:p>
      <w:pPr>
        <w:pStyle w:val="ListParagraph"/>
        <w:numPr>
          <w:ilvl w:val="0"/>
          <w:numId w:val="1"/>
        </w:numPr>
        <w:spacing w:after="60" w:line="270"/>
      </w:pPr>
      <w:r>
        <w:rPr>
          <w:sz w:val="21"/>
          <w:szCs w:val="21"/>
        </w:rPr>
        <w:t xml:space="preserve">Because both models under-detect actual defaulters, Prodigy Bank should treat the current variable set as a starting point, not a finished early-warning system, and invest in richer repayment-history data before relying on either model for automated lending decisions.</w:t>
      </w:r>
    </w:p>
    <w:p>
      <w:r>
        <w:br w:type="page"/>
      </w:r>
    </w:p>
    <w:p>
      <w:pPr>
        <w:pStyle w:val="Heading1"/>
        <w:pBdr>
          <w:bottom w:val="single" w:color="1F3864" w:sz="8" w:space="4"/>
        </w:pBdr>
        <w:spacing w:after="200" w:before="400"/>
      </w:pPr>
      <w:r>
        <w:rPr>
          <w:b/>
          <w:bCs/>
          <w:color w:val="1F3864"/>
          <w:sz w:val="30"/>
          <w:szCs w:val="30"/>
        </w:rPr>
        <w:t xml:space="preserve">17. Consolidated Summary of Insights and Recommendations</w:t>
      </w:r>
    </w:p>
    <w:p>
      <w:pPr>
        <w:pStyle w:val="Heading2"/>
        <w:spacing w:after="120" w:before="260"/>
      </w:pPr>
      <w:r>
        <w:rPr>
          <w:b/>
          <w:bCs/>
          <w:color w:val="B8860B"/>
          <w:sz w:val="24"/>
          <w:szCs w:val="24"/>
        </w:rPr>
        <w:t xml:space="preserve">Summary Table of All Analyses Performed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00"/>
      </w:tblGrid>
      <w:tr>
        <w:trPr>
          <w:tblHeader/>
        </w:trPr>
        <w:tc>
          <w:tcPr>
            <w:tcW w:type="dxa" w:w="700"/>
            <w:shd w:fill="1F3864" w:val="clear"/>
            <w:tcMar>
              <w:top w:type="dxa" w:w="60"/>
              <w:left w:type="dxa" w:w="100"/>
              <w:bottom w:type="dxa" w:w="60"/>
              <w:right w:type="dxa" w:w="100"/>
            </w:tcMar>
            <w:vAlign w:val="center"/>
          </w:tcPr>
          <w:p>
            <w:pPr>
              <w:jc w:val="center"/>
            </w:pPr>
            <w:r>
              <w:rPr>
                <w:b/>
                <w:bCs/>
                <w:color w:val="FFFFFF"/>
                <w:sz w:val="19"/>
                <w:szCs w:val="19"/>
              </w:rPr>
              <w:t xml:space="preserve">#</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Analysis</w:t>
            </w:r>
          </w:p>
        </w:tc>
        <w:tc>
          <w:tcPr>
            <w:tcW w:type="dxa" w:w="5700"/>
            <w:shd w:fill="1F3864" w:val="clear"/>
            <w:tcMar>
              <w:top w:type="dxa" w:w="60"/>
              <w:left w:type="dxa" w:w="100"/>
              <w:bottom w:type="dxa" w:w="60"/>
              <w:right w:type="dxa" w:w="100"/>
            </w:tcMar>
            <w:vAlign w:val="center"/>
          </w:tcPr>
          <w:p>
            <w:pPr>
              <w:jc w:val="center"/>
            </w:pPr>
            <w:r>
              <w:rPr>
                <w:b/>
                <w:bCs/>
                <w:color w:val="FFFFFF"/>
                <w:sz w:val="19"/>
                <w:szCs w:val="19"/>
              </w:rPr>
              <w:t xml:space="preserve">Key Finding</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1-4</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Data prep, frequencies, descriptives, normality</w:t>
            </w:r>
          </w:p>
        </w:tc>
        <w:tc>
          <w:tcPr>
            <w:tcW w:type="dxa" w:w="5700"/>
            <w:tcMar>
              <w:top w:type="dxa" w:w="60"/>
              <w:left w:type="dxa" w:w="100"/>
              <w:bottom w:type="dxa" w:w="60"/>
              <w:right w:type="dxa" w:w="100"/>
            </w:tcMar>
            <w:vAlign w:val="center"/>
          </w:tcPr>
          <w:p>
            <w:pPr>
              <w:jc w:val="center"/>
            </w:pPr>
            <w:r>
              <w:rPr>
                <w:b w:val="false"/>
                <w:bCs w:val="false"/>
                <w:color w:val="000000"/>
                <w:sz w:val="19"/>
                <w:szCs w:val="19"/>
              </w:rPr>
              <w:t xml:space="preserve">No missing data; 38.7% complaint rate, 28.7% default rate; Credit Score is the one normally distributed variable</w:t>
            </w:r>
          </w:p>
        </w:tc>
      </w:tr>
      <w:tr>
        <w:tc>
          <w:tcPr>
            <w:tcW w:type="dxa" w:w="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5-7</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Chi-square, reliability, correlation</w:t>
            </w:r>
          </w:p>
        </w:tc>
        <w:tc>
          <w:tcPr>
            <w:tcW w:type="dxa" w:w="5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Complaint history strongly linked to churn risk; the 5 Likert items form one reliable scale (alpha=.79)</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8-9</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T-test / Mann-Whitney (Gender)</w:t>
            </w:r>
          </w:p>
        </w:tc>
        <w:tc>
          <w:tcPr>
            <w:tcW w:type="dxa" w:w="5700"/>
            <w:tcMar>
              <w:top w:type="dxa" w:w="60"/>
              <w:left w:type="dxa" w:w="100"/>
              <w:bottom w:type="dxa" w:w="60"/>
              <w:right w:type="dxa" w:w="100"/>
            </w:tcMar>
            <w:vAlign w:val="center"/>
          </w:tcPr>
          <w:p>
            <w:pPr>
              <w:jc w:val="center"/>
            </w:pPr>
            <w:r>
              <w:rPr>
                <w:b w:val="false"/>
                <w:bCs w:val="false"/>
                <w:color w:val="000000"/>
                <w:sz w:val="19"/>
                <w:szCs w:val="19"/>
              </w:rPr>
              <w:t xml:space="preserve">No gender differences in income, credit score, transactions, or satisfaction</w:t>
            </w:r>
          </w:p>
        </w:tc>
      </w:tr>
      <w:tr>
        <w:tc>
          <w:tcPr>
            <w:tcW w:type="dxa" w:w="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10-11</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ANOVA / Kruskal-Wallis</w:t>
            </w:r>
          </w:p>
        </w:tc>
        <w:tc>
          <w:tcPr>
            <w:tcW w:type="dxa" w:w="5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 churn/branch/account-type effects on credit score or income; Education strongly predicts income (eta sq=.63)</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12</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Multiple Linear Regression</w:t>
            </w:r>
          </w:p>
        </w:tc>
        <w:tc>
          <w:tcPr>
            <w:tcW w:type="dxa" w:w="5700"/>
            <w:tcMar>
              <w:top w:type="dxa" w:w="60"/>
              <w:left w:type="dxa" w:w="100"/>
              <w:bottom w:type="dxa" w:w="60"/>
              <w:right w:type="dxa" w:w="100"/>
            </w:tcMar>
            <w:vAlign w:val="center"/>
          </w:tcPr>
          <w:p>
            <w:pPr>
              <w:jc w:val="center"/>
            </w:pPr>
            <w:r>
              <w:rPr>
                <w:b w:val="false"/>
                <w:bCs w:val="false"/>
                <w:color w:val="000000"/>
                <w:sz w:val="19"/>
                <w:szCs w:val="19"/>
              </w:rPr>
              <w:t xml:space="preserve">R sq=.08; only Wait Time and Overall Satisfaction weakly predict credit score</w:t>
            </w:r>
          </w:p>
        </w:tc>
      </w:tr>
      <w:tr>
        <w:tc>
          <w:tcPr>
            <w:tcW w:type="dxa" w:w="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13</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Logistic Regression</w:t>
            </w:r>
          </w:p>
        </w:tc>
        <w:tc>
          <w:tcPr>
            <w:tcW w:type="dxa" w:w="5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Credit Score significantly predicts loan default (OR=.994); model under-detects actual defaulters</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14</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Factor Analysis</w:t>
            </w:r>
          </w:p>
        </w:tc>
        <w:tc>
          <w:tcPr>
            <w:tcW w:type="dxa" w:w="5700"/>
            <w:tcMar>
              <w:top w:type="dxa" w:w="60"/>
              <w:left w:type="dxa" w:w="100"/>
              <w:bottom w:type="dxa" w:w="60"/>
              <w:right w:type="dxa" w:w="100"/>
            </w:tcMar>
            <w:vAlign w:val="center"/>
          </w:tcPr>
          <w:p>
            <w:pPr>
              <w:jc w:val="center"/>
            </w:pPr>
            <w:r>
              <w:rPr>
                <w:b w:val="false"/>
                <w:bCs w:val="false"/>
                <w:color w:val="000000"/>
                <w:sz w:val="19"/>
                <w:szCs w:val="19"/>
              </w:rPr>
              <w:t xml:space="preserve">KMO=.84 (excellent); one clear factor, a genuine 'Customer Experience' construct</w:t>
            </w:r>
          </w:p>
        </w:tc>
      </w:tr>
      <w:tr>
        <w:tc>
          <w:tcPr>
            <w:tcW w:type="dxa" w:w="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15</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Cluster Analysis (K-Means)</w:t>
            </w:r>
          </w:p>
        </w:tc>
        <w:tc>
          <w:tcPr>
            <w:tcW w:type="dxa" w:w="5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 segments: Established Mid-Income, Long-Tenured Lower-Credit Loyalists, Newer High-Activity customers</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16</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Discriminant Analysis</w:t>
            </w:r>
          </w:p>
        </w:tc>
        <w:tc>
          <w:tcPr>
            <w:tcW w:type="dxa" w:w="5700"/>
            <w:tcMar>
              <w:top w:type="dxa" w:w="60"/>
              <w:left w:type="dxa" w:w="100"/>
              <w:bottom w:type="dxa" w:w="60"/>
              <w:right w:type="dxa" w:w="100"/>
            </w:tcMar>
            <w:vAlign w:val="center"/>
          </w:tcPr>
          <w:p>
            <w:pPr>
              <w:jc w:val="center"/>
            </w:pPr>
            <w:r>
              <w:rPr>
                <w:b w:val="false"/>
                <w:bCs w:val="false"/>
                <w:color w:val="000000"/>
                <w:sz w:val="19"/>
                <w:szCs w:val="19"/>
              </w:rPr>
              <w:t xml:space="preserve">Confirms Credit Score as the key default differentiator; also under-detects defaulters</w:t>
            </w:r>
          </w:p>
        </w:tc>
      </w:tr>
    </w:tbl>
    <w:p>
      <w:pPr>
        <w:spacing w:after="160" w:before="100"/>
      </w:pPr>
      <w:r>
        <w:rPr>
          <w:i/>
          <w:iCs/>
          <w:color w:val="555555"/>
          <w:sz w:val="19"/>
          <w:szCs w:val="19"/>
        </w:rPr>
        <w:t xml:space="preserve">Table 17.1 - One-line summary of every statistical procedure performed in this report.</w:t>
      </w:r>
    </w:p>
    <w:p>
      <w:pPr>
        <w:pStyle w:val="Heading2"/>
        <w:spacing w:after="120" w:before="260"/>
      </w:pPr>
      <w:r>
        <w:rPr>
          <w:b/>
          <w:bCs/>
          <w:color w:val="B8860B"/>
          <w:sz w:val="24"/>
          <w:szCs w:val="24"/>
        </w:rPr>
        <w:t xml:space="preserve">Overarching Insights for Prodigy Bank</w:t>
      </w:r>
    </w:p>
    <w:p>
      <w:pPr>
        <w:pStyle w:val="ListParagraph"/>
        <w:numPr>
          <w:ilvl w:val="0"/>
          <w:numId w:val="1"/>
        </w:numPr>
        <w:spacing w:after="60" w:line="270"/>
      </w:pPr>
      <w:r>
        <w:rPr>
          <w:sz w:val="21"/>
          <w:szCs w:val="21"/>
        </w:rPr>
        <w:t xml:space="preserve">Complaint history is the strongest available signal of churn risk. Resolving complaints quickly and tracking complainants proactively should be a frontline retention priority, more so than any demographic factor.</w:t>
      </w:r>
    </w:p>
    <w:p>
      <w:pPr>
        <w:pStyle w:val="ListParagraph"/>
        <w:numPr>
          <w:ilvl w:val="0"/>
          <w:numId w:val="1"/>
        </w:numPr>
        <w:spacing w:after="60" w:line="270"/>
      </w:pPr>
      <w:r>
        <w:rPr>
          <w:sz w:val="21"/>
          <w:szCs w:val="21"/>
        </w:rPr>
        <w:t xml:space="preserve">The five customer experience items (Service Quality, Staff Friendliness, App Usability, Wait Time, Overall Satisfaction) form one reliable, statistically confirmed construct. Prodigy Bank can and should combine them into a single Customer Experience Index for dashboards and branch benchmarking.</w:t>
      </w:r>
    </w:p>
    <w:p>
      <w:pPr>
        <w:pStyle w:val="ListParagraph"/>
        <w:numPr>
          <w:ilvl w:val="0"/>
          <w:numId w:val="1"/>
        </w:numPr>
        <w:spacing w:after="60" w:line="270"/>
      </w:pPr>
      <w:r>
        <w:rPr>
          <w:sz w:val="21"/>
          <w:szCs w:val="21"/>
        </w:rPr>
        <w:t xml:space="preserve">Credit Score is a validated, statistically significant predictor of loan default, reassuring evidence that the bank's scoring reflects real repayment risk, but the current model (and its discriminant analysis cross-check) both under-detect actual defaulters, leaving room for improvement with richer financial variables.</w:t>
      </w:r>
    </w:p>
    <w:p>
      <w:pPr>
        <w:pStyle w:val="ListParagraph"/>
        <w:numPr>
          <w:ilvl w:val="0"/>
          <w:numId w:val="1"/>
        </w:numPr>
        <w:spacing w:after="60" w:line="270"/>
      </w:pPr>
      <w:r>
        <w:rPr>
          <w:sz w:val="21"/>
          <w:szCs w:val="21"/>
        </w:rPr>
        <w:t xml:space="preserve">Education, not branch, gender, or account type, is the dominant demographic driver of income, useful for income-tiered product and marketing strategy.</w:t>
      </w:r>
    </w:p>
    <w:p>
      <w:pPr>
        <w:pStyle w:val="ListParagraph"/>
        <w:numPr>
          <w:ilvl w:val="0"/>
          <w:numId w:val="1"/>
        </w:numPr>
        <w:spacing w:after="60" w:line="270"/>
      </w:pPr>
      <w:r>
        <w:rPr>
          <w:sz w:val="21"/>
          <w:szCs w:val="21"/>
        </w:rPr>
        <w:t xml:space="preserve">Customer segmentation reveals a notable risk pattern: the longest-tenured, highest-income segment (Cluster 1) also has the lowest average credit score, a counter-intuitive finding that challenges any assumption that tenure alone signals low risk.</w:t>
      </w:r>
    </w:p>
    <w:p>
      <w:pPr>
        <w:pStyle w:val="ListParagraph"/>
        <w:numPr>
          <w:ilvl w:val="0"/>
          <w:numId w:val="1"/>
        </w:numPr>
        <w:spacing w:after="60" w:line="270"/>
      </w:pPr>
      <w:r>
        <w:rPr>
          <w:sz w:val="21"/>
          <w:szCs w:val="21"/>
        </w:rPr>
        <w:t xml:space="preserve">Wait Time Satisfaction is the weakest-rated service dimension and the only one with a sub-midpoint mean, a clear, specific target for operational improvement.</w:t>
      </w:r>
    </w:p>
    <w:p>
      <w:pPr>
        <w:pStyle w:val="Heading2"/>
        <w:spacing w:after="120" w:before="260"/>
      </w:pPr>
      <w:r>
        <w:rPr>
          <w:b/>
          <w:bCs/>
          <w:color w:val="B8860B"/>
          <w:sz w:val="24"/>
          <w:szCs w:val="24"/>
        </w:rPr>
        <w:t xml:space="preserve">Recommended Next Steps</w:t>
      </w:r>
    </w:p>
    <w:p>
      <w:pPr>
        <w:pStyle w:val="ListParagraph"/>
        <w:numPr>
          <w:ilvl w:val="0"/>
          <w:numId w:val="3"/>
        </w:numPr>
        <w:spacing w:after="80" w:line="270"/>
      </w:pPr>
      <w:r>
        <w:rPr>
          <w:sz w:val="21"/>
          <w:szCs w:val="21"/>
        </w:rPr>
        <w:t xml:space="preserve">Build complaint-triggered retention workflows: any customer who files a complaint should be flagged for proactive follow-up given the strong statistical link to churn risk.</w:t>
      </w:r>
    </w:p>
    <w:p>
      <w:pPr>
        <w:pStyle w:val="ListParagraph"/>
        <w:numPr>
          <w:ilvl w:val="0"/>
          <w:numId w:val="3"/>
        </w:numPr>
        <w:spacing w:after="80" w:line="270"/>
      </w:pPr>
      <w:r>
        <w:rPr>
          <w:sz w:val="21"/>
          <w:szCs w:val="21"/>
        </w:rPr>
        <w:t xml:space="preserve">Adopt the five-item Customer Experience Index as an official KPI, tracked by branch and over time, since factor analysis and reliability analysis both confirm it measures one coherent construct.</w:t>
      </w:r>
    </w:p>
    <w:p>
      <w:pPr>
        <w:pStyle w:val="ListParagraph"/>
        <w:numPr>
          <w:ilvl w:val="0"/>
          <w:numId w:val="3"/>
        </w:numPr>
        <w:spacing w:after="80" w:line="270"/>
      </w:pPr>
      <w:r>
        <w:rPr>
          <w:sz w:val="21"/>
          <w:szCs w:val="21"/>
        </w:rPr>
        <w:t xml:space="preserve">Invest in additional credit-risk data (existing debt, repayment history, employment type) to strengthen the default-prediction model, since the current model, while statistically significant, misses most actual defaulters.</w:t>
      </w:r>
    </w:p>
    <w:p>
      <w:pPr>
        <w:pStyle w:val="ListParagraph"/>
        <w:numPr>
          <w:ilvl w:val="0"/>
          <w:numId w:val="3"/>
        </w:numPr>
        <w:spacing w:after="80" w:line="270"/>
      </w:pPr>
      <w:r>
        <w:rPr>
          <w:sz w:val="21"/>
          <w:szCs w:val="21"/>
        </w:rPr>
        <w:t xml:space="preserve">Review Cluster 1 (long-tenured, high-income, lower-credit customers) individually rather than assuming tenure implies low risk.</w:t>
      </w:r>
    </w:p>
    <w:p>
      <w:pPr>
        <w:pStyle w:val="ListParagraph"/>
        <w:numPr>
          <w:ilvl w:val="0"/>
          <w:numId w:val="3"/>
        </w:numPr>
        <w:spacing w:after="80" w:line="270"/>
      </w:pPr>
      <w:r>
        <w:rPr>
          <w:sz w:val="21"/>
          <w:szCs w:val="21"/>
        </w:rPr>
        <w:t xml:space="preserve">Prioritise a wait-time improvement initiative (staffing, queue management, digital self-service options) since this is the single weakest-rated customer experience dimension.</w:t>
      </w:r>
    </w:p>
    <w:p>
      <w:pPr>
        <w:pStyle w:val="Heading2"/>
        <w:spacing w:after="120" w:before="260"/>
      </w:pPr>
      <w:r>
        <w:rPr>
          <w:b/>
          <w:bCs/>
          <w:color w:val="B8860B"/>
          <w:sz w:val="24"/>
          <w:szCs w:val="24"/>
        </w:rPr>
        <w:t xml:space="preserve">Methodological Note</w:t>
      </w:r>
    </w:p>
    <w:p>
      <w:pPr>
        <w:spacing w:after="140" w:line="276"/>
        <w:jc w:val="both"/>
      </w:pPr>
      <w:r>
        <w:rPr>
          <w:sz w:val="21"/>
          <w:szCs w:val="21"/>
        </w:rPr>
        <w:t xml:space="preserve">All analyses in this report were computed directly from the uploaded dataset (prodigy_bank_survey.xlsx, N = 300) using statistical routines equivalent to those SPSS implements: Shapiro-Wilk normality tests, Pearson chi-square, Cronbach's alpha, Pearson correlation, independent-samples t-tests, one-way ANOVA with Tukey HSD post-hoc, Mann-Whitney U, Kruskal-Wallis H, OLS multiple regression with VIF diagnostics, binary logistic regression via maximum likelihood, principal component/exploratory factor analysis, K-means clustering, and linear discriminant analysis. Readers reproducing this analysis directly in IBM SPSS Statistics using the step-by-step menu paths provided in each section should obtain matching results, subject to minor rounding.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Prodigy Bank Customer Survey - SPSS Statistical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2026-07-18T15:20:49.552Z</dcterms:created>
  <dcterms:modified xsi:type="dcterms:W3CDTF">2026-07-18T15:20:49.552Z</dcterms:modified>
</cp:coreProperties>
</file>

<file path=docProps/custom.xml><?xml version="1.0" encoding="utf-8"?>
<Properties xmlns="http://schemas.openxmlformats.org/officeDocument/2006/custom-properties" xmlns:vt="http://schemas.openxmlformats.org/officeDocument/2006/docPropsVTypes"/>
</file>