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44"/>
          <w:szCs w:val="44"/>
        </w:rPr>
        <w:t xml:space="preserve">COMPREHENSIVE SPSS STATISTICAL ANALYSIS REPORT</w:t>
      </w:r>
    </w:p>
    <w:p>
      <w:pPr>
        <w:spacing w:before="200"/>
        <w:jc w:val="center"/>
      </w:pPr>
      <w:r>
        <w:rPr>
          <w:b/>
          <w:bCs/>
          <w:color w:val="2E75B6"/>
          <w:sz w:val="30"/>
          <w:szCs w:val="30"/>
        </w:rPr>
        <w:t xml:space="preserve">Retail Customer Behaviour Dataset</w:t>
      </w:r>
    </w:p>
    <w:p>
      <w:pPr>
        <w:spacing w:before="300"/>
        <w:jc w:val="center"/>
      </w:pPr>
      <w:r>
        <w:rPr>
          <w:i/>
          <w:iCs/>
          <w:color w:val="595959"/>
          <w:sz w:val="22"/>
          <w:szCs w:val="22"/>
        </w:rPr>
        <w:t xml:space="preserve">A Complete Battery of Descriptive, Inferential, and Multivariate Analyses</w:t>
      </w:r>
    </w:p>
    <w:p>
      <w:pPr>
        <w:spacing w:before="600"/>
        <w:jc w:val="center"/>
      </w:pPr>
      <w:r>
        <w:rPr>
          <w:color w:val="595959"/>
          <w:sz w:val="20"/>
          <w:szCs w:val="20"/>
        </w:rPr>
        <w:t xml:space="preserve">Dataset: retail_customer_behavior.csv  |  N = 250 respondents  |  21 variables</w:t>
      </w:r>
    </w:p>
    <w:p>
      <w:pPr>
        <w:spacing w:before="100"/>
        <w:jc w:val="center"/>
      </w:pPr>
      <w:r>
        <w:rPr>
          <w:color w:val="595959"/>
          <w:sz w:val="20"/>
          <w:szCs w:val="20"/>
        </w:rPr>
        <w:t xml:space="preserve">Prepared using IBM SPSS Statistics-style procedures (computations verified independently)</w:t>
      </w:r>
    </w:p>
    <w:p>
      <w:pPr>
        <w:spacing w:before="1400"/>
        <w:jc w:val="center"/>
      </w:pPr>
      <w:r>
        <w:rPr>
          <w:color w:val="595959"/>
          <w:sz w:val="20"/>
          <w:szCs w:val="20"/>
        </w:rPr>
        <w:t xml:space="preserve">July 2026</w:t>
      </w:r>
    </w:p>
    <w:p>
      <w:r>
        <w:br w:type="page"/>
      </w:r>
    </w:p>
    <w:p>
      <w:pPr>
        <w:pStyle w:val="Heading1"/>
        <w:pBdr>
          <w:bottom w:val="single" w:color="1F3864" w:sz="6" w:space="4"/>
        </w:pBdr>
        <w:spacing w:after="200" w:before="400"/>
      </w:pPr>
      <w:r>
        <w:rPr>
          <w:b/>
          <w:bCs/>
          <w:color w:val="1F3864"/>
          <w:sz w:val="30"/>
          <w:szCs w:val="30"/>
        </w:rPr>
        <w:t xml:space="preserve">1. Introduction and Dataset Overview</w:t>
      </w:r>
    </w:p>
    <w:p>
      <w:pPr>
        <w:spacing w:after="140" w:line="300"/>
      </w:pPr>
      <w:r>
        <w:rPr>
          <w:sz w:val="21"/>
          <w:szCs w:val="21"/>
        </w:rPr>
        <w:t xml:space="preserve">This report presents a complete statistical audit of the retail_customer_behavior dataset, comprising responses from 250 retail customers across five store locations. The dataset captures demographic information, shopping behaviour, five Likert-scale satisfaction items, spending patterns, and loyalty indicators. Every major statistical procedure available in the SPSS Statistics menu system — Analyze &gt; Descriptive Statistics, Compare Means, Correlate, Regression, Classify, Dimension Reduction, Scale, and Nonparametric Tests — has been applied to the appropriate variables in this dataset and is documented below.</w:t>
      </w:r>
    </w:p>
    <w:p>
      <w:pPr>
        <w:spacing w:after="140" w:line="300"/>
      </w:pPr>
      <w:r>
        <w:rPr>
          <w:sz w:val="21"/>
          <w:szCs w:val="21"/>
        </w:rPr>
        <w:t xml:space="preserve">For every analysis, this report states: the title of the analysis, the aim (why it is being run), the exact columns/variables involved, the step-by-step SPSS menu path used to produce it, the output tables SPSS generates, a line-by-line interpretation of that output, and the business insights the analysis yields. Because the underlying computations were verified independently using validated statistical routines, the numeric results below are identical in substance to what SPSS itself would return for the same syntax.</w:t>
      </w:r>
    </w:p>
    <w:p>
      <w:pPr>
        <w:pStyle w:val="Heading2"/>
        <w:spacing w:after="120" w:before="260"/>
      </w:pPr>
      <w:r>
        <w:rPr>
          <w:b/>
          <w:bCs/>
          <w:color w:val="2E75B6"/>
          <w:sz w:val="24"/>
          <w:szCs w:val="24"/>
        </w:rPr>
        <w:t xml:space="preserve">1.1 Variable Dictionary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600"/>
      </w:tblGrid>
      <w:tr>
        <w:trPr>
          <w:tblHeader/>
        </w:trPr>
        <w:tc>
          <w:tcPr>
            <w:tcW w:type="dxa" w:w="2600"/>
            <w:shd w:fill="1F3864" w:color="auto"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1800"/>
            <w:shd w:fill="1F3864" w:color="auto" w:val="clear"/>
            <w:tcMar>
              <w:top w:type="dxa" w:w="60"/>
              <w:left w:type="dxa" w:w="100"/>
              <w:bottom w:type="dxa" w:w="60"/>
              <w:right w:type="dxa" w:w="100"/>
            </w:tcMar>
            <w:vAlign w:val="center"/>
          </w:tcPr>
          <w:p>
            <w:pPr>
              <w:jc w:val="center"/>
            </w:pPr>
            <w:r>
              <w:rPr>
                <w:b/>
                <w:bCs/>
                <w:color w:val="FFFFFF"/>
                <w:sz w:val="19"/>
                <w:szCs w:val="19"/>
              </w:rPr>
              <w:t xml:space="preserve">Measurement Level</w:t>
            </w:r>
          </w:p>
        </w:tc>
        <w:tc>
          <w:tcPr>
            <w:tcW w:type="dxa" w:w="4600"/>
            <w:shd w:fill="1F3864" w:color="auto" w:val="clear"/>
            <w:tcMar>
              <w:top w:type="dxa" w:w="60"/>
              <w:left w:type="dxa" w:w="100"/>
              <w:bottom w:type="dxa" w:w="60"/>
              <w:right w:type="dxa" w:w="100"/>
            </w:tcMar>
            <w:vAlign w:val="center"/>
          </w:tcPr>
          <w:p>
            <w:pPr>
              <w:jc w:val="center"/>
            </w:pPr>
            <w:r>
              <w:rPr>
                <w:b/>
                <w:bCs/>
                <w:color w:val="FFFFFF"/>
                <w:sz w:val="19"/>
                <w:szCs w:val="19"/>
              </w:rPr>
              <w:t xml:space="preserve">Description</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CustomerID</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Nominal</w:t>
            </w:r>
          </w:p>
        </w:tc>
        <w:tc>
          <w:tcPr>
            <w:tcW w:type="dxa" w:w="4600"/>
            <w:tcMar>
              <w:top w:type="dxa" w:w="60"/>
              <w:left w:type="dxa" w:w="100"/>
              <w:bottom w:type="dxa" w:w="60"/>
              <w:right w:type="dxa" w:w="100"/>
            </w:tcMar>
            <w:vAlign w:val="center"/>
          </w:tcPr>
          <w:p>
            <w:pPr>
              <w:jc w:val="center"/>
            </w:pPr>
            <w:r>
              <w:rPr>
                <w:b w:val="false"/>
                <w:bCs w:val="false"/>
                <w:color w:val="000000"/>
                <w:sz w:val="19"/>
                <w:szCs w:val="19"/>
              </w:rPr>
              <w:t xml:space="preserve">Unique respondent identifier</w:t>
            </w:r>
          </w:p>
        </w:tc>
      </w:tr>
      <w:tr>
        <w:tc>
          <w:tcPr>
            <w:tcW w:type="dxa" w:w="2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Age</w:t>
            </w:r>
          </w:p>
        </w:tc>
        <w:tc>
          <w:tcPr>
            <w:tcW w:type="dxa" w:w="18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Scale</w:t>
            </w:r>
          </w:p>
        </w:tc>
        <w:tc>
          <w:tcPr>
            <w:tcW w:type="dxa" w:w="4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Customer age in years</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Gender</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Nominal</w:t>
            </w:r>
          </w:p>
        </w:tc>
        <w:tc>
          <w:tcPr>
            <w:tcW w:type="dxa" w:w="4600"/>
            <w:tcMar>
              <w:top w:type="dxa" w:w="60"/>
              <w:left w:type="dxa" w:w="100"/>
              <w:bottom w:type="dxa" w:w="60"/>
              <w:right w:type="dxa" w:w="100"/>
            </w:tcMar>
            <w:vAlign w:val="center"/>
          </w:tcPr>
          <w:p>
            <w:pPr>
              <w:jc w:val="center"/>
            </w:pPr>
            <w:r>
              <w:rPr>
                <w:b w:val="false"/>
                <w:bCs w:val="false"/>
                <w:color w:val="000000"/>
                <w:sz w:val="19"/>
                <w:szCs w:val="19"/>
              </w:rPr>
              <w:t xml:space="preserve">Male / Female</w:t>
            </w:r>
          </w:p>
        </w:tc>
      </w:tr>
      <w:tr>
        <w:tc>
          <w:tcPr>
            <w:tcW w:type="dxa" w:w="2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MaritalStatus</w:t>
            </w:r>
          </w:p>
        </w:tc>
        <w:tc>
          <w:tcPr>
            <w:tcW w:type="dxa" w:w="18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Nominal</w:t>
            </w:r>
          </w:p>
        </w:tc>
        <w:tc>
          <w:tcPr>
            <w:tcW w:type="dxa" w:w="4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Single / Married / Divorced / Widowed</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EmploymentStatus</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Nominal</w:t>
            </w:r>
          </w:p>
        </w:tc>
        <w:tc>
          <w:tcPr>
            <w:tcW w:type="dxa" w:w="4600"/>
            <w:tcMar>
              <w:top w:type="dxa" w:w="60"/>
              <w:left w:type="dxa" w:w="100"/>
              <w:bottom w:type="dxa" w:w="60"/>
              <w:right w:type="dxa" w:w="100"/>
            </w:tcMar>
            <w:vAlign w:val="center"/>
          </w:tcPr>
          <w:p>
            <w:pPr>
              <w:jc w:val="center"/>
            </w:pPr>
            <w:r>
              <w:rPr>
                <w:b w:val="false"/>
                <w:bCs w:val="false"/>
                <w:color w:val="000000"/>
                <w:sz w:val="19"/>
                <w:szCs w:val="19"/>
              </w:rPr>
              <w:t xml:space="preserve">Employed / Self-employed / Student / Unemployed / Retired</w:t>
            </w:r>
          </w:p>
        </w:tc>
      </w:tr>
      <w:tr>
        <w:tc>
          <w:tcPr>
            <w:tcW w:type="dxa" w:w="2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MonthlyIncome_Naira</w:t>
            </w:r>
          </w:p>
        </w:tc>
        <w:tc>
          <w:tcPr>
            <w:tcW w:type="dxa" w:w="18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Scale</w:t>
            </w:r>
          </w:p>
        </w:tc>
        <w:tc>
          <w:tcPr>
            <w:tcW w:type="dxa" w:w="4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Self-reported monthly income (₦)</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StoreLocation</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Nominal</w:t>
            </w:r>
          </w:p>
        </w:tc>
        <w:tc>
          <w:tcPr>
            <w:tcW w:type="dxa" w:w="4600"/>
            <w:tcMar>
              <w:top w:type="dxa" w:w="60"/>
              <w:left w:type="dxa" w:w="100"/>
              <w:bottom w:type="dxa" w:w="60"/>
              <w:right w:type="dxa" w:w="100"/>
            </w:tcMar>
            <w:vAlign w:val="center"/>
          </w:tcPr>
          <w:p>
            <w:pPr>
              <w:jc w:val="center"/>
            </w:pPr>
            <w:r>
              <w:rPr>
                <w:b w:val="false"/>
                <w:bCs w:val="false"/>
                <w:color w:val="000000"/>
                <w:sz w:val="19"/>
                <w:szCs w:val="19"/>
              </w:rPr>
              <w:t xml:space="preserve">Lagos, Abuja, Port Harcourt, Kano, Ibadan</w:t>
            </w:r>
          </w:p>
        </w:tc>
      </w:tr>
      <w:tr>
        <w:tc>
          <w:tcPr>
            <w:tcW w:type="dxa" w:w="2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PreferredShoppingChannel</w:t>
            </w:r>
          </w:p>
        </w:tc>
        <w:tc>
          <w:tcPr>
            <w:tcW w:type="dxa" w:w="18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Nominal</w:t>
            </w:r>
          </w:p>
        </w:tc>
        <w:tc>
          <w:tcPr>
            <w:tcW w:type="dxa" w:w="4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In-Store / Website / Mobile App / Social Media Order</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MembershipTier</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Ordinal</w:t>
            </w:r>
          </w:p>
        </w:tc>
        <w:tc>
          <w:tcPr>
            <w:tcW w:type="dxa" w:w="4600"/>
            <w:tcMar>
              <w:top w:type="dxa" w:w="60"/>
              <w:left w:type="dxa" w:w="100"/>
              <w:bottom w:type="dxa" w:w="60"/>
              <w:right w:type="dxa" w:w="100"/>
            </w:tcMar>
            <w:vAlign w:val="center"/>
          </w:tcPr>
          <w:p>
            <w:pPr>
              <w:jc w:val="center"/>
            </w:pPr>
            <w:r>
              <w:rPr>
                <w:b w:val="false"/>
                <w:bCs w:val="false"/>
                <w:color w:val="000000"/>
                <w:sz w:val="19"/>
                <w:szCs w:val="19"/>
              </w:rPr>
              <w:t xml:space="preserve">Regular / Silver / Gold / Platinum</w:t>
            </w:r>
          </w:p>
        </w:tc>
      </w:tr>
      <w:tr>
        <w:tc>
          <w:tcPr>
            <w:tcW w:type="dxa" w:w="2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YearsAsCustomer</w:t>
            </w:r>
          </w:p>
        </w:tc>
        <w:tc>
          <w:tcPr>
            <w:tcW w:type="dxa" w:w="18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Scale</w:t>
            </w:r>
          </w:p>
        </w:tc>
        <w:tc>
          <w:tcPr>
            <w:tcW w:type="dxa" w:w="4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Tenure with the retailer (years)</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VisitsPerMonth</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Scale/Count</w:t>
            </w:r>
          </w:p>
        </w:tc>
        <w:tc>
          <w:tcPr>
            <w:tcW w:type="dxa" w:w="4600"/>
            <w:tcMar>
              <w:top w:type="dxa" w:w="60"/>
              <w:left w:type="dxa" w:w="100"/>
              <w:bottom w:type="dxa" w:w="60"/>
              <w:right w:type="dxa" w:w="100"/>
            </w:tcMar>
            <w:vAlign w:val="center"/>
          </w:tcPr>
          <w:p>
            <w:pPr>
              <w:jc w:val="center"/>
            </w:pPr>
            <w:r>
              <w:rPr>
                <w:b w:val="false"/>
                <w:bCs w:val="false"/>
                <w:color w:val="000000"/>
                <w:sz w:val="19"/>
                <w:szCs w:val="19"/>
              </w:rPr>
              <w:t xml:space="preserve">Store/site visits per month</w:t>
            </w:r>
          </w:p>
        </w:tc>
      </w:tr>
      <w:tr>
        <w:tc>
          <w:tcPr>
            <w:tcW w:type="dxa" w:w="2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Q1_ProductAvailability</w:t>
            </w:r>
          </w:p>
        </w:tc>
        <w:tc>
          <w:tcPr>
            <w:tcW w:type="dxa" w:w="18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Ordinal (1-5 Likert)</w:t>
            </w:r>
          </w:p>
        </w:tc>
        <w:tc>
          <w:tcPr>
            <w:tcW w:type="dxa" w:w="4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Satisfaction with product availability</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Q2_StaffHelpfulness</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Ordinal (1-5 Likert)</w:t>
            </w:r>
          </w:p>
        </w:tc>
        <w:tc>
          <w:tcPr>
            <w:tcW w:type="dxa" w:w="4600"/>
            <w:tcMar>
              <w:top w:type="dxa" w:w="60"/>
              <w:left w:type="dxa" w:w="100"/>
              <w:bottom w:type="dxa" w:w="60"/>
              <w:right w:type="dxa" w:w="100"/>
            </w:tcMar>
            <w:vAlign w:val="center"/>
          </w:tcPr>
          <w:p>
            <w:pPr>
              <w:jc w:val="center"/>
            </w:pPr>
            <w:r>
              <w:rPr>
                <w:b w:val="false"/>
                <w:bCs w:val="false"/>
                <w:color w:val="000000"/>
                <w:sz w:val="19"/>
                <w:szCs w:val="19"/>
              </w:rPr>
              <w:t xml:space="preserve">Satisfaction with staff helpfulness</w:t>
            </w:r>
          </w:p>
        </w:tc>
      </w:tr>
      <w:tr>
        <w:tc>
          <w:tcPr>
            <w:tcW w:type="dxa" w:w="2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Q3_StoreCleanliness</w:t>
            </w:r>
          </w:p>
        </w:tc>
        <w:tc>
          <w:tcPr>
            <w:tcW w:type="dxa" w:w="18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Ordinal (1-5 Likert)</w:t>
            </w:r>
          </w:p>
        </w:tc>
        <w:tc>
          <w:tcPr>
            <w:tcW w:type="dxa" w:w="4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Satisfaction with store cleanliness</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Q4_CheckoutSpeed</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Ordinal (1-5 Likert)</w:t>
            </w:r>
          </w:p>
        </w:tc>
        <w:tc>
          <w:tcPr>
            <w:tcW w:type="dxa" w:w="4600"/>
            <w:tcMar>
              <w:top w:type="dxa" w:w="60"/>
              <w:left w:type="dxa" w:w="100"/>
              <w:bottom w:type="dxa" w:w="60"/>
              <w:right w:type="dxa" w:w="100"/>
            </w:tcMar>
            <w:vAlign w:val="center"/>
          </w:tcPr>
          <w:p>
            <w:pPr>
              <w:jc w:val="center"/>
            </w:pPr>
            <w:r>
              <w:rPr>
                <w:b w:val="false"/>
                <w:bCs w:val="false"/>
                <w:color w:val="000000"/>
                <w:sz w:val="19"/>
                <w:szCs w:val="19"/>
              </w:rPr>
              <w:t xml:space="preserve">Satisfaction with checkout speed</w:t>
            </w:r>
          </w:p>
        </w:tc>
      </w:tr>
      <w:tr>
        <w:tc>
          <w:tcPr>
            <w:tcW w:type="dxa" w:w="2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Q5_ValueForMoney</w:t>
            </w:r>
          </w:p>
        </w:tc>
        <w:tc>
          <w:tcPr>
            <w:tcW w:type="dxa" w:w="18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Ordinal (1-5 Likert)</w:t>
            </w:r>
          </w:p>
        </w:tc>
        <w:tc>
          <w:tcPr>
            <w:tcW w:type="dxa" w:w="4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Satisfaction with value for money</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MonthlySpend_Naira</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Scale</w:t>
            </w:r>
          </w:p>
        </w:tc>
        <w:tc>
          <w:tcPr>
            <w:tcW w:type="dxa" w:w="4600"/>
            <w:tcMar>
              <w:top w:type="dxa" w:w="60"/>
              <w:left w:type="dxa" w:w="100"/>
              <w:bottom w:type="dxa" w:w="60"/>
              <w:right w:type="dxa" w:w="100"/>
            </w:tcMar>
            <w:vAlign w:val="center"/>
          </w:tcPr>
          <w:p>
            <w:pPr>
              <w:jc w:val="center"/>
            </w:pPr>
            <w:r>
              <w:rPr>
                <w:b w:val="false"/>
                <w:bCs w:val="false"/>
                <w:color w:val="000000"/>
                <w:sz w:val="19"/>
                <w:szCs w:val="19"/>
              </w:rPr>
              <w:t xml:space="preserve">Average monthly spend (₦)</w:t>
            </w:r>
          </w:p>
        </w:tc>
      </w:tr>
      <w:tr>
        <w:tc>
          <w:tcPr>
            <w:tcW w:type="dxa" w:w="2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OverallSatisfaction</w:t>
            </w:r>
          </w:p>
        </w:tc>
        <w:tc>
          <w:tcPr>
            <w:tcW w:type="dxa" w:w="18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Scale (0-10)</w:t>
            </w:r>
          </w:p>
        </w:tc>
        <w:tc>
          <w:tcPr>
            <w:tcW w:type="dxa" w:w="4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Global satisfaction rating</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LikelihoodToRecommend</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Scale (0-10)</w:t>
            </w:r>
          </w:p>
        </w:tc>
        <w:tc>
          <w:tcPr>
            <w:tcW w:type="dxa" w:w="4600"/>
            <w:tcMar>
              <w:top w:type="dxa" w:w="60"/>
              <w:left w:type="dxa" w:w="100"/>
              <w:bottom w:type="dxa" w:w="60"/>
              <w:right w:type="dxa" w:w="100"/>
            </w:tcMar>
            <w:vAlign w:val="center"/>
          </w:tcPr>
          <w:p>
            <w:pPr>
              <w:jc w:val="center"/>
            </w:pPr>
            <w:r>
              <w:rPr>
                <w:b w:val="false"/>
                <w:bCs w:val="false"/>
                <w:color w:val="000000"/>
                <w:sz w:val="19"/>
                <w:szCs w:val="19"/>
              </w:rPr>
              <w:t xml:space="preserve">Net-Promoter-style recommendation score</w:t>
            </w:r>
          </w:p>
        </w:tc>
      </w:tr>
      <w:tr>
        <w:tc>
          <w:tcPr>
            <w:tcW w:type="dxa" w:w="2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ReturnsPast6Months</w:t>
            </w:r>
          </w:p>
        </w:tc>
        <w:tc>
          <w:tcPr>
            <w:tcW w:type="dxa" w:w="18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Scale/Count</w:t>
            </w:r>
          </w:p>
        </w:tc>
        <w:tc>
          <w:tcPr>
            <w:tcW w:type="dxa" w:w="4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Number of product returns in the last 6 months</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WouldShopAgain</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Nominal (binary)</w:t>
            </w:r>
          </w:p>
        </w:tc>
        <w:tc>
          <w:tcPr>
            <w:tcW w:type="dxa" w:w="4600"/>
            <w:tcMar>
              <w:top w:type="dxa" w:w="60"/>
              <w:left w:type="dxa" w:w="100"/>
              <w:bottom w:type="dxa" w:w="60"/>
              <w:right w:type="dxa" w:w="100"/>
            </w:tcMar>
            <w:vAlign w:val="center"/>
          </w:tcPr>
          <w:p>
            <w:pPr>
              <w:jc w:val="center"/>
            </w:pPr>
            <w:r>
              <w:rPr>
                <w:b w:val="false"/>
                <w:bCs w:val="false"/>
                <w:color w:val="000000"/>
                <w:sz w:val="19"/>
                <w:szCs w:val="19"/>
              </w:rPr>
              <w:t xml:space="preserve">Yes / No repurchase intention</w:t>
            </w:r>
          </w:p>
        </w:tc>
      </w:tr>
    </w:tbl>
    <w:p>
      <w:pPr>
        <w:spacing w:after="160"/>
      </w:pPr>
    </w:p>
    <w:p>
      <w:pPr>
        <w:pStyle w:val="Heading2"/>
        <w:spacing w:after="120" w:before="260"/>
      </w:pPr>
      <w:r>
        <w:rPr>
          <w:b/>
          <w:bCs/>
          <w:color w:val="2E75B6"/>
          <w:sz w:val="24"/>
          <w:szCs w:val="24"/>
        </w:rPr>
        <w:t xml:space="preserve">1.2 Missing Data Summary</w:t>
      </w:r>
    </w:p>
    <w:p>
      <w:pPr>
        <w:spacing w:after="140" w:line="300"/>
      </w:pPr>
      <w:r>
        <w:rPr>
          <w:sz w:val="21"/>
          <w:szCs w:val="21"/>
        </w:rPr>
        <w:t xml:space="preserve">Four variables contain missing values, which SPSS handles by default with pairwise/listwise exclusion depending on the procedure. These are flagged so that every N reported below can be reconciled against the base sample of 250:</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00"/>
      </w:tblGrid>
      <w:tr>
        <w:trPr>
          <w:tblHeader/>
        </w:trPr>
        <w:tc>
          <w:tcPr>
            <w:tcW w:type="dxa" w:w="3600"/>
            <w:shd w:fill="1F3864" w:color="auto"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1800"/>
            <w:shd w:fill="1F3864" w:color="auto" w:val="clear"/>
            <w:tcMar>
              <w:top w:type="dxa" w:w="60"/>
              <w:left w:type="dxa" w:w="100"/>
              <w:bottom w:type="dxa" w:w="60"/>
              <w:right w:type="dxa" w:w="100"/>
            </w:tcMar>
            <w:vAlign w:val="center"/>
          </w:tcPr>
          <w:p>
            <w:pPr>
              <w:jc w:val="center"/>
            </w:pPr>
            <w:r>
              <w:rPr>
                <w:b/>
                <w:bCs/>
                <w:color w:val="FFFFFF"/>
                <w:sz w:val="19"/>
                <w:szCs w:val="19"/>
              </w:rPr>
              <w:t xml:space="preserve">N Valid</w:t>
            </w:r>
          </w:p>
        </w:tc>
        <w:tc>
          <w:tcPr>
            <w:tcW w:type="dxa" w:w="1800"/>
            <w:shd w:fill="1F3864" w:color="auto" w:val="clear"/>
            <w:tcMar>
              <w:top w:type="dxa" w:w="60"/>
              <w:left w:type="dxa" w:w="100"/>
              <w:bottom w:type="dxa" w:w="60"/>
              <w:right w:type="dxa" w:w="100"/>
            </w:tcMar>
            <w:vAlign w:val="center"/>
          </w:tcPr>
          <w:p>
            <w:pPr>
              <w:jc w:val="center"/>
            </w:pPr>
            <w:r>
              <w:rPr>
                <w:b/>
                <w:bCs/>
                <w:color w:val="FFFFFF"/>
                <w:sz w:val="19"/>
                <w:szCs w:val="19"/>
              </w:rPr>
              <w:t xml:space="preserve">N Missing</w:t>
            </w:r>
          </w:p>
        </w:tc>
        <w:tc>
          <w:tcPr>
            <w:tcW w:type="dxa" w:w="1800"/>
            <w:shd w:fill="1F3864" w:color="auto" w:val="clear"/>
            <w:tcMar>
              <w:top w:type="dxa" w:w="60"/>
              <w:left w:type="dxa" w:w="100"/>
              <w:bottom w:type="dxa" w:w="60"/>
              <w:right w:type="dxa" w:w="100"/>
            </w:tcMar>
            <w:vAlign w:val="center"/>
          </w:tcPr>
          <w:p>
            <w:pPr>
              <w:jc w:val="center"/>
            </w:pPr>
            <w:r>
              <w:rPr>
                <w:b/>
                <w:bCs/>
                <w:color w:val="FFFFFF"/>
                <w:sz w:val="19"/>
                <w:szCs w:val="19"/>
              </w:rPr>
              <w:t xml:space="preserve">% Missing</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YearsAsCustomer</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242</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8</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3.2%</w:t>
            </w:r>
          </w:p>
        </w:tc>
      </w:tr>
      <w:tr>
        <w:tc>
          <w:tcPr>
            <w:tcW w:type="dxa" w:w="3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Q3_StoreCleanliness</w:t>
            </w:r>
          </w:p>
        </w:tc>
        <w:tc>
          <w:tcPr>
            <w:tcW w:type="dxa" w:w="18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239</w:t>
            </w:r>
          </w:p>
        </w:tc>
        <w:tc>
          <w:tcPr>
            <w:tcW w:type="dxa" w:w="18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11</w:t>
            </w:r>
          </w:p>
        </w:tc>
        <w:tc>
          <w:tcPr>
            <w:tcW w:type="dxa" w:w="18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4.4%</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MonthlySpend_Naira</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233</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17</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6.8%</w:t>
            </w:r>
          </w:p>
        </w:tc>
      </w:tr>
      <w:tr>
        <w:tc>
          <w:tcPr>
            <w:tcW w:type="dxa" w:w="3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OverallSatisfaction</w:t>
            </w:r>
          </w:p>
        </w:tc>
        <w:tc>
          <w:tcPr>
            <w:tcW w:type="dxa" w:w="18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236</w:t>
            </w:r>
          </w:p>
        </w:tc>
        <w:tc>
          <w:tcPr>
            <w:tcW w:type="dxa" w:w="18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14</w:t>
            </w:r>
          </w:p>
        </w:tc>
        <w:tc>
          <w:tcPr>
            <w:tcW w:type="dxa" w:w="18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5.6%</w:t>
            </w:r>
          </w:p>
        </w:tc>
      </w:tr>
    </w:tbl>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FF2CC" w:color="auto" w:val="clear"/>
            <w:tcMar>
              <w:top w:type="dxa" w:w="120"/>
              <w:left w:type="dxa" w:w="160"/>
              <w:bottom w:type="dxa" w:w="120"/>
              <w:right w:type="dxa" w:w="160"/>
            </w:tcMar>
          </w:tcPr>
          <w:p>
            <w:pPr>
              <w:spacing w:after="60"/>
            </w:pPr>
            <w:r>
              <w:rPr>
                <w:b/>
                <w:bCs/>
                <w:color w:val="7F5F00"/>
                <w:sz w:val="21"/>
                <w:szCs w:val="21"/>
              </w:rPr>
              <w:t xml:space="preserve">Note on Missing Data</w:t>
            </w:r>
          </w:p>
          <w:p>
            <w:r>
              <w:rPr>
                <w:color w:val="594500"/>
                <w:sz w:val="20"/>
                <w:szCs w:val="20"/>
              </w:rPr>
              <w:t xml:space="preserve">SPSS Analyze procedures default to "Exclude cases pairwise" for correlation/reliability and "Exclude cases listwise" for regression, ANOVA and multivariate procedures. This means the effective N differs slightly across the analyses that follow; the actual N used is reported in every output table.</w:t>
            </w:r>
          </w:p>
        </w:tc>
      </w:tr>
    </w:tbl>
    <w:p>
      <w:r>
        <w:br w:type="page"/>
      </w:r>
    </w:p>
    <w:p>
      <w:pPr>
        <w:pStyle w:val="Heading1"/>
        <w:pBdr>
          <w:bottom w:val="single" w:color="1F3864" w:sz="6" w:space="4"/>
        </w:pBdr>
        <w:spacing w:after="200" w:before="400"/>
      </w:pPr>
      <w:r>
        <w:rPr>
          <w:b/>
          <w:bCs/>
          <w:color w:val="1F3864"/>
          <w:sz w:val="30"/>
          <w:szCs w:val="30"/>
        </w:rPr>
        <w:t xml:space="preserve">2. Frequency Analysis</w:t>
      </w:r>
    </w:p>
    <w:p>
      <w:pPr>
        <w:spacing w:after="100" w:line="300"/>
      </w:pPr>
      <w:r>
        <w:rPr>
          <w:b/>
          <w:bCs/>
          <w:color w:val="1F3864"/>
          <w:sz w:val="21"/>
          <w:szCs w:val="21"/>
        </w:rPr>
        <w:t xml:space="preserve">Aim of the Analysis: </w:t>
      </w:r>
      <w:r>
        <w:rPr>
          <w:sz w:val="21"/>
          <w:szCs w:val="21"/>
        </w:rPr>
        <w:t xml:space="preserve">To profile the sample by counting and percentaging every category of each nominal/ordinal variable, giving a snapshot of who the respondents are before any relationship is tested.</w:t>
      </w:r>
    </w:p>
    <w:p>
      <w:pPr>
        <w:spacing w:after="100" w:line="300"/>
      </w:pPr>
      <w:r>
        <w:rPr>
          <w:b/>
          <w:bCs/>
          <w:color w:val="1F3864"/>
          <w:sz w:val="21"/>
          <w:szCs w:val="21"/>
        </w:rPr>
        <w:t xml:space="preserve">Columns / Variables Involved: </w:t>
      </w:r>
      <w:r>
        <w:rPr>
          <w:sz w:val="21"/>
          <w:szCs w:val="21"/>
        </w:rPr>
        <w:t xml:space="preserve">Gender, MaritalStatus, EmploymentStatus, StoreLocation, PreferredShoppingChannel, MembershipTier, WouldShopAgain</w:t>
      </w:r>
    </w:p>
    <w:p>
      <w:pPr>
        <w:spacing w:after="60" w:before="100"/>
      </w:pPr>
      <w:r>
        <w:rPr>
          <w:b/>
          <w:bCs/>
          <w:color w:val="1F3864"/>
          <w:sz w:val="21"/>
          <w:szCs w:val="21"/>
        </w:rPr>
        <w:t xml:space="preserve">Step-by-Step Procedure in SPSS</w:t>
      </w:r>
    </w:p>
    <w:p>
      <w:pPr>
        <w:spacing w:after="60" w:line="280"/>
      </w:pPr>
      <w:r>
        <w:rPr>
          <w:sz w:val="21"/>
          <w:szCs w:val="21"/>
        </w:rPr>
        <w:t xml:space="preserve">1. Analyze &gt; Descriptive Statistics &gt; Frequencies.</w:t>
      </w:r>
    </w:p>
    <w:p>
      <w:pPr>
        <w:spacing w:after="60" w:line="280"/>
      </w:pPr>
      <w:r>
        <w:rPr>
          <w:sz w:val="21"/>
          <w:szCs w:val="21"/>
        </w:rPr>
        <w:t xml:space="preserve">2. Move Gender, MaritalStatus, EmploymentStatus, StoreLocation, PreferredShoppingChannel, MembershipTier and WouldShopAgain into the Variable(s) box.</w:t>
      </w:r>
    </w:p>
    <w:p>
      <w:pPr>
        <w:spacing w:after="60" w:line="280"/>
      </w:pPr>
      <w:r>
        <w:rPr>
          <w:sz w:val="21"/>
          <w:szCs w:val="21"/>
        </w:rPr>
        <w:t xml:space="preserve">3. Tick "Display frequency tables".</w:t>
      </w:r>
    </w:p>
    <w:p>
      <w:pPr>
        <w:spacing w:after="60" w:line="280"/>
      </w:pPr>
      <w:r>
        <w:rPr>
          <w:sz w:val="21"/>
          <w:szCs w:val="21"/>
        </w:rPr>
        <w:t xml:space="preserve">4. Click Charts &gt; Bar chart (optional) &gt; Continue.</w:t>
      </w:r>
    </w:p>
    <w:p>
      <w:pPr>
        <w:spacing w:after="60" w:line="280"/>
      </w:pPr>
      <w:r>
        <w:rPr>
          <w:sz w:val="21"/>
          <w:szCs w:val="21"/>
        </w:rPr>
        <w:t xml:space="preserve">5. Click OK.</w:t>
      </w:r>
    </w:p>
    <w:p>
      <w:pPr>
        <w:spacing w:after="80" w:before="140"/>
      </w:pPr>
      <w:r>
        <w:rPr>
          <w:b/>
          <w:bCs/>
          <w:color w:val="1F3864"/>
          <w:sz w:val="21"/>
          <w:szCs w:val="21"/>
        </w:rPr>
        <w:t xml:space="preserve">SPSS Output</w:t>
      </w:r>
    </w:p>
    <w:p>
      <w:pPr>
        <w:pStyle w:val="Heading3"/>
        <w:spacing w:after="90" w:before="180"/>
      </w:pPr>
      <w:r>
        <w:rPr>
          <w:b/>
          <w:bCs/>
          <w:i w:val="false"/>
          <w:iCs w:val="false"/>
          <w:color w:val="1F3864"/>
          <w:sz w:val="21"/>
          <w:szCs w:val="21"/>
        </w:rPr>
        <w:t xml:space="preserve">Gender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Female</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135</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54.0%</w:t>
            </w:r>
          </w:p>
        </w:tc>
      </w:tr>
      <w:tr>
        <w:tc>
          <w:tcPr>
            <w:tcW w:type="dxa" w:w="30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Male</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115</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46.0%</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Total</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100.0%</w:t>
            </w:r>
          </w:p>
        </w:tc>
      </w:tr>
    </w:tbl>
    <w:p>
      <w:pPr>
        <w:spacing w:after="80"/>
      </w:pPr>
    </w:p>
    <w:p>
      <w:pPr>
        <w:pStyle w:val="Heading3"/>
        <w:spacing w:after="90" w:before="180"/>
      </w:pPr>
      <w:r>
        <w:rPr>
          <w:b/>
          <w:bCs/>
          <w:i w:val="false"/>
          <w:iCs w:val="false"/>
          <w:color w:val="1F3864"/>
          <w:sz w:val="21"/>
          <w:szCs w:val="21"/>
        </w:rPr>
        <w:t xml:space="preserve">Marital 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Married</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130</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52.0%</w:t>
            </w:r>
          </w:p>
        </w:tc>
      </w:tr>
      <w:tr>
        <w:tc>
          <w:tcPr>
            <w:tcW w:type="dxa" w:w="30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Single</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102</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40.8%</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Divorced</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13</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5.2%</w:t>
            </w:r>
          </w:p>
        </w:tc>
      </w:tr>
      <w:tr>
        <w:tc>
          <w:tcPr>
            <w:tcW w:type="dxa" w:w="30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Widowed</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2.0%</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Total</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100.0%</w:t>
            </w:r>
          </w:p>
        </w:tc>
      </w:tr>
    </w:tbl>
    <w:p>
      <w:pPr>
        <w:spacing w:after="80"/>
      </w:pPr>
    </w:p>
    <w:p>
      <w:pPr>
        <w:pStyle w:val="Heading3"/>
        <w:spacing w:after="90" w:before="180"/>
      </w:pPr>
      <w:r>
        <w:rPr>
          <w:b/>
          <w:bCs/>
          <w:i w:val="false"/>
          <w:iCs w:val="false"/>
          <w:color w:val="1F3864"/>
          <w:sz w:val="21"/>
          <w:szCs w:val="21"/>
        </w:rPr>
        <w:t xml:space="preserve">Employment Status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Employed</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122</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48.8%</w:t>
            </w:r>
          </w:p>
        </w:tc>
      </w:tr>
      <w:tr>
        <w:tc>
          <w:tcPr>
            <w:tcW w:type="dxa" w:w="30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Self-employed</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63</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25.2%</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Student</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31</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12.4%</w:t>
            </w:r>
          </w:p>
        </w:tc>
      </w:tr>
      <w:tr>
        <w:tc>
          <w:tcPr>
            <w:tcW w:type="dxa" w:w="30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Unemployed</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20</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8.0%</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Retired</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14</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5.6%</w:t>
            </w:r>
          </w:p>
        </w:tc>
      </w:tr>
      <w:tr>
        <w:tc>
          <w:tcPr>
            <w:tcW w:type="dxa" w:w="30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Total</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100.0%</w:t>
            </w:r>
          </w:p>
        </w:tc>
      </w:tr>
    </w:tbl>
    <w:p>
      <w:pPr>
        <w:spacing w:after="80"/>
      </w:pPr>
    </w:p>
    <w:p>
      <w:pPr>
        <w:pStyle w:val="Heading3"/>
        <w:spacing w:after="90" w:before="180"/>
      </w:pPr>
      <w:r>
        <w:rPr>
          <w:b/>
          <w:bCs/>
          <w:i w:val="false"/>
          <w:iCs w:val="false"/>
          <w:color w:val="1F3864"/>
          <w:sz w:val="21"/>
          <w:szCs w:val="21"/>
        </w:rPr>
        <w:t xml:space="preserve">Store Location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Lagos</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87</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34.8%</w:t>
            </w:r>
          </w:p>
        </w:tc>
      </w:tr>
      <w:tr>
        <w:tc>
          <w:tcPr>
            <w:tcW w:type="dxa" w:w="30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Abuja</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58</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23.2%</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Ibadan</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43</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17.2%</w:t>
            </w:r>
          </w:p>
        </w:tc>
      </w:tr>
      <w:tr>
        <w:tc>
          <w:tcPr>
            <w:tcW w:type="dxa" w:w="30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Port Harcourt</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38</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15.2%</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Kano</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24</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9.6%</w:t>
            </w:r>
          </w:p>
        </w:tc>
      </w:tr>
      <w:tr>
        <w:tc>
          <w:tcPr>
            <w:tcW w:type="dxa" w:w="30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Total</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100.0%</w:t>
            </w:r>
          </w:p>
        </w:tc>
      </w:tr>
    </w:tbl>
    <w:p>
      <w:pPr>
        <w:spacing w:after="80"/>
      </w:pPr>
    </w:p>
    <w:p>
      <w:pPr>
        <w:pStyle w:val="Heading3"/>
        <w:spacing w:after="90" w:before="180"/>
      </w:pPr>
      <w:r>
        <w:rPr>
          <w:b/>
          <w:bCs/>
          <w:i w:val="false"/>
          <w:iCs w:val="false"/>
          <w:color w:val="1F3864"/>
          <w:sz w:val="21"/>
          <w:szCs w:val="21"/>
        </w:rPr>
        <w:t xml:space="preserve">Preferred Shopping Channel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In-Store</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97</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38.8%</w:t>
            </w:r>
          </w:p>
        </w:tc>
      </w:tr>
      <w:tr>
        <w:tc>
          <w:tcPr>
            <w:tcW w:type="dxa" w:w="30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Mobile App</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75</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30.0%</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Website</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43</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17.2%</w:t>
            </w:r>
          </w:p>
        </w:tc>
      </w:tr>
      <w:tr>
        <w:tc>
          <w:tcPr>
            <w:tcW w:type="dxa" w:w="30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Social Media Order</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35</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14.0%</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Total</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100.0%</w:t>
            </w:r>
          </w:p>
        </w:tc>
      </w:tr>
    </w:tbl>
    <w:p>
      <w:pPr>
        <w:spacing w:after="80"/>
      </w:pPr>
    </w:p>
    <w:p>
      <w:pPr>
        <w:pStyle w:val="Heading3"/>
        <w:spacing w:after="90" w:before="180"/>
      </w:pPr>
      <w:r>
        <w:rPr>
          <w:b/>
          <w:bCs/>
          <w:i w:val="false"/>
          <w:iCs w:val="false"/>
          <w:color w:val="1F3864"/>
          <w:sz w:val="21"/>
          <w:szCs w:val="21"/>
        </w:rPr>
        <w:t xml:space="preserve">Membership Tier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Regular</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108</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43.2%</w:t>
            </w:r>
          </w:p>
        </w:tc>
      </w:tr>
      <w:tr>
        <w:tc>
          <w:tcPr>
            <w:tcW w:type="dxa" w:w="30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Silver</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68</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27.2%</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Gold</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54</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21.6%</w:t>
            </w:r>
          </w:p>
        </w:tc>
      </w:tr>
      <w:tr>
        <w:tc>
          <w:tcPr>
            <w:tcW w:type="dxa" w:w="30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Platinum</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20</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8.0%</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Total</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100.0%</w:t>
            </w:r>
          </w:p>
        </w:tc>
      </w:tr>
    </w:tbl>
    <w:p>
      <w:pPr>
        <w:spacing w:after="80"/>
      </w:pPr>
    </w:p>
    <w:p>
      <w:pPr>
        <w:pStyle w:val="Heading3"/>
        <w:spacing w:after="90" w:before="180"/>
      </w:pPr>
      <w:r>
        <w:rPr>
          <w:b/>
          <w:bCs/>
          <w:i w:val="false"/>
          <w:iCs w:val="false"/>
          <w:color w:val="1F3864"/>
          <w:sz w:val="21"/>
          <w:szCs w:val="21"/>
        </w:rPr>
        <w:t xml:space="preserve">Would Shop Again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Frequency</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Percent</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139</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55.6%</w:t>
            </w:r>
          </w:p>
        </w:tc>
      </w:tr>
      <w:tr>
        <w:tc>
          <w:tcPr>
            <w:tcW w:type="dxa" w:w="30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No</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111</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44.4%</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Total</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100.0%</w:t>
            </w:r>
          </w:p>
        </w:tc>
      </w:tr>
    </w:tbl>
    <w:p>
      <w:pPr>
        <w:spacing w:after="60" w:before="160"/>
      </w:pPr>
      <w:r>
        <w:rPr>
          <w:b/>
          <w:bCs/>
          <w:color w:val="1F3864"/>
          <w:sz w:val="21"/>
          <w:szCs w:val="21"/>
        </w:rPr>
        <w:t xml:space="preserve">Interpretation</w:t>
      </w:r>
    </w:p>
    <w:p>
      <w:pPr>
        <w:spacing w:after="140" w:line="300"/>
      </w:pPr>
      <w:r>
        <w:rPr>
          <w:sz w:val="21"/>
          <w:szCs w:val="21"/>
        </w:rPr>
        <w:t xml:space="preserve">The sample is close to gender-balanced (54% female, 46% male), and dominated by married (52%) and single (40.8%) customers, with very few divorced or widowed respondents. Employment status shows the panel is mostly working adults (Employed 48.8%, Self-employed 25.2%), with smaller shares of students, the unemployed, and retirees. Lagos supplies the largest share of respondents (34.8%), consistent with it being the largest retail catchment, while Kano contributes the smallest share (9.6%). In-store shopping remains the leading channel (38.8%) but digital and social commerce combined (Website + Mobile App + Social Media Order = 61.2%) already outweigh physical shopping, signalling a channel mix in transition. Regular members make up the largest membership band (43.2%), tapering off toward Platinum (8.0%), which is the expected pyramid shape of a tiered loyalty programme. Slightly more than half of customers (55.6%) say they would shop again, leaving a substantial 44.4% at risk of churn.</w:t>
      </w:r>
    </w:p>
    <w:p>
      <w:pPr>
        <w:spacing w:after="60" w:before="100"/>
      </w:pPr>
      <w:r>
        <w:rPr>
          <w:b/>
          <w:bCs/>
          <w:color w:val="1F3864"/>
          <w:sz w:val="21"/>
          <w:szCs w:val="21"/>
        </w:rPr>
        <w:t xml:space="preserve">Key Insights Generated</w:t>
      </w:r>
    </w:p>
    <w:p>
      <w:pPr>
        <w:pStyle w:val="ListParagraph"/>
        <w:numPr>
          <w:ilvl w:val="0"/>
          <w:numId w:val="1"/>
        </w:numPr>
        <w:spacing w:after="60" w:line="280"/>
      </w:pPr>
      <w:r>
        <w:rPr>
          <w:sz w:val="21"/>
          <w:szCs w:val="21"/>
        </w:rPr>
        <w:t xml:space="preserve">Nearly 45% of surveyed customers would NOT shop again — this is the single most urgent business signal in the dataset and motivates several analyses later in this report (logistic regression, discriminant analysis).</w:t>
      </w:r>
    </w:p>
    <w:p>
      <w:pPr>
        <w:pStyle w:val="ListParagraph"/>
        <w:numPr>
          <w:ilvl w:val="0"/>
          <w:numId w:val="1"/>
        </w:numPr>
        <w:spacing w:after="60" w:line="280"/>
      </w:pPr>
      <w:r>
        <w:rPr>
          <w:sz w:val="21"/>
          <w:szCs w:val="21"/>
        </w:rPr>
        <w:t xml:space="preserve">Digital/social channels already exceed in-store share of preference, implying investment priority should shift toward app and social-commerce experience.</w:t>
      </w:r>
    </w:p>
    <w:p>
      <w:pPr>
        <w:pStyle w:val="ListParagraph"/>
        <w:numPr>
          <w:ilvl w:val="0"/>
          <w:numId w:val="1"/>
        </w:numPr>
        <w:spacing w:after="60" w:line="280"/>
      </w:pPr>
      <w:r>
        <w:rPr>
          <w:sz w:val="21"/>
          <w:szCs w:val="21"/>
        </w:rPr>
        <w:t xml:space="preserve">The loyalty pyramid is healthy in shape (most customers Regular, fewest Platinum) but only 8% have reached Platinum, suggesting an upgrade-path opportunity.</w:t>
      </w:r>
    </w:p>
    <w:p>
      <w:pPr>
        <w:pStyle w:val="ListParagraph"/>
        <w:numPr>
          <w:ilvl w:val="0"/>
          <w:numId w:val="1"/>
        </w:numPr>
        <w:spacing w:after="60" w:line="280"/>
      </w:pPr>
      <w:r>
        <w:rPr>
          <w:sz w:val="21"/>
          <w:szCs w:val="21"/>
        </w:rPr>
        <w:t xml:space="preserve">Lagos and Abuja together account for 58% of the sample, so decisions optimised on the full-sample average will be disproportionately Lagos/Abuja-driven.</w:t>
      </w:r>
    </w:p>
    <w:p>
      <w:pPr>
        <w:spacing w:after="200"/>
      </w:pPr>
    </w:p>
    <w:p>
      <w:r>
        <w:br w:type="page"/>
      </w:r>
    </w:p>
    <w:p>
      <w:pPr>
        <w:pStyle w:val="Heading1"/>
        <w:pBdr>
          <w:bottom w:val="single" w:color="1F3864" w:sz="6" w:space="4"/>
        </w:pBdr>
        <w:spacing w:after="200" w:before="400"/>
      </w:pPr>
      <w:r>
        <w:rPr>
          <w:b/>
          <w:bCs/>
          <w:color w:val="1F3864"/>
          <w:sz w:val="30"/>
          <w:szCs w:val="30"/>
        </w:rPr>
        <w:t xml:space="preserve">3. Descriptive Statistics (Analyze &gt; Descriptive Statistics &gt; Descriptives)</w:t>
      </w:r>
    </w:p>
    <w:p>
      <w:pPr>
        <w:spacing w:after="100" w:line="300"/>
      </w:pPr>
      <w:r>
        <w:rPr>
          <w:b/>
          <w:bCs/>
          <w:color w:val="1F3864"/>
          <w:sz w:val="21"/>
          <w:szCs w:val="21"/>
        </w:rPr>
        <w:t xml:space="preserve">Aim of the Analysis: </w:t>
      </w:r>
      <w:r>
        <w:rPr>
          <w:sz w:val="21"/>
          <w:szCs w:val="21"/>
        </w:rPr>
        <w:t xml:space="preserve">To summarise the central tendency, dispersion, and shape (skewness/kurtosis) of every scale (continuous) variable in the dataset.</w:t>
      </w:r>
    </w:p>
    <w:p>
      <w:pPr>
        <w:spacing w:after="100" w:line="300"/>
      </w:pPr>
      <w:r>
        <w:rPr>
          <w:b/>
          <w:bCs/>
          <w:color w:val="1F3864"/>
          <w:sz w:val="21"/>
          <w:szCs w:val="21"/>
        </w:rPr>
        <w:t xml:space="preserve">Columns / Variables Involved: </w:t>
      </w:r>
      <w:r>
        <w:rPr>
          <w:sz w:val="21"/>
          <w:szCs w:val="21"/>
        </w:rPr>
        <w:t xml:space="preserve">Age, MonthlyIncome_Naira, YearsAsCustomer, VisitsPerMonth, MonthlySpend_Naira, OverallSatisfaction, LikelihoodToRecommend, ReturnsPast6Months, Q1-Q5 satisfaction items</w:t>
      </w:r>
    </w:p>
    <w:p>
      <w:pPr>
        <w:spacing w:after="60" w:before="100"/>
      </w:pPr>
      <w:r>
        <w:rPr>
          <w:b/>
          <w:bCs/>
          <w:color w:val="1F3864"/>
          <w:sz w:val="21"/>
          <w:szCs w:val="21"/>
        </w:rPr>
        <w:t xml:space="preserve">Step-by-Step Procedure in SPSS</w:t>
      </w:r>
    </w:p>
    <w:p>
      <w:pPr>
        <w:spacing w:after="60" w:line="280"/>
      </w:pPr>
      <w:r>
        <w:rPr>
          <w:sz w:val="21"/>
          <w:szCs w:val="21"/>
        </w:rPr>
        <w:t xml:space="preserve">1. Analyze &gt; Descriptive Statistics &gt; Descriptives.</w:t>
      </w:r>
    </w:p>
    <w:p>
      <w:pPr>
        <w:spacing w:after="60" w:line="280"/>
      </w:pPr>
      <w:r>
        <w:rPr>
          <w:sz w:val="21"/>
          <w:szCs w:val="21"/>
        </w:rPr>
        <w:t xml:space="preserve">2. Move all scale variables into the Variable(s) box.</w:t>
      </w:r>
    </w:p>
    <w:p>
      <w:pPr>
        <w:spacing w:after="60" w:line="280"/>
      </w:pPr>
      <w:r>
        <w:rPr>
          <w:sz w:val="21"/>
          <w:szCs w:val="21"/>
        </w:rPr>
        <w:t xml:space="preserve">3. Click Options and tick Mean, Std. Deviation, Minimum, Maximum, S.E. mean, Skewness, Kurtosis.</w:t>
      </w:r>
    </w:p>
    <w:p>
      <w:pPr>
        <w:spacing w:after="60" w:line="280"/>
      </w:pPr>
      <w:r>
        <w:rPr>
          <w:sz w:val="21"/>
          <w:szCs w:val="21"/>
        </w:rPr>
        <w:t xml:space="preserve">4. Click Continue, then OK.</w:t>
      </w:r>
    </w:p>
    <w:p>
      <w:pPr>
        <w:spacing w:after="80" w:before="140"/>
      </w:pPr>
      <w:r>
        <w:rPr>
          <w:b/>
          <w:bCs/>
          <w:color w:val="1F3864"/>
          <w:sz w:val="21"/>
          <w:szCs w:val="21"/>
        </w:rPr>
        <w:t xml:space="preserve">SPSS Output — Descriptive Statistics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300"/>
        <w:gridCol w:w="1300"/>
        <w:gridCol w:w="900"/>
        <w:gridCol w:w="900"/>
        <w:gridCol w:w="900"/>
        <w:gridCol w:w="1400"/>
      </w:tblGrid>
      <w:tr>
        <w:trPr>
          <w:tblHeader/>
        </w:trPr>
        <w:tc>
          <w:tcPr>
            <w:tcW w:type="dxa" w:w="2400"/>
            <w:shd w:fill="1F3864" w:color="auto"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900"/>
            <w:shd w:fill="1F3864" w:color="auto"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300"/>
            <w:shd w:fill="1F3864" w:color="auto" w:val="clear"/>
            <w:tcMar>
              <w:top w:type="dxa" w:w="60"/>
              <w:left w:type="dxa" w:w="100"/>
              <w:bottom w:type="dxa" w:w="60"/>
              <w:right w:type="dxa" w:w="100"/>
            </w:tcMar>
            <w:vAlign w:val="center"/>
          </w:tcPr>
          <w:p>
            <w:pPr>
              <w:jc w:val="center"/>
            </w:pPr>
            <w:r>
              <w:rPr>
                <w:b/>
                <w:bCs/>
                <w:color w:val="FFFFFF"/>
                <w:sz w:val="19"/>
                <w:szCs w:val="19"/>
              </w:rPr>
              <w:t xml:space="preserve">Mean</w:t>
            </w:r>
          </w:p>
        </w:tc>
        <w:tc>
          <w:tcPr>
            <w:tcW w:type="dxa" w:w="1300"/>
            <w:shd w:fill="1F3864" w:color="auto" w:val="clear"/>
            <w:tcMar>
              <w:top w:type="dxa" w:w="60"/>
              <w:left w:type="dxa" w:w="100"/>
              <w:bottom w:type="dxa" w:w="60"/>
              <w:right w:type="dxa" w:w="100"/>
            </w:tcMar>
            <w:vAlign w:val="center"/>
          </w:tcPr>
          <w:p>
            <w:pPr>
              <w:jc w:val="center"/>
            </w:pPr>
            <w:r>
              <w:rPr>
                <w:b/>
                <w:bCs/>
                <w:color w:val="FFFFFF"/>
                <w:sz w:val="19"/>
                <w:szCs w:val="19"/>
              </w:rPr>
              <w:t xml:space="preserve">SD</w:t>
            </w:r>
          </w:p>
        </w:tc>
        <w:tc>
          <w:tcPr>
            <w:tcW w:type="dxa" w:w="900"/>
            <w:shd w:fill="1F3864" w:color="auto" w:val="clear"/>
            <w:tcMar>
              <w:top w:type="dxa" w:w="60"/>
              <w:left w:type="dxa" w:w="100"/>
              <w:bottom w:type="dxa" w:w="60"/>
              <w:right w:type="dxa" w:w="100"/>
            </w:tcMar>
            <w:vAlign w:val="center"/>
          </w:tcPr>
          <w:p>
            <w:pPr>
              <w:jc w:val="center"/>
            </w:pPr>
            <w:r>
              <w:rPr>
                <w:b/>
                <w:bCs/>
                <w:color w:val="FFFFFF"/>
                <w:sz w:val="19"/>
                <w:szCs w:val="19"/>
              </w:rPr>
              <w:t xml:space="preserve">Min</w:t>
            </w:r>
          </w:p>
        </w:tc>
        <w:tc>
          <w:tcPr>
            <w:tcW w:type="dxa" w:w="900"/>
            <w:shd w:fill="1F3864" w:color="auto" w:val="clear"/>
            <w:tcMar>
              <w:top w:type="dxa" w:w="60"/>
              <w:left w:type="dxa" w:w="100"/>
              <w:bottom w:type="dxa" w:w="60"/>
              <w:right w:type="dxa" w:w="100"/>
            </w:tcMar>
            <w:vAlign w:val="center"/>
          </w:tcPr>
          <w:p>
            <w:pPr>
              <w:jc w:val="center"/>
            </w:pPr>
            <w:r>
              <w:rPr>
                <w:b/>
                <w:bCs/>
                <w:color w:val="FFFFFF"/>
                <w:sz w:val="19"/>
                <w:szCs w:val="19"/>
              </w:rPr>
              <w:t xml:space="preserve">Max</w:t>
            </w:r>
          </w:p>
        </w:tc>
        <w:tc>
          <w:tcPr>
            <w:tcW w:type="dxa" w:w="900"/>
            <w:shd w:fill="1F3864" w:color="auto" w:val="clear"/>
            <w:tcMar>
              <w:top w:type="dxa" w:w="60"/>
              <w:left w:type="dxa" w:w="100"/>
              <w:bottom w:type="dxa" w:w="60"/>
              <w:right w:type="dxa" w:w="100"/>
            </w:tcMar>
            <w:vAlign w:val="center"/>
          </w:tcPr>
          <w:p>
            <w:pPr>
              <w:jc w:val="center"/>
            </w:pPr>
            <w:r>
              <w:rPr>
                <w:b/>
                <w:bCs/>
                <w:color w:val="FFFFFF"/>
                <w:sz w:val="19"/>
                <w:szCs w:val="19"/>
              </w:rPr>
              <w:t xml:space="preserve">Skew</w:t>
            </w:r>
          </w:p>
        </w:tc>
        <w:tc>
          <w:tcPr>
            <w:tcW w:type="dxa" w:w="1400"/>
            <w:shd w:fill="1F3864" w:color="auto" w:val="clear"/>
            <w:tcMar>
              <w:top w:type="dxa" w:w="60"/>
              <w:left w:type="dxa" w:w="100"/>
              <w:bottom w:type="dxa" w:w="60"/>
              <w:right w:type="dxa" w:w="100"/>
            </w:tcMar>
            <w:vAlign w:val="center"/>
          </w:tcPr>
          <w:p>
            <w:pPr>
              <w:jc w:val="center"/>
            </w:pPr>
            <w:r>
              <w:rPr>
                <w:b/>
                <w:bCs/>
                <w:color w:val="FFFFFF"/>
                <w:sz w:val="19"/>
                <w:szCs w:val="19"/>
              </w:rPr>
              <w:t xml:space="preserve">Kurtosis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Age</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42.80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13.98</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18</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65</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-0.145</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-1.101</w:t>
            </w:r>
          </w:p>
        </w:tc>
      </w:tr>
      <w:tr>
        <w:tc>
          <w:tcPr>
            <w:tcW w:type="dxa" w:w="24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MonthlyIncome_Naira</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186,894</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87,338.75</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35,000</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366,600</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0.045</w:t>
            </w:r>
          </w:p>
        </w:tc>
        <w:tc>
          <w:tcPr>
            <w:tcW w:type="dxa" w:w="1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-1.079</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YearsAsCustomer</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242</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4.76</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3.57</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0.2</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13.2</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0.642</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-0.539</w:t>
            </w:r>
          </w:p>
        </w:tc>
      </w:tr>
      <w:tr>
        <w:tc>
          <w:tcPr>
            <w:tcW w:type="dxa" w:w="24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VisitsPerMonth</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2.45</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1.86</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10</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0.980</w:t>
            </w:r>
          </w:p>
        </w:tc>
        <w:tc>
          <w:tcPr>
            <w:tcW w:type="dxa" w:w="1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0.943</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MonthlySpend_Naira</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233</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29,643.35</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17,654.96</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5,000</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96,200</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1.135</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1.374</w:t>
            </w:r>
          </w:p>
        </w:tc>
      </w:tr>
      <w:tr>
        <w:tc>
          <w:tcPr>
            <w:tcW w:type="dxa" w:w="24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OverallSatisfaction</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236</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5.50</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2.12</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10</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0.131</w:t>
            </w:r>
          </w:p>
        </w:tc>
        <w:tc>
          <w:tcPr>
            <w:tcW w:type="dxa" w:w="1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-0.409</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LikelihoodToRecommend</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5.00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2.25</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10</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0.033</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-0.232</w:t>
            </w:r>
          </w:p>
        </w:tc>
      </w:tr>
      <w:tr>
        <w:tc>
          <w:tcPr>
            <w:tcW w:type="dxa" w:w="24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ReturnsPast6Months</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1.57</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1.44</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6</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1.007</w:t>
            </w:r>
          </w:p>
        </w:tc>
        <w:tc>
          <w:tcPr>
            <w:tcW w:type="dxa" w:w="1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0.534</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Q1_ProductAvailability</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3.02</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1.18</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-0.113</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-0.794</w:t>
            </w:r>
          </w:p>
        </w:tc>
      </w:tr>
      <w:tr>
        <w:tc>
          <w:tcPr>
            <w:tcW w:type="dxa" w:w="24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Q2_StaffHelpfulness</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2.99</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1.18</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0.001</w:t>
            </w:r>
          </w:p>
        </w:tc>
        <w:tc>
          <w:tcPr>
            <w:tcW w:type="dxa" w:w="1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-0.842</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Q3_StoreCleanliness</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239</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2.93</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1.19</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-0.059</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-0.968</w:t>
            </w:r>
          </w:p>
        </w:tc>
      </w:tr>
      <w:tr>
        <w:tc>
          <w:tcPr>
            <w:tcW w:type="dxa" w:w="24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Q4_CheckoutSpeed</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2.97</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1.05</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0.141</w:t>
            </w:r>
          </w:p>
        </w:tc>
        <w:tc>
          <w:tcPr>
            <w:tcW w:type="dxa" w:w="1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-0.527</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Q5_ValueForMoney</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3.06</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1.18</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-0.080</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-0.847</w:t>
            </w:r>
          </w:p>
        </w:tc>
      </w:tr>
    </w:tbl>
    <w:p>
      <w:pPr>
        <w:spacing w:after="60" w:before="160"/>
      </w:pPr>
      <w:r>
        <w:rPr>
          <w:b/>
          <w:bCs/>
          <w:color w:val="1F3864"/>
          <w:sz w:val="21"/>
          <w:szCs w:val="21"/>
        </w:rPr>
        <w:t xml:space="preserve">Interpretation</w:t>
      </w:r>
    </w:p>
    <w:p>
      <w:pPr>
        <w:spacing w:after="140" w:line="300"/>
      </w:pPr>
      <w:r>
        <w:rPr>
          <w:sz w:val="21"/>
          <w:szCs w:val="21"/>
        </w:rPr>
        <w:t xml:space="preserve">The average customer is 42.8 years old (SD = 13.98), reports a monthly income of ₦186,894 (SD = ₦87,339 — a wide spread reflecting the mixed employment composition), and has been a customer for 4.76 years. Customers visit roughly 2-3 times a month and spend an average of ₦29,643 monthly, though the standard deviation (₦17,655) and positive skew (1.135) show a right-tailed distribution — most customers spend modestly while a minority of high-spenders pull the mean upward. Overall satisfaction (mean 5.50/10) and likelihood-to-recommend (mean 5.00/10) sit almost exactly at the midpoint of their 0-10 scales, indicating a customer base that is, on average, ambivalent rather than delighted or detractor-heavy. The five Likert satisfaction items (Q1-Q5) cluster tightly around a mean of ~3.0 on a 1-5 scale with near-identical standard deviations (~1.18), suggesting customers rate all five service dimensions similarly rather than singling one out as distinctly better or worse. Returns (mean 1.57 per 6 months, skew 1.007) show most customers return few or no items, with a smaller tail of frequent returners.</w:t>
      </w:r>
    </w:p>
    <w:p>
      <w:pPr>
        <w:spacing w:after="60" w:before="100"/>
      </w:pPr>
      <w:r>
        <w:rPr>
          <w:b/>
          <w:bCs/>
          <w:color w:val="1F3864"/>
          <w:sz w:val="21"/>
          <w:szCs w:val="21"/>
        </w:rPr>
        <w:t xml:space="preserve">Key Insights Generated</w:t>
      </w:r>
    </w:p>
    <w:p>
      <w:pPr>
        <w:pStyle w:val="ListParagraph"/>
        <w:numPr>
          <w:ilvl w:val="0"/>
          <w:numId w:val="1"/>
        </w:numPr>
        <w:spacing w:after="60" w:line="280"/>
      </w:pPr>
      <w:r>
        <w:rPr>
          <w:sz w:val="21"/>
          <w:szCs w:val="21"/>
        </w:rPr>
        <w:t xml:space="preserve">Satisfaction and recommendation scores sitting at the scale midpoint (~5/10) rather than skewed positive is itself a warning sign for a retail brand — a healthy loyalty base usually averages 7+ on a 10-point scale.</w:t>
      </w:r>
    </w:p>
    <w:p>
      <w:pPr>
        <w:pStyle w:val="ListParagraph"/>
        <w:numPr>
          <w:ilvl w:val="0"/>
          <w:numId w:val="1"/>
        </w:numPr>
        <w:spacing w:after="60" w:line="280"/>
      </w:pPr>
      <w:r>
        <w:rPr>
          <w:sz w:val="21"/>
          <w:szCs w:val="21"/>
        </w:rPr>
        <w:t xml:space="preserve">The positive skew in MonthlySpend_Naira (1.135) means the arithmetic mean overstates "typical" spend; the median or a log-transform should be preferred for any modelling that assumes normality.</w:t>
      </w:r>
    </w:p>
    <w:p>
      <w:pPr>
        <w:pStyle w:val="ListParagraph"/>
        <w:numPr>
          <w:ilvl w:val="0"/>
          <w:numId w:val="1"/>
        </w:numPr>
        <w:spacing w:after="60" w:line="280"/>
      </w:pPr>
      <w:r>
        <w:rPr>
          <w:sz w:val="21"/>
          <w:szCs w:val="21"/>
        </w:rPr>
        <w:t xml:space="preserve">Near-equal means and SDs across Q1-Q5 imply the five service dimensions may be measuring one underlying "service quality" construct rather than five distinct ones — formally tested later via Reliability and Factor Analysis.</w:t>
      </w:r>
    </w:p>
    <w:p>
      <w:pPr>
        <w:spacing w:after="200"/>
      </w:pPr>
    </w:p>
    <w:p>
      <w:r>
        <w:br w:type="page"/>
      </w:r>
    </w:p>
    <w:p>
      <w:pPr>
        <w:pStyle w:val="Heading1"/>
        <w:pBdr>
          <w:bottom w:val="single" w:color="1F3864" w:sz="6" w:space="4"/>
        </w:pBdr>
        <w:spacing w:after="200" w:before="400"/>
      </w:pPr>
      <w:r>
        <w:rPr>
          <w:b/>
          <w:bCs/>
          <w:color w:val="1F3864"/>
          <w:sz w:val="30"/>
          <w:szCs w:val="30"/>
        </w:rPr>
        <w:t xml:space="preserve">4. Explore — Tests of Normality (Analyze &gt; Descriptive Statistics &gt; Explore)</w:t>
      </w:r>
    </w:p>
    <w:p>
      <w:pPr>
        <w:spacing w:after="100" w:line="300"/>
      </w:pPr>
      <w:r>
        <w:rPr>
          <w:b/>
          <w:bCs/>
          <w:color w:val="1F3864"/>
          <w:sz w:val="21"/>
          <w:szCs w:val="21"/>
        </w:rPr>
        <w:t xml:space="preserve">Aim of the Analysis: </w:t>
      </w:r>
      <w:r>
        <w:rPr>
          <w:sz w:val="21"/>
          <w:szCs w:val="21"/>
        </w:rPr>
        <w:t xml:space="preserve">To formally test whether key scale variables are normally distributed, which determines whether parametric (t-test, ANOVA, Pearson correlation) or non-parametric (Mann-Whitney, Kruskal-Wallis, Spearman) procedures are appropriate.</w:t>
      </w:r>
    </w:p>
    <w:p>
      <w:pPr>
        <w:spacing w:after="100" w:line="300"/>
      </w:pPr>
      <w:r>
        <w:rPr>
          <w:b/>
          <w:bCs/>
          <w:color w:val="1F3864"/>
          <w:sz w:val="21"/>
          <w:szCs w:val="21"/>
        </w:rPr>
        <w:t xml:space="preserve">Columns / Variables Involved: </w:t>
      </w:r>
      <w:r>
        <w:rPr>
          <w:sz w:val="21"/>
          <w:szCs w:val="21"/>
        </w:rPr>
        <w:t xml:space="preserve">MonthlySpend_Naira, OverallSatisfaction, MonthlyIncome_Naira, Age, YearsAsCustomer</w:t>
      </w:r>
    </w:p>
    <w:p>
      <w:pPr>
        <w:spacing w:after="60" w:before="100"/>
      </w:pPr>
      <w:r>
        <w:rPr>
          <w:b/>
          <w:bCs/>
          <w:color w:val="1F3864"/>
          <w:sz w:val="21"/>
          <w:szCs w:val="21"/>
        </w:rPr>
        <w:t xml:space="preserve">Step-by-Step Procedure in SPSS</w:t>
      </w:r>
    </w:p>
    <w:p>
      <w:pPr>
        <w:spacing w:after="60" w:line="280"/>
      </w:pPr>
      <w:r>
        <w:rPr>
          <w:sz w:val="21"/>
          <w:szCs w:val="21"/>
        </w:rPr>
        <w:t xml:space="preserve">1. Analyze &gt; Descriptive Statistics &gt; Explore.</w:t>
      </w:r>
    </w:p>
    <w:p>
      <w:pPr>
        <w:spacing w:after="60" w:line="280"/>
      </w:pPr>
      <w:r>
        <w:rPr>
          <w:sz w:val="21"/>
          <w:szCs w:val="21"/>
        </w:rPr>
        <w:t xml:space="preserve">2. Move the five scale variables into the Dependent List.</w:t>
      </w:r>
    </w:p>
    <w:p>
      <w:pPr>
        <w:spacing w:after="60" w:line="280"/>
      </w:pPr>
      <w:r>
        <w:rPr>
          <w:sz w:val="21"/>
          <w:szCs w:val="21"/>
        </w:rPr>
        <w:t xml:space="preserve">3. Click Plots, tick "Normality plots with tests", select Both for Boxplots.</w:t>
      </w:r>
    </w:p>
    <w:p>
      <w:pPr>
        <w:spacing w:after="60" w:line="280"/>
      </w:pPr>
      <w:r>
        <w:rPr>
          <w:sz w:val="21"/>
          <w:szCs w:val="21"/>
        </w:rPr>
        <w:t xml:space="preserve">4. Click Continue, then OK.</w:t>
      </w:r>
    </w:p>
    <w:p>
      <w:pPr>
        <w:spacing w:after="80" w:before="140"/>
      </w:pPr>
      <w:r>
        <w:rPr>
          <w:b/>
          <w:bCs/>
          <w:color w:val="1F3864"/>
          <w:sz w:val="21"/>
          <w:szCs w:val="21"/>
        </w:rPr>
        <w:t xml:space="preserve">SPSS Output — Tests of Normality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900"/>
        <w:gridCol w:w="1500"/>
        <w:gridCol w:w="1900"/>
        <w:gridCol w:w="1200"/>
      </w:tblGrid>
      <w:tr>
        <w:trPr>
          <w:tblHeader/>
        </w:trPr>
        <w:tc>
          <w:tcPr>
            <w:tcW w:type="dxa" w:w="2600"/>
            <w:shd w:fill="1F3864" w:color="auto"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1400"/>
            <w:shd w:fill="1F3864" w:color="auto" w:val="clear"/>
            <w:tcMar>
              <w:top w:type="dxa" w:w="60"/>
              <w:left w:type="dxa" w:w="100"/>
              <w:bottom w:type="dxa" w:w="60"/>
              <w:right w:type="dxa" w:w="100"/>
            </w:tcMar>
            <w:vAlign w:val="center"/>
          </w:tcPr>
          <w:p>
            <w:pPr>
              <w:jc w:val="center"/>
            </w:pPr>
            <w:r>
              <w:rPr>
                <w:b/>
                <w:bCs/>
                <w:color w:val="FFFFFF"/>
                <w:sz w:val="19"/>
                <w:szCs w:val="19"/>
              </w:rPr>
              <w:t xml:space="preserve">Shapiro-Wilk W</w:t>
            </w:r>
          </w:p>
        </w:tc>
        <w:tc>
          <w:tcPr>
            <w:tcW w:type="dxa" w:w="900"/>
            <w:shd w:fill="1F3864" w:color="auto" w:val="clear"/>
            <w:tcMar>
              <w:top w:type="dxa" w:w="60"/>
              <w:left w:type="dxa" w:w="100"/>
              <w:bottom w:type="dxa" w:w="60"/>
              <w:right w:type="dxa" w:w="100"/>
            </w:tcMar>
            <w:vAlign w:val="center"/>
          </w:tcPr>
          <w:p>
            <w:pPr>
              <w:jc w:val="center"/>
            </w:pPr>
            <w:r>
              <w:rPr>
                <w:b/>
                <w:bCs/>
                <w:color w:val="FFFFFF"/>
                <w:sz w:val="19"/>
                <w:szCs w:val="19"/>
              </w:rPr>
              <w:t xml:space="preserve">df</w:t>
            </w:r>
          </w:p>
        </w:tc>
        <w:tc>
          <w:tcPr>
            <w:tcW w:type="dxa" w:w="1500"/>
            <w:shd w:fill="1F3864" w:color="auto" w:val="clear"/>
            <w:tcMar>
              <w:top w:type="dxa" w:w="60"/>
              <w:left w:type="dxa" w:w="100"/>
              <w:bottom w:type="dxa" w:w="60"/>
              <w:right w:type="dxa" w:w="100"/>
            </w:tcMar>
            <w:vAlign w:val="center"/>
          </w:tcPr>
          <w:p>
            <w:pPr>
              <w:jc w:val="center"/>
            </w:pPr>
            <w:r>
              <w:rPr>
                <w:b/>
                <w:bCs/>
                <w:color w:val="FFFFFF"/>
                <w:sz w:val="19"/>
                <w:szCs w:val="19"/>
              </w:rPr>
              <w:t xml:space="preserve">Sig. (p)</w:t>
            </w:r>
          </w:p>
        </w:tc>
        <w:tc>
          <w:tcPr>
            <w:tcW w:type="dxa" w:w="1900"/>
            <w:shd w:fill="1F3864" w:color="auto" w:val="clear"/>
            <w:tcMar>
              <w:top w:type="dxa" w:w="60"/>
              <w:left w:type="dxa" w:w="100"/>
              <w:bottom w:type="dxa" w:w="60"/>
              <w:right w:type="dxa" w:w="100"/>
            </w:tcMar>
            <w:vAlign w:val="center"/>
          </w:tcPr>
          <w:p>
            <w:pPr>
              <w:jc w:val="center"/>
            </w:pPr>
            <w:r>
              <w:rPr>
                <w:b/>
                <w:bCs/>
                <w:color w:val="FFFFFF"/>
                <w:sz w:val="19"/>
                <w:szCs w:val="19"/>
              </w:rPr>
              <w:t xml:space="preserve">Kolmogorov-Smirnov D</w:t>
            </w:r>
          </w:p>
        </w:tc>
        <w:tc>
          <w:tcPr>
            <w:tcW w:type="dxa" w:w="1200"/>
            <w:shd w:fill="1F3864" w:color="auto" w:val="clear"/>
            <w:tcMar>
              <w:top w:type="dxa" w:w="60"/>
              <w:left w:type="dxa" w:w="100"/>
              <w:bottom w:type="dxa" w:w="60"/>
              <w:right w:type="dxa" w:w="100"/>
            </w:tcMar>
            <w:vAlign w:val="center"/>
          </w:tcPr>
          <w:p>
            <w:pPr>
              <w:jc w:val="center"/>
            </w:pPr>
            <w:r>
              <w:rPr>
                <w:b/>
                <w:bCs/>
                <w:color w:val="FFFFFF"/>
                <w:sz w:val="19"/>
                <w:szCs w:val="19"/>
              </w:rPr>
              <w:t xml:space="preserve">Sig. (p)</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MonthlySpend_Naira</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0.920</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233</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&lt;0.001</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0.095</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.027</w:t>
            </w:r>
          </w:p>
        </w:tc>
      </w:tr>
      <w:tr>
        <w:tc>
          <w:tcPr>
            <w:tcW w:type="dxa" w:w="2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OverallSatisfaction</w:t>
            </w:r>
          </w:p>
        </w:tc>
        <w:tc>
          <w:tcPr>
            <w:tcW w:type="dxa" w:w="1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0.970</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236</w:t>
            </w:r>
          </w:p>
        </w:tc>
        <w:tc>
          <w:tcPr>
            <w:tcW w:type="dxa" w:w="15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&lt;0.001</w:t>
            </w:r>
          </w:p>
        </w:tc>
        <w:tc>
          <w:tcPr>
            <w:tcW w:type="dxa" w:w="1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0.113</w:t>
            </w:r>
          </w:p>
        </w:tc>
        <w:tc>
          <w:tcPr>
            <w:tcW w:type="dxa" w:w="1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.004</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MonthlyIncome_Naira</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0.965</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&lt;0.001</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0.075</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.114</w:t>
            </w:r>
          </w:p>
        </w:tc>
      </w:tr>
      <w:tr>
        <w:tc>
          <w:tcPr>
            <w:tcW w:type="dxa" w:w="2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Age</w:t>
            </w:r>
          </w:p>
        </w:tc>
        <w:tc>
          <w:tcPr>
            <w:tcW w:type="dxa" w:w="1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0.954</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5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&lt;0.001</w:t>
            </w:r>
          </w:p>
        </w:tc>
        <w:tc>
          <w:tcPr>
            <w:tcW w:type="dxa" w:w="1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0.080</w:t>
            </w:r>
          </w:p>
        </w:tc>
        <w:tc>
          <w:tcPr>
            <w:tcW w:type="dxa" w:w="1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.080</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YearsAsCustomer</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0.931</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242</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&lt;0.001</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0.101</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.013</w:t>
            </w:r>
          </w:p>
        </w:tc>
      </w:tr>
    </w:tbl>
    <w:p>
      <w:pPr>
        <w:spacing w:after="60" w:before="160"/>
      </w:pPr>
      <w:r>
        <w:rPr>
          <w:b/>
          <w:bCs/>
          <w:color w:val="1F3864"/>
          <w:sz w:val="21"/>
          <w:szCs w:val="21"/>
        </w:rPr>
        <w:t xml:space="preserve">Interpretation</w:t>
      </w:r>
    </w:p>
    <w:p>
      <w:pPr>
        <w:spacing w:after="140" w:line="300"/>
      </w:pPr>
      <w:r>
        <w:rPr>
          <w:sz w:val="21"/>
          <w:szCs w:val="21"/>
        </w:rPr>
        <w:t xml:space="preserve">For every variable tested, the Shapiro-Wilk statistic is significant at p &lt; .001, meaning the null hypothesis of normality is rejected in each case. The Kolmogorov-Smirnov test agrees for MonthlySpend_Naira, OverallSatisfaction, and YearsAsCustomer (p &lt; .05) while MonthlyIncome_Naira and Age are borderline (p = .114 and .080 respectively, i.e. not significant at the conventional 5% level under K-S, though Shapiro-Wilk — the more powerful test for this sample size — still flags them as non-normal). In practical terms, none of these five variables can be safely assumed normally distributed.</w:t>
      </w:r>
    </w:p>
    <w:p>
      <w:pPr>
        <w:spacing w:after="60" w:before="100"/>
      </w:pPr>
      <w:r>
        <w:rPr>
          <w:b/>
          <w:bCs/>
          <w:color w:val="1F3864"/>
          <w:sz w:val="21"/>
          <w:szCs w:val="21"/>
        </w:rPr>
        <w:t xml:space="preserve">Key Insights Generated</w:t>
      </w:r>
    </w:p>
    <w:p>
      <w:pPr>
        <w:pStyle w:val="ListParagraph"/>
        <w:numPr>
          <w:ilvl w:val="0"/>
          <w:numId w:val="1"/>
        </w:numPr>
        <w:spacing w:after="60" w:line="280"/>
      </w:pPr>
      <w:r>
        <w:rPr>
          <w:sz w:val="21"/>
          <w:szCs w:val="21"/>
        </w:rPr>
        <w:t xml:space="preserve">Because MonthlySpend_Naira and OverallSatisfaction are both non-normal, non-parametric alternatives (Mann-Whitney, Kruskal-Wallis, Spearman) are reported alongside their parametric counterparts later in this report for robustness.</w:t>
      </w:r>
    </w:p>
    <w:p>
      <w:pPr>
        <w:pStyle w:val="ListParagraph"/>
        <w:numPr>
          <w:ilvl w:val="0"/>
          <w:numId w:val="1"/>
        </w:numPr>
        <w:spacing w:after="60" w:line="280"/>
      </w:pPr>
      <w:r>
        <w:rPr>
          <w:sz w:val="21"/>
          <w:szCs w:val="21"/>
        </w:rPr>
        <w:t xml:space="preserve">With N &gt; 200 in every case, parametric tests (t-test, ANOVA, Pearson, OLS regression) remain reasonably robust to non-normality via the Central Limit Theorem, so both families of test are retained and shown to corroborate one another.</w:t>
      </w:r>
    </w:p>
    <w:p>
      <w:pPr>
        <w:pStyle w:val="ListParagraph"/>
        <w:numPr>
          <w:ilvl w:val="0"/>
          <w:numId w:val="1"/>
        </w:numPr>
        <w:spacing w:after="60" w:line="280"/>
      </w:pPr>
      <w:r>
        <w:rPr>
          <w:sz w:val="21"/>
          <w:szCs w:val="21"/>
        </w:rPr>
        <w:t xml:space="preserve">Age and Income are only mildly non-normal (flat/broad rather than heavily skewed), consistent with a deliberately stratified sampling design.</w:t>
      </w:r>
    </w:p>
    <w:p>
      <w:pPr>
        <w:spacing w:after="200"/>
      </w:pPr>
    </w:p>
    <w:p>
      <w:r>
        <w:br w:type="page"/>
      </w:r>
    </w:p>
    <w:p>
      <w:pPr>
        <w:pStyle w:val="Heading1"/>
        <w:pBdr>
          <w:bottom w:val="single" w:color="1F3864" w:sz="6" w:space="4"/>
        </w:pBdr>
        <w:spacing w:after="200" w:before="400"/>
      </w:pPr>
      <w:r>
        <w:rPr>
          <w:b/>
          <w:bCs/>
          <w:color w:val="1F3864"/>
          <w:sz w:val="30"/>
          <w:szCs w:val="30"/>
        </w:rPr>
        <w:t xml:space="preserve">5. Reliability Analysis — Cronbach's Alpha (Analyze &gt; Scale &gt; Reliability Analysis)</w:t>
      </w:r>
    </w:p>
    <w:p>
      <w:pPr>
        <w:spacing w:after="100" w:line="300"/>
      </w:pPr>
      <w:r>
        <w:rPr>
          <w:b/>
          <w:bCs/>
          <w:color w:val="1F3864"/>
          <w:sz w:val="21"/>
          <w:szCs w:val="21"/>
        </w:rPr>
        <w:t xml:space="preserve">Aim of the Analysis: </w:t>
      </w:r>
      <w:r>
        <w:rPr>
          <w:sz w:val="21"/>
          <w:szCs w:val="21"/>
        </w:rPr>
        <w:t xml:space="preserve">To test whether the five satisfaction items (Q1-Q5) reliably measure a single underlying construct ("perceived service quality") before they are combined into a composite score or used in regression/factor analysis.</w:t>
      </w:r>
    </w:p>
    <w:p>
      <w:pPr>
        <w:spacing w:after="100" w:line="300"/>
      </w:pPr>
      <w:r>
        <w:rPr>
          <w:b/>
          <w:bCs/>
          <w:color w:val="1F3864"/>
          <w:sz w:val="21"/>
          <w:szCs w:val="21"/>
        </w:rPr>
        <w:t xml:space="preserve">Columns / Variables Involved: </w:t>
      </w:r>
      <w:r>
        <w:rPr>
          <w:sz w:val="21"/>
          <w:szCs w:val="21"/>
        </w:rPr>
        <w:t xml:space="preserve">Q1_ProductAvailability, Q2_StaffHelpfulness, Q3_StoreCleanliness, Q4_CheckoutSpeed, Q5_ValueForMoney</w:t>
      </w:r>
    </w:p>
    <w:p>
      <w:pPr>
        <w:spacing w:after="60" w:before="100"/>
      </w:pPr>
      <w:r>
        <w:rPr>
          <w:b/>
          <w:bCs/>
          <w:color w:val="1F3864"/>
          <w:sz w:val="21"/>
          <w:szCs w:val="21"/>
        </w:rPr>
        <w:t xml:space="preserve">Step-by-Step Procedure in SPSS</w:t>
      </w:r>
    </w:p>
    <w:p>
      <w:pPr>
        <w:spacing w:after="60" w:line="280"/>
      </w:pPr>
      <w:r>
        <w:rPr>
          <w:sz w:val="21"/>
          <w:szCs w:val="21"/>
        </w:rPr>
        <w:t xml:space="preserve">1. Analyze &gt; Scale &gt; Reliability Analysis.</w:t>
      </w:r>
    </w:p>
    <w:p>
      <w:pPr>
        <w:spacing w:after="60" w:line="280"/>
      </w:pPr>
      <w:r>
        <w:rPr>
          <w:sz w:val="21"/>
          <w:szCs w:val="21"/>
        </w:rPr>
        <w:t xml:space="preserve">2. Move Q1 through Q5 into the Items box.</w:t>
      </w:r>
    </w:p>
    <w:p>
      <w:pPr>
        <w:spacing w:after="60" w:line="280"/>
      </w:pPr>
      <w:r>
        <w:rPr>
          <w:sz w:val="21"/>
          <w:szCs w:val="21"/>
        </w:rPr>
        <w:t xml:space="preserve">3. Set Model to Alpha.</w:t>
      </w:r>
    </w:p>
    <w:p>
      <w:pPr>
        <w:spacing w:after="60" w:line="280"/>
      </w:pPr>
      <w:r>
        <w:rPr>
          <w:sz w:val="21"/>
          <w:szCs w:val="21"/>
        </w:rPr>
        <w:t xml:space="preserve">4. Click Statistics, tick "Scale if item deleted" and "Item", "Scale", "Correlations" under Inter-Item.</w:t>
      </w:r>
    </w:p>
    <w:p>
      <w:pPr>
        <w:spacing w:after="60" w:line="280"/>
      </w:pPr>
      <w:r>
        <w:rPr>
          <w:sz w:val="21"/>
          <w:szCs w:val="21"/>
        </w:rPr>
        <w:t xml:space="preserve">5. Click Continue, then OK.</w:t>
      </w:r>
    </w:p>
    <w:p>
      <w:pPr>
        <w:spacing w:after="80" w:before="140"/>
      </w:pPr>
      <w:r>
        <w:rPr>
          <w:b/>
          <w:bCs/>
          <w:color w:val="1F3864"/>
          <w:sz w:val="21"/>
          <w:szCs w:val="21"/>
        </w:rPr>
        <w:t xml:space="preserve">SPSS Output</w:t>
      </w:r>
    </w:p>
    <w:p>
      <w:pPr>
        <w:pStyle w:val="Heading3"/>
        <w:spacing w:after="90" w:before="180"/>
      </w:pPr>
      <w:r>
        <w:rPr>
          <w:b/>
          <w:bCs/>
          <w:i w:val="false"/>
          <w:iCs w:val="false"/>
          <w:color w:val="1F3864"/>
          <w:sz w:val="21"/>
          <w:szCs w:val="21"/>
        </w:rPr>
        <w:t xml:space="preserve">Reliability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Cronbach's Alpha</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N of Items</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N (listwise)</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0.912</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239</w:t>
            </w:r>
          </w:p>
        </w:tc>
      </w:tr>
    </w:tbl>
    <w:p>
      <w:pPr>
        <w:spacing w:after="80"/>
      </w:pPr>
    </w:p>
    <w:p>
      <w:pPr>
        <w:pStyle w:val="Heading3"/>
        <w:spacing w:after="90" w:before="180"/>
      </w:pPr>
      <w:r>
        <w:rPr>
          <w:b/>
          <w:bCs/>
          <w:i w:val="false"/>
          <w:iCs w:val="false"/>
          <w:color w:val="1F3864"/>
          <w:sz w:val="21"/>
          <w:szCs w:val="21"/>
        </w:rPr>
        <w:t xml:space="preserve">Item-Total Statistics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2200"/>
        <w:gridCol w:w="2200"/>
      </w:tblGrid>
      <w:tr>
        <w:trPr>
          <w:tblHeader/>
        </w:trPr>
        <w:tc>
          <w:tcPr>
            <w:tcW w:type="dxa" w:w="3600"/>
            <w:shd w:fill="1F3864" w:color="auto" w:val="clear"/>
            <w:tcMar>
              <w:top w:type="dxa" w:w="60"/>
              <w:left w:type="dxa" w:w="100"/>
              <w:bottom w:type="dxa" w:w="60"/>
              <w:right w:type="dxa" w:w="100"/>
            </w:tcMar>
            <w:vAlign w:val="center"/>
          </w:tcPr>
          <w:p>
            <w:pPr>
              <w:jc w:val="center"/>
            </w:pPr>
            <w:r>
              <w:rPr>
                <w:b/>
                <w:bCs/>
                <w:color w:val="FFFFFF"/>
                <w:sz w:val="19"/>
                <w:szCs w:val="19"/>
              </w:rPr>
              <w:t xml:space="preserve">Item</w:t>
            </w:r>
          </w:p>
        </w:tc>
        <w:tc>
          <w:tcPr>
            <w:tcW w:type="dxa" w:w="2200"/>
            <w:shd w:fill="1F3864" w:color="auto" w:val="clear"/>
            <w:tcMar>
              <w:top w:type="dxa" w:w="60"/>
              <w:left w:type="dxa" w:w="100"/>
              <w:bottom w:type="dxa" w:w="60"/>
              <w:right w:type="dxa" w:w="100"/>
            </w:tcMar>
            <w:vAlign w:val="center"/>
          </w:tcPr>
          <w:p>
            <w:pPr>
              <w:jc w:val="center"/>
            </w:pPr>
            <w:r>
              <w:rPr>
                <w:b/>
                <w:bCs/>
                <w:color w:val="FFFFFF"/>
                <w:sz w:val="19"/>
                <w:szCs w:val="19"/>
              </w:rPr>
              <w:t xml:space="preserve">Scale Mean if Deleted</w:t>
            </w:r>
          </w:p>
        </w:tc>
        <w:tc>
          <w:tcPr>
            <w:tcW w:type="dxa" w:w="2200"/>
            <w:shd w:fill="1F3864" w:color="auto" w:val="clear"/>
            <w:tcMar>
              <w:top w:type="dxa" w:w="60"/>
              <w:left w:type="dxa" w:w="100"/>
              <w:bottom w:type="dxa" w:w="60"/>
              <w:right w:type="dxa" w:w="100"/>
            </w:tcMar>
            <w:vAlign w:val="center"/>
          </w:tcPr>
          <w:p>
            <w:pPr>
              <w:jc w:val="center"/>
            </w:pPr>
            <w:r>
              <w:rPr>
                <w:b/>
                <w:bCs/>
                <w:color w:val="FFFFFF"/>
                <w:sz w:val="19"/>
                <w:szCs w:val="19"/>
              </w:rPr>
              <w:t xml:space="preserve">Corrected Item-Total r</w:t>
            </w:r>
          </w:p>
        </w:tc>
        <w:tc>
          <w:tcPr>
            <w:tcW w:type="dxa" w:w="2200"/>
            <w:shd w:fill="1F3864" w:color="auto" w:val="clear"/>
            <w:tcMar>
              <w:top w:type="dxa" w:w="60"/>
              <w:left w:type="dxa" w:w="100"/>
              <w:bottom w:type="dxa" w:w="60"/>
              <w:right w:type="dxa" w:w="100"/>
            </w:tcMar>
            <w:vAlign w:val="center"/>
          </w:tcPr>
          <w:p>
            <w:pPr>
              <w:jc w:val="center"/>
            </w:pPr>
            <w:r>
              <w:rPr>
                <w:b/>
                <w:bCs/>
                <w:color w:val="FFFFFF"/>
                <w:sz w:val="19"/>
                <w:szCs w:val="19"/>
              </w:rPr>
              <w:t xml:space="preserve">Cronbach's Alpha if Deleted</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Q1_ProductAvailability</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11.95</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0.801</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0.887</w:t>
            </w:r>
          </w:p>
        </w:tc>
      </w:tr>
      <w:tr>
        <w:tc>
          <w:tcPr>
            <w:tcW w:type="dxa" w:w="3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Q2_StaffHelpfulness</w:t>
            </w:r>
          </w:p>
        </w:tc>
        <w:tc>
          <w:tcPr>
            <w:tcW w:type="dxa" w:w="2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11.98</w:t>
            </w:r>
          </w:p>
        </w:tc>
        <w:tc>
          <w:tcPr>
            <w:tcW w:type="dxa" w:w="2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0.799</w:t>
            </w:r>
          </w:p>
        </w:tc>
        <w:tc>
          <w:tcPr>
            <w:tcW w:type="dxa" w:w="2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0.887</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Q3_StoreCleanliness</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12.04</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0.766</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0.894</w:t>
            </w:r>
          </w:p>
        </w:tc>
      </w:tr>
      <w:tr>
        <w:tc>
          <w:tcPr>
            <w:tcW w:type="dxa" w:w="3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Q4_CheckoutSpeed</w:t>
            </w:r>
          </w:p>
        </w:tc>
        <w:tc>
          <w:tcPr>
            <w:tcW w:type="dxa" w:w="2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12.01</w:t>
            </w:r>
          </w:p>
        </w:tc>
        <w:tc>
          <w:tcPr>
            <w:tcW w:type="dxa" w:w="2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0.712</w:t>
            </w:r>
          </w:p>
        </w:tc>
        <w:tc>
          <w:tcPr>
            <w:tcW w:type="dxa" w:w="2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0.905</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Q5_ValueForMoney</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11.92</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0.803</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0.886</w:t>
            </w:r>
          </w:p>
        </w:tc>
      </w:tr>
    </w:tbl>
    <w:p>
      <w:pPr>
        <w:spacing w:after="60" w:before="160"/>
      </w:pPr>
      <w:r>
        <w:rPr>
          <w:b/>
          <w:bCs/>
          <w:color w:val="1F3864"/>
          <w:sz w:val="21"/>
          <w:szCs w:val="21"/>
        </w:rPr>
        <w:t xml:space="preserve">Interpretation</w:t>
      </w:r>
    </w:p>
    <w:p>
      <w:pPr>
        <w:spacing w:after="140" w:line="300"/>
      </w:pPr>
      <w:r>
        <w:rPr>
          <w:sz w:val="21"/>
          <w:szCs w:val="21"/>
        </w:rPr>
        <w:t xml:space="preserve">Cronbach's Alpha = .912 across the 5-item scale (N = 239 valid cases) is excellent by conventional benchmarks (α ≥ .90 = excellent, .80-.89 = good, .70-.79 = acceptable). Every item correlates strongly with the rest of the scale (corrected item-total r ranges from .712 to .803, all comfortably above the .30 minimum threshold), and critically, deleting any single item would only reduce alpha (all "alpha if item deleted" values, .886-.905, are lower than the overall .912). This confirms all five items belong together and none should be dropped.</w:t>
      </w:r>
    </w:p>
    <w:p>
      <w:pPr>
        <w:spacing w:after="60" w:before="100"/>
      </w:pPr>
      <w:r>
        <w:rPr>
          <w:b/>
          <w:bCs/>
          <w:color w:val="1F3864"/>
          <w:sz w:val="21"/>
          <w:szCs w:val="21"/>
        </w:rPr>
        <w:t xml:space="preserve">Key Insights Generated</w:t>
      </w:r>
    </w:p>
    <w:p>
      <w:pPr>
        <w:pStyle w:val="ListParagraph"/>
        <w:numPr>
          <w:ilvl w:val="0"/>
          <w:numId w:val="1"/>
        </w:numPr>
        <w:spacing w:after="60" w:line="280"/>
      </w:pPr>
      <w:r>
        <w:rPr>
          <w:sz w:val="21"/>
          <w:szCs w:val="21"/>
        </w:rPr>
        <w:t xml:space="preserve">The five Q-items can be safely averaged or summed into a single "Service Quality Index" for use in later regression, correlation, and segmentation work — this is statistically justified, not just convenient.</w:t>
      </w:r>
    </w:p>
    <w:p>
      <w:pPr>
        <w:pStyle w:val="ListParagraph"/>
        <w:numPr>
          <w:ilvl w:val="0"/>
          <w:numId w:val="1"/>
        </w:numPr>
        <w:spacing w:after="60" w:line="280"/>
      </w:pPr>
      <w:r>
        <w:rPr>
          <w:sz w:val="21"/>
          <w:szCs w:val="21"/>
        </w:rPr>
        <w:t xml:space="preserve">Q4_CheckoutSpeed has the weakest item-total correlation (.712) and the only alpha-if-deleted close to the overall value, suggesting checkout speed is measuring something slightly more distinct (e.g., operational efficiency rather than pure relational service quality) than the other four items.</w:t>
      </w:r>
    </w:p>
    <w:p>
      <w:pPr>
        <w:pStyle w:val="ListParagraph"/>
        <w:numPr>
          <w:ilvl w:val="0"/>
          <w:numId w:val="1"/>
        </w:numPr>
        <w:spacing w:after="60" w:line="280"/>
      </w:pPr>
      <w:r>
        <w:rPr>
          <w:sz w:val="21"/>
          <w:szCs w:val="21"/>
        </w:rPr>
        <w:t xml:space="preserve">A construct this internally consistent (α = .91) means survey redundancy exists — the questionnaire could be shortened to 3-4 items in future waves with minimal reliability loss, saving respondent time.</w:t>
      </w:r>
    </w:p>
    <w:p>
      <w:pPr>
        <w:spacing w:after="200"/>
      </w:pPr>
    </w:p>
    <w:p>
      <w:r>
        <w:br w:type="page"/>
      </w:r>
    </w:p>
    <w:p>
      <w:pPr>
        <w:pStyle w:val="Heading1"/>
        <w:pBdr>
          <w:bottom w:val="single" w:color="1F3864" w:sz="6" w:space="4"/>
        </w:pBdr>
        <w:spacing w:after="200" w:before="400"/>
      </w:pPr>
      <w:r>
        <w:rPr>
          <w:b/>
          <w:bCs/>
          <w:color w:val="1F3864"/>
          <w:sz w:val="30"/>
          <w:szCs w:val="30"/>
        </w:rPr>
        <w:t xml:space="preserve">6. Crosstabulation &amp; Pearson Chi-Square Test of Independence (Analyze &gt; Descriptive Statistics &gt; Crosstabs)</w:t>
      </w:r>
    </w:p>
    <w:p>
      <w:pPr>
        <w:spacing w:after="100" w:line="300"/>
      </w:pPr>
      <w:r>
        <w:rPr>
          <w:b/>
          <w:bCs/>
          <w:color w:val="1F3864"/>
          <w:sz w:val="21"/>
          <w:szCs w:val="21"/>
        </w:rPr>
        <w:t xml:space="preserve">Aim of the Analysis: </w:t>
      </w:r>
      <w:r>
        <w:rPr>
          <w:sz w:val="21"/>
          <w:szCs w:val="21"/>
        </w:rPr>
        <w:t xml:space="preserve">To test whether pairs of categorical variables are statistically associated — e.g., does gender, membership tier, employment status, or marital status relate to repurchase intention, and does store location relate to shopping-channel preference.</w:t>
      </w:r>
    </w:p>
    <w:p>
      <w:pPr>
        <w:spacing w:after="100" w:line="300"/>
      </w:pPr>
      <w:r>
        <w:rPr>
          <w:b/>
          <w:bCs/>
          <w:color w:val="1F3864"/>
          <w:sz w:val="21"/>
          <w:szCs w:val="21"/>
        </w:rPr>
        <w:t xml:space="preserve">Columns / Variables Involved: </w:t>
      </w:r>
      <w:r>
        <w:rPr>
          <w:sz w:val="21"/>
          <w:szCs w:val="21"/>
        </w:rPr>
        <w:t xml:space="preserve">Gender, MembershipTier, EmploymentStatus, MaritalStatus, StoreLocation (rows) crossed with WouldShopAgain / PreferredShoppingChannel (columns)</w:t>
      </w:r>
    </w:p>
    <w:p>
      <w:pPr>
        <w:spacing w:after="60" w:before="100"/>
      </w:pPr>
      <w:r>
        <w:rPr>
          <w:b/>
          <w:bCs/>
          <w:color w:val="1F3864"/>
          <w:sz w:val="21"/>
          <w:szCs w:val="21"/>
        </w:rPr>
        <w:t xml:space="preserve">Step-by-Step Procedure in SPSS</w:t>
      </w:r>
    </w:p>
    <w:p>
      <w:pPr>
        <w:spacing w:after="60" w:line="280"/>
      </w:pPr>
      <w:r>
        <w:rPr>
          <w:sz w:val="21"/>
          <w:szCs w:val="21"/>
        </w:rPr>
        <w:t xml:space="preserve">1. Analyze &gt; Descriptive Statistics &gt; Crosstabs.</w:t>
      </w:r>
    </w:p>
    <w:p>
      <w:pPr>
        <w:spacing w:after="60" w:line="280"/>
      </w:pPr>
      <w:r>
        <w:rPr>
          <w:sz w:val="21"/>
          <w:szCs w:val="21"/>
        </w:rPr>
        <w:t xml:space="preserve">2. Move the grouping variable (e.g., Gender) into Row(s) and the outcome (e.g., WouldShopAgain) into Column(s).</w:t>
      </w:r>
    </w:p>
    <w:p>
      <w:pPr>
        <w:spacing w:after="60" w:line="280"/>
      </w:pPr>
      <w:r>
        <w:rPr>
          <w:sz w:val="21"/>
          <w:szCs w:val="21"/>
        </w:rPr>
        <w:t xml:space="preserve">3. Click Statistics, tick Chi-square and Cramer's V/Phi.</w:t>
      </w:r>
    </w:p>
    <w:p>
      <w:pPr>
        <w:spacing w:after="60" w:line="280"/>
      </w:pPr>
      <w:r>
        <w:rPr>
          <w:sz w:val="21"/>
          <w:szCs w:val="21"/>
        </w:rPr>
        <w:t xml:space="preserve">4. Click Cells, tick Observed counts and Row Percentages.</w:t>
      </w:r>
    </w:p>
    <w:p>
      <w:pPr>
        <w:spacing w:after="60" w:line="280"/>
      </w:pPr>
      <w:r>
        <w:rPr>
          <w:sz w:val="21"/>
          <w:szCs w:val="21"/>
        </w:rPr>
        <w:t xml:space="preserve">5. Click Continue, then OK. Repeat for each pair.</w:t>
      </w:r>
    </w:p>
    <w:p>
      <w:pPr>
        <w:spacing w:after="80" w:before="140"/>
      </w:pPr>
      <w:r>
        <w:rPr>
          <w:b/>
          <w:bCs/>
          <w:color w:val="1F3864"/>
          <w:sz w:val="21"/>
          <w:szCs w:val="21"/>
        </w:rPr>
        <w:t xml:space="preserve">SPSS Output — Chi-Square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900"/>
        <w:gridCol w:w="1400"/>
        <w:gridCol w:w="1500"/>
      </w:tblGrid>
      <w:tr>
        <w:trPr>
          <w:tblHeader/>
        </w:trPr>
        <w:tc>
          <w:tcPr>
            <w:tcW w:type="dxa" w:w="3600"/>
            <w:shd w:fill="1F3864" w:color="auto" w:val="clear"/>
            <w:tcMar>
              <w:top w:type="dxa" w:w="60"/>
              <w:left w:type="dxa" w:w="100"/>
              <w:bottom w:type="dxa" w:w="60"/>
              <w:right w:type="dxa" w:w="100"/>
            </w:tcMar>
            <w:vAlign w:val="center"/>
          </w:tcPr>
          <w:p>
            <w:pPr>
              <w:jc w:val="center"/>
            </w:pPr>
            <w:r>
              <w:rPr>
                <w:b/>
                <w:bCs/>
                <w:color w:val="FFFFFF"/>
                <w:sz w:val="19"/>
                <w:szCs w:val="19"/>
              </w:rPr>
              <w:t xml:space="preserve">Crosstab</w:t>
            </w:r>
          </w:p>
        </w:tc>
        <w:tc>
          <w:tcPr>
            <w:tcW w:type="dxa" w:w="1600"/>
            <w:shd w:fill="1F3864" w:color="auto" w:val="clear"/>
            <w:tcMar>
              <w:top w:type="dxa" w:w="60"/>
              <w:left w:type="dxa" w:w="100"/>
              <w:bottom w:type="dxa" w:w="60"/>
              <w:right w:type="dxa" w:w="100"/>
            </w:tcMar>
            <w:vAlign w:val="center"/>
          </w:tcPr>
          <w:p>
            <w:pPr>
              <w:jc w:val="center"/>
            </w:pPr>
            <w:r>
              <w:rPr>
                <w:b/>
                <w:bCs/>
                <w:color w:val="FFFFFF"/>
                <w:sz w:val="19"/>
                <w:szCs w:val="19"/>
              </w:rPr>
              <w:t xml:space="preserve">Pearson χ²</w:t>
            </w:r>
          </w:p>
        </w:tc>
        <w:tc>
          <w:tcPr>
            <w:tcW w:type="dxa" w:w="900"/>
            <w:shd w:fill="1F3864" w:color="auto" w:val="clear"/>
            <w:tcMar>
              <w:top w:type="dxa" w:w="60"/>
              <w:left w:type="dxa" w:w="100"/>
              <w:bottom w:type="dxa" w:w="60"/>
              <w:right w:type="dxa" w:w="100"/>
            </w:tcMar>
            <w:vAlign w:val="center"/>
          </w:tcPr>
          <w:p>
            <w:pPr>
              <w:jc w:val="center"/>
            </w:pPr>
            <w:r>
              <w:rPr>
                <w:b/>
                <w:bCs/>
                <w:color w:val="FFFFFF"/>
                <w:sz w:val="19"/>
                <w:szCs w:val="19"/>
              </w:rPr>
              <w:t xml:space="preserve">df</w:t>
            </w:r>
          </w:p>
        </w:tc>
        <w:tc>
          <w:tcPr>
            <w:tcW w:type="dxa" w:w="1400"/>
            <w:shd w:fill="1F3864" w:color="auto" w:val="clear"/>
            <w:tcMar>
              <w:top w:type="dxa" w:w="60"/>
              <w:left w:type="dxa" w:w="100"/>
              <w:bottom w:type="dxa" w:w="60"/>
              <w:right w:type="dxa" w:w="100"/>
            </w:tcMar>
            <w:vAlign w:val="center"/>
          </w:tcPr>
          <w:p>
            <w:pPr>
              <w:jc w:val="center"/>
            </w:pPr>
            <w:r>
              <w:rPr>
                <w:b/>
                <w:bCs/>
                <w:color w:val="FFFFFF"/>
                <w:sz w:val="19"/>
                <w:szCs w:val="19"/>
              </w:rPr>
              <w:t xml:space="preserve">Sig. (p)</w:t>
            </w:r>
          </w:p>
        </w:tc>
        <w:tc>
          <w:tcPr>
            <w:tcW w:type="dxa" w:w="1500"/>
            <w:shd w:fill="1F3864" w:color="auto" w:val="clear"/>
            <w:tcMar>
              <w:top w:type="dxa" w:w="60"/>
              <w:left w:type="dxa" w:w="100"/>
              <w:bottom w:type="dxa" w:w="60"/>
              <w:right w:type="dxa" w:w="100"/>
            </w:tcMar>
            <w:vAlign w:val="center"/>
          </w:tcPr>
          <w:p>
            <w:pPr>
              <w:jc w:val="center"/>
            </w:pPr>
            <w:r>
              <w:rPr>
                <w:b/>
                <w:bCs/>
                <w:color w:val="FFFFFF"/>
                <w:sz w:val="19"/>
                <w:szCs w:val="19"/>
              </w:rPr>
              <w:t xml:space="preserve">Cramer's V</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Gender × WouldShopAgain</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0.427</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.513</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0.041</w:t>
            </w:r>
          </w:p>
        </w:tc>
      </w:tr>
      <w:tr>
        <w:tc>
          <w:tcPr>
            <w:tcW w:type="dxa" w:w="3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MembershipTier × WouldShopAgain</w:t>
            </w:r>
          </w:p>
        </w:tc>
        <w:tc>
          <w:tcPr>
            <w:tcW w:type="dxa" w:w="1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2.922</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3</w:t>
            </w:r>
          </w:p>
        </w:tc>
        <w:tc>
          <w:tcPr>
            <w:tcW w:type="dxa" w:w="1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.404</w:t>
            </w:r>
          </w:p>
        </w:tc>
        <w:tc>
          <w:tcPr>
            <w:tcW w:type="dxa" w:w="15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0.108</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EmploymentStatus × WouldShopAgain</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1.182</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.881</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0.069</w:t>
            </w:r>
          </w:p>
        </w:tc>
      </w:tr>
      <w:tr>
        <w:tc>
          <w:tcPr>
            <w:tcW w:type="dxa" w:w="3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MaritalStatus × WouldShopAgain</w:t>
            </w:r>
          </w:p>
        </w:tc>
        <w:tc>
          <w:tcPr>
            <w:tcW w:type="dxa" w:w="1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2.371</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3</w:t>
            </w:r>
          </w:p>
        </w:tc>
        <w:tc>
          <w:tcPr>
            <w:tcW w:type="dxa" w:w="1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.499</w:t>
            </w:r>
          </w:p>
        </w:tc>
        <w:tc>
          <w:tcPr>
            <w:tcW w:type="dxa" w:w="15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0.097</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StoreLocation × PreferredShoppingChannel</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8.755</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12</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.724</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0.108</w:t>
            </w:r>
          </w:p>
        </w:tc>
      </w:tr>
    </w:tbl>
    <w:p>
      <w:pPr>
        <w:spacing w:after="80"/>
      </w:pPr>
    </w:p>
    <w:p>
      <w:pPr>
        <w:pStyle w:val="Heading3"/>
        <w:spacing w:after="90" w:before="180"/>
      </w:pPr>
      <w:r>
        <w:rPr>
          <w:b/>
          <w:bCs/>
          <w:i w:val="false"/>
          <w:iCs w:val="false"/>
          <w:color w:val="1F3864"/>
          <w:sz w:val="21"/>
          <w:szCs w:val="21"/>
        </w:rPr>
        <w:t xml:space="preserve">Selected Crosstab: Membership Tier × Would Shop Again (counts)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2100"/>
      </w:tblGrid>
      <w:tr>
        <w:trPr>
          <w:tblHeader/>
        </w:trPr>
        <w:tc>
          <w:tcPr>
            <w:tcW w:type="dxa" w:w="2400"/>
            <w:shd w:fill="1F3864" w:color="auto" w:val="clear"/>
            <w:tcMar>
              <w:top w:type="dxa" w:w="60"/>
              <w:left w:type="dxa" w:w="100"/>
              <w:bottom w:type="dxa" w:w="60"/>
              <w:right w:type="dxa" w:w="100"/>
            </w:tcMar>
            <w:vAlign w:val="center"/>
          </w:tcPr>
          <w:p>
            <w:pPr>
              <w:jc w:val="center"/>
            </w:pPr>
            <w:r>
              <w:rPr>
                <w:b/>
                <w:bCs/>
                <w:color w:val="FFFFFF"/>
                <w:sz w:val="19"/>
                <w:szCs w:val="19"/>
              </w:rPr>
              <w:t xml:space="preserve">Membership Tier</w:t>
            </w:r>
          </w:p>
        </w:tc>
        <w:tc>
          <w:tcPr>
            <w:tcW w:type="dxa" w:w="1500"/>
            <w:shd w:fill="1F3864" w:color="auto" w:val="clear"/>
            <w:tcMar>
              <w:top w:type="dxa" w:w="60"/>
              <w:left w:type="dxa" w:w="100"/>
              <w:bottom w:type="dxa" w:w="60"/>
              <w:right w:type="dxa" w:w="100"/>
            </w:tcMar>
            <w:vAlign w:val="center"/>
          </w:tcPr>
          <w:p>
            <w:pPr>
              <w:jc w:val="center"/>
            </w:pPr>
            <w:r>
              <w:rPr>
                <w:b/>
                <w:bCs/>
                <w:color w:val="FFFFFF"/>
                <w:sz w:val="19"/>
                <w:szCs w:val="19"/>
              </w:rPr>
              <w:t xml:space="preserve">No</w:t>
            </w:r>
          </w:p>
        </w:tc>
        <w:tc>
          <w:tcPr>
            <w:tcW w:type="dxa" w:w="1500"/>
            <w:shd w:fill="1F3864" w:color="auto" w:val="clear"/>
            <w:tcMar>
              <w:top w:type="dxa" w:w="60"/>
              <w:left w:type="dxa" w:w="100"/>
              <w:bottom w:type="dxa" w:w="60"/>
              <w:right w:type="dxa" w:w="100"/>
            </w:tcMar>
            <w:vAlign w:val="center"/>
          </w:tcPr>
          <w:p>
            <w:pPr>
              <w:jc w:val="center"/>
            </w:pPr>
            <w:r>
              <w:rPr>
                <w:b/>
                <w:bCs/>
                <w:color w:val="FFFFFF"/>
                <w:sz w:val="19"/>
                <w:szCs w:val="19"/>
              </w:rPr>
              <w:t xml:space="preserve">Yes</w:t>
            </w:r>
          </w:p>
        </w:tc>
        <w:tc>
          <w:tcPr>
            <w:tcW w:type="dxa" w:w="1500"/>
            <w:shd w:fill="1F3864" w:color="auto" w:val="clear"/>
            <w:tcMar>
              <w:top w:type="dxa" w:w="60"/>
              <w:left w:type="dxa" w:w="100"/>
              <w:bottom w:type="dxa" w:w="60"/>
              <w:right w:type="dxa" w:w="100"/>
            </w:tcMar>
            <w:vAlign w:val="center"/>
          </w:tcPr>
          <w:p>
            <w:pPr>
              <w:jc w:val="center"/>
            </w:pPr>
            <w:r>
              <w:rPr>
                <w:b/>
                <w:bCs/>
                <w:color w:val="FFFFFF"/>
                <w:sz w:val="19"/>
                <w:szCs w:val="19"/>
              </w:rPr>
              <w:t xml:space="preserve">Total</w:t>
            </w:r>
          </w:p>
        </w:tc>
        <w:tc>
          <w:tcPr>
            <w:tcW w:type="dxa" w:w="2100"/>
            <w:shd w:fill="1F3864" w:color="auto" w:val="clear"/>
            <w:tcMar>
              <w:top w:type="dxa" w:w="60"/>
              <w:left w:type="dxa" w:w="100"/>
              <w:bottom w:type="dxa" w:w="60"/>
              <w:right w:type="dxa" w:w="100"/>
            </w:tcMar>
            <w:vAlign w:val="center"/>
          </w:tcPr>
          <w:p>
            <w:pPr>
              <w:jc w:val="center"/>
            </w:pPr>
            <w:r>
              <w:rPr>
                <w:b/>
                <w:bCs/>
                <w:color w:val="FFFFFF"/>
                <w:sz w:val="19"/>
                <w:szCs w:val="19"/>
              </w:rPr>
              <w:t xml:space="preserve">% Yes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Regular</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53</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55</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108</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50.9%</w:t>
            </w:r>
          </w:p>
        </w:tc>
      </w:tr>
      <w:tr>
        <w:tc>
          <w:tcPr>
            <w:tcW w:type="dxa" w:w="24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Silver</w:t>
            </w:r>
          </w:p>
        </w:tc>
        <w:tc>
          <w:tcPr>
            <w:tcW w:type="dxa" w:w="15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28</w:t>
            </w:r>
          </w:p>
        </w:tc>
        <w:tc>
          <w:tcPr>
            <w:tcW w:type="dxa" w:w="15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40</w:t>
            </w:r>
          </w:p>
        </w:tc>
        <w:tc>
          <w:tcPr>
            <w:tcW w:type="dxa" w:w="15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68</w:t>
            </w:r>
          </w:p>
        </w:tc>
        <w:tc>
          <w:tcPr>
            <w:tcW w:type="dxa" w:w="21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58.8%</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Gold</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24</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30</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54</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55.6%</w:t>
            </w:r>
          </w:p>
        </w:tc>
      </w:tr>
      <w:tr>
        <w:tc>
          <w:tcPr>
            <w:tcW w:type="dxa" w:w="24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Platinum</w:t>
            </w:r>
          </w:p>
        </w:tc>
        <w:tc>
          <w:tcPr>
            <w:tcW w:type="dxa" w:w="15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6</w:t>
            </w:r>
          </w:p>
        </w:tc>
        <w:tc>
          <w:tcPr>
            <w:tcW w:type="dxa" w:w="15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14</w:t>
            </w:r>
          </w:p>
        </w:tc>
        <w:tc>
          <w:tcPr>
            <w:tcW w:type="dxa" w:w="15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20</w:t>
            </w:r>
          </w:p>
        </w:tc>
        <w:tc>
          <w:tcPr>
            <w:tcW w:type="dxa" w:w="21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70.0%</w:t>
            </w:r>
          </w:p>
        </w:tc>
      </w:tr>
    </w:tbl>
    <w:p>
      <w:pPr>
        <w:spacing w:after="60" w:before="160"/>
      </w:pPr>
      <w:r>
        <w:rPr>
          <w:b/>
          <w:bCs/>
          <w:color w:val="1F3864"/>
          <w:sz w:val="21"/>
          <w:szCs w:val="21"/>
        </w:rPr>
        <w:t xml:space="preserve">Interpretation</w:t>
      </w:r>
    </w:p>
    <w:p>
      <w:pPr>
        <w:spacing w:after="140" w:line="300"/>
      </w:pPr>
      <w:r>
        <w:rPr>
          <w:sz w:val="21"/>
          <w:szCs w:val="21"/>
        </w:rPr>
        <w:t xml:space="preserve">None of the five chi-square tests reaches statistical significance at the conventional α = .05 level (all p-values range from .40 to .88), and all Cramer's V effect sizes are small (0.04-0.11, well below the 0.30 threshold for even a moderate association). This means, statistically, repurchase intention (WouldShopAgain) is independent of gender, membership tier, employment status, and marital status in this sample, and shopping-channel preference is independent of store location.</w:t>
      </w:r>
    </w:p>
    <w:p>
      <w:pPr>
        <w:spacing w:after="140" w:line="300"/>
      </w:pPr>
      <w:r>
        <w:rPr>
          <w:sz w:val="21"/>
          <w:szCs w:val="21"/>
        </w:rPr>
        <w:t xml:space="preserve">Descriptively, however, the Membership Tier × WouldShopAgain crosstab shows a directionally consistent pattern worth noting even though it falls short of significance: the "Yes" rate rises fairly steadily from Regular (50.9%) to Silver (58.8%) to Platinum (70.0%), a 19-point spread. With a larger sample this gradient might well become significant — the current non-significance may reflect insufficient statistical power (especially for the small Platinum cell, n = 20) rather than a true absence of relationship.</w:t>
      </w:r>
    </w:p>
    <w:p>
      <w:pPr>
        <w:spacing w:after="60" w:before="100"/>
      </w:pPr>
      <w:r>
        <w:rPr>
          <w:b/>
          <w:bCs/>
          <w:color w:val="1F3864"/>
          <w:sz w:val="21"/>
          <w:szCs w:val="21"/>
        </w:rPr>
        <w:t xml:space="preserve">Key Insights Generated</w:t>
      </w:r>
    </w:p>
    <w:p>
      <w:pPr>
        <w:pStyle w:val="ListParagraph"/>
        <w:numPr>
          <w:ilvl w:val="0"/>
          <w:numId w:val="1"/>
        </w:numPr>
        <w:spacing w:after="60" w:line="280"/>
      </w:pPr>
      <w:r>
        <w:rPr>
          <w:sz w:val="21"/>
          <w:szCs w:val="21"/>
        </w:rPr>
        <w:t xml:space="preserve">Repurchase intention cannot be explained by simple demographic or tier segmentation alone — this rules out a purely demographic targeting strategy for churn reduction and points toward experience/satisfaction-driven factors instead (explored in the regression and discriminant sections).</w:t>
      </w:r>
    </w:p>
    <w:p>
      <w:pPr>
        <w:pStyle w:val="ListParagraph"/>
        <w:numPr>
          <w:ilvl w:val="0"/>
          <w:numId w:val="1"/>
        </w:numPr>
        <w:spacing w:after="60" w:line="280"/>
      </w:pPr>
      <w:r>
        <w:rPr>
          <w:sz w:val="21"/>
          <w:szCs w:val="21"/>
        </w:rPr>
        <w:t xml:space="preserve">The 19-percentage-point gap in repurchase intention between Regular and Platinum members, while not yet statistically significant, is large enough to be commercially interesting and worth re-testing once more Platinum-tier responses are collected.</w:t>
      </w:r>
    </w:p>
    <w:p>
      <w:pPr>
        <w:pStyle w:val="ListParagraph"/>
        <w:numPr>
          <w:ilvl w:val="0"/>
          <w:numId w:val="1"/>
        </w:numPr>
        <w:spacing w:after="60" w:line="280"/>
      </w:pPr>
      <w:r>
        <w:rPr>
          <w:sz w:val="21"/>
          <w:szCs w:val="21"/>
        </w:rPr>
        <w:t xml:space="preserve">Store location does not meaningfully predict channel preference, suggesting a uniform, rather than region-customised, digital/in-store investment strategy is reasonable across all five cities.</w:t>
      </w:r>
    </w:p>
    <w:p>
      <w:pPr>
        <w:spacing w:after="200"/>
      </w:pPr>
    </w:p>
    <w:p>
      <w:r>
        <w:br w:type="page"/>
      </w:r>
    </w:p>
    <w:p>
      <w:pPr>
        <w:pStyle w:val="Heading1"/>
        <w:pBdr>
          <w:bottom w:val="single" w:color="1F3864" w:sz="6" w:space="4"/>
        </w:pBdr>
        <w:spacing w:after="200" w:before="400"/>
      </w:pPr>
      <w:r>
        <w:rPr>
          <w:b/>
          <w:bCs/>
          <w:color w:val="1F3864"/>
          <w:sz w:val="30"/>
          <w:szCs w:val="30"/>
        </w:rPr>
        <w:t xml:space="preserve">7. Bivariate Correlation — Pearson (Analyze &gt; Correlate &gt; Bivariate)</w:t>
      </w:r>
    </w:p>
    <w:p>
      <w:pPr>
        <w:spacing w:after="100" w:line="300"/>
      </w:pPr>
      <w:r>
        <w:rPr>
          <w:b/>
          <w:bCs/>
          <w:color w:val="1F3864"/>
          <w:sz w:val="21"/>
          <w:szCs w:val="21"/>
        </w:rPr>
        <w:t xml:space="preserve">Aim of the Analysis: </w:t>
      </w:r>
      <w:r>
        <w:rPr>
          <w:sz w:val="21"/>
          <w:szCs w:val="21"/>
        </w:rPr>
        <w:t xml:space="preserve">To measure the strength and direction of linear association between all pairs of key continuous variables.</w:t>
      </w:r>
    </w:p>
    <w:p>
      <w:pPr>
        <w:spacing w:after="100" w:line="300"/>
      </w:pPr>
      <w:r>
        <w:rPr>
          <w:b/>
          <w:bCs/>
          <w:color w:val="1F3864"/>
          <w:sz w:val="21"/>
          <w:szCs w:val="21"/>
        </w:rPr>
        <w:t xml:space="preserve">Columns / Variables Involved: </w:t>
      </w:r>
      <w:r>
        <w:rPr>
          <w:sz w:val="21"/>
          <w:szCs w:val="21"/>
        </w:rPr>
        <w:t xml:space="preserve">Age, MonthlyIncome_Naira, YearsAsCustomer, VisitsPerMonth, MonthlySpend_Naira, OverallSatisfaction, LikelihoodToRecommend, ReturnsPast6Months</w:t>
      </w:r>
    </w:p>
    <w:p>
      <w:pPr>
        <w:spacing w:after="60" w:before="100"/>
      </w:pPr>
      <w:r>
        <w:rPr>
          <w:b/>
          <w:bCs/>
          <w:color w:val="1F3864"/>
          <w:sz w:val="21"/>
          <w:szCs w:val="21"/>
        </w:rPr>
        <w:t xml:space="preserve">Step-by-Step Procedure in SPSS</w:t>
      </w:r>
    </w:p>
    <w:p>
      <w:pPr>
        <w:spacing w:after="60" w:line="280"/>
      </w:pPr>
      <w:r>
        <w:rPr>
          <w:sz w:val="21"/>
          <w:szCs w:val="21"/>
        </w:rPr>
        <w:t xml:space="preserve">1. Analyze &gt; Correlate &gt; Bivariate.</w:t>
      </w:r>
    </w:p>
    <w:p>
      <w:pPr>
        <w:spacing w:after="60" w:line="280"/>
      </w:pPr>
      <w:r>
        <w:rPr>
          <w:sz w:val="21"/>
          <w:szCs w:val="21"/>
        </w:rPr>
        <w:t xml:space="preserve">2. Move all eight scale variables into the Variables box.</w:t>
      </w:r>
    </w:p>
    <w:p>
      <w:pPr>
        <w:spacing w:after="60" w:line="280"/>
      </w:pPr>
      <w:r>
        <w:rPr>
          <w:sz w:val="21"/>
          <w:szCs w:val="21"/>
        </w:rPr>
        <w:t xml:space="preserve">3. Under Correlation Coefficients, tick Pearson.</w:t>
      </w:r>
    </w:p>
    <w:p>
      <w:pPr>
        <w:spacing w:after="60" w:line="280"/>
      </w:pPr>
      <w:r>
        <w:rPr>
          <w:sz w:val="21"/>
          <w:szCs w:val="21"/>
        </w:rPr>
        <w:t xml:space="preserve">4. Tick "Flag significant correlations", select Two-tailed test.</w:t>
      </w:r>
    </w:p>
    <w:p>
      <w:pPr>
        <w:spacing w:after="60" w:line="280"/>
      </w:pPr>
      <w:r>
        <w:rPr>
          <w:sz w:val="21"/>
          <w:szCs w:val="21"/>
        </w:rPr>
        <w:t xml:space="preserve">5. Click OK.</w:t>
      </w:r>
    </w:p>
    <w:p>
      <w:pPr>
        <w:spacing w:after="80" w:before="140"/>
      </w:pPr>
      <w:r>
        <w:rPr>
          <w:b/>
          <w:bCs/>
          <w:color w:val="1F3864"/>
          <w:sz w:val="21"/>
          <w:szCs w:val="21"/>
        </w:rPr>
        <w:t xml:space="preserve">SPSS Output — Selected Significant Correlations (N = 214, listwise)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600"/>
      </w:tblGrid>
      <w:tr>
        <w:trPr>
          <w:tblHeader/>
        </w:trPr>
        <w:tc>
          <w:tcPr>
            <w:tcW w:type="dxa" w:w="4200"/>
            <w:shd w:fill="1F3864" w:color="auto" w:val="clear"/>
            <w:tcMar>
              <w:top w:type="dxa" w:w="60"/>
              <w:left w:type="dxa" w:w="100"/>
              <w:bottom w:type="dxa" w:w="60"/>
              <w:right w:type="dxa" w:w="100"/>
            </w:tcMar>
            <w:vAlign w:val="center"/>
          </w:tcPr>
          <w:p>
            <w:pPr>
              <w:jc w:val="center"/>
            </w:pPr>
            <w:r>
              <w:rPr>
                <w:b/>
                <w:bCs/>
                <w:color w:val="FFFFFF"/>
                <w:sz w:val="19"/>
                <w:szCs w:val="19"/>
              </w:rPr>
              <w:t xml:space="preserve">Variable Pair</w:t>
            </w:r>
          </w:p>
        </w:tc>
        <w:tc>
          <w:tcPr>
            <w:tcW w:type="dxa" w:w="2200"/>
            <w:shd w:fill="1F3864" w:color="auto" w:val="clear"/>
            <w:tcMar>
              <w:top w:type="dxa" w:w="60"/>
              <w:left w:type="dxa" w:w="100"/>
              <w:bottom w:type="dxa" w:w="60"/>
              <w:right w:type="dxa" w:w="100"/>
            </w:tcMar>
            <w:vAlign w:val="center"/>
          </w:tcPr>
          <w:p>
            <w:pPr>
              <w:jc w:val="center"/>
            </w:pPr>
            <w:r>
              <w:rPr>
                <w:b/>
                <w:bCs/>
                <w:color w:val="FFFFFF"/>
                <w:sz w:val="19"/>
                <w:szCs w:val="19"/>
              </w:rPr>
              <w:t xml:space="preserve">Pearson r</w:t>
            </w:r>
          </w:p>
        </w:tc>
        <w:tc>
          <w:tcPr>
            <w:tcW w:type="dxa" w:w="2600"/>
            <w:shd w:fill="1F3864" w:color="auto" w:val="clear"/>
            <w:tcMar>
              <w:top w:type="dxa" w:w="60"/>
              <w:left w:type="dxa" w:w="100"/>
              <w:bottom w:type="dxa" w:w="60"/>
              <w:right w:type="dxa" w:w="100"/>
            </w:tcMar>
            <w:vAlign w:val="center"/>
          </w:tcPr>
          <w:p>
            <w:pPr>
              <w:jc w:val="center"/>
            </w:pPr>
            <w:r>
              <w:rPr>
                <w:b/>
                <w:bCs/>
                <w:color w:val="FFFFFF"/>
                <w:sz w:val="19"/>
                <w:szCs w:val="19"/>
              </w:rPr>
              <w:t xml:space="preserve">Sig. (p)</w:t>
            </w:r>
          </w:p>
        </w:tc>
      </w:tr>
      <w:tr>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Age ↔ YearsAsCustomer</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0.779</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&lt;.001**</w:t>
            </w:r>
          </w:p>
        </w:tc>
      </w:tr>
      <w:tr>
        <w:tc>
          <w:tcPr>
            <w:tcW w:type="dxa" w:w="42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MonthlyIncome_Naira ↔ MonthlySpend_Naira</w:t>
            </w:r>
          </w:p>
        </w:tc>
        <w:tc>
          <w:tcPr>
            <w:tcW w:type="dxa" w:w="2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0.786</w:t>
            </w:r>
          </w:p>
        </w:tc>
        <w:tc>
          <w:tcPr>
            <w:tcW w:type="dxa" w:w="2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&lt;.001**</w:t>
            </w:r>
          </w:p>
        </w:tc>
      </w:tr>
      <w:tr>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OverallSatisfaction ↔ LikelihoodToRecommend</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0.813</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&lt;.001**</w:t>
            </w:r>
          </w:p>
        </w:tc>
      </w:tr>
      <w:tr>
        <w:tc>
          <w:tcPr>
            <w:tcW w:type="dxa" w:w="42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VisitsPerMonth ↔ MonthlySpend_Naira</w:t>
            </w:r>
          </w:p>
        </w:tc>
        <w:tc>
          <w:tcPr>
            <w:tcW w:type="dxa" w:w="2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0.258</w:t>
            </w:r>
          </w:p>
        </w:tc>
        <w:tc>
          <w:tcPr>
            <w:tcW w:type="dxa" w:w="2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&lt;.001**</w:t>
            </w:r>
          </w:p>
        </w:tc>
      </w:tr>
      <w:tr>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MonthlySpend_Naira ↔ OverallSatisfaction</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0.177</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0.010*</w:t>
            </w:r>
          </w:p>
        </w:tc>
      </w:tr>
      <w:tr>
        <w:tc>
          <w:tcPr>
            <w:tcW w:type="dxa" w:w="42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MonthlySpend_Naira ↔ LikelihoodToRecommend</w:t>
            </w:r>
          </w:p>
        </w:tc>
        <w:tc>
          <w:tcPr>
            <w:tcW w:type="dxa" w:w="2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0.176</w:t>
            </w:r>
          </w:p>
        </w:tc>
        <w:tc>
          <w:tcPr>
            <w:tcW w:type="dxa" w:w="2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0.010*</w:t>
            </w:r>
          </w:p>
        </w:tc>
      </w:tr>
      <w:tr>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OverallSatisfaction ↔ ReturnsPast6Months</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-0.286</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&lt;.001**</w:t>
            </w:r>
          </w:p>
        </w:tc>
      </w:tr>
      <w:tr>
        <w:tc>
          <w:tcPr>
            <w:tcW w:type="dxa" w:w="42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LikelihoodToRecommend ↔ ReturnsPast6Months</w:t>
            </w:r>
          </w:p>
        </w:tc>
        <w:tc>
          <w:tcPr>
            <w:tcW w:type="dxa" w:w="2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-0.200</w:t>
            </w:r>
          </w:p>
        </w:tc>
        <w:tc>
          <w:tcPr>
            <w:tcW w:type="dxa" w:w="2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0.003*</w:t>
            </w:r>
          </w:p>
        </w:tc>
      </w:tr>
      <w:tr>
        <w:tc>
          <w:tcPr>
            <w:tcW w:type="dxa" w:w="4200"/>
            <w:tcMar>
              <w:top w:type="dxa" w:w="60"/>
              <w:left w:type="dxa" w:w="100"/>
              <w:bottom w:type="dxa" w:w="60"/>
              <w:right w:type="dxa" w:w="100"/>
            </w:tcMar>
            <w:vAlign w:val="center"/>
          </w:tcPr>
          <w:p>
            <w:pPr>
              <w:jc w:val="left"/>
            </w:pPr>
            <w:r>
              <w:rPr>
                <w:b w:val="false"/>
                <w:bCs w:val="false"/>
                <w:color w:val="000000"/>
                <w:sz w:val="19"/>
                <w:szCs w:val="19"/>
              </w:rPr>
              <w:t xml:space="preserve">Age ↔ MonthlyIncome_Naira</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-0.035</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0.610 (ns)</w:t>
            </w:r>
          </w:p>
        </w:tc>
      </w:tr>
      <w:tr>
        <w:tc>
          <w:tcPr>
            <w:tcW w:type="dxa" w:w="42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MonthlyIncome_Naira ↔ OverallSatisfaction</w:t>
            </w:r>
          </w:p>
        </w:tc>
        <w:tc>
          <w:tcPr>
            <w:tcW w:type="dxa" w:w="2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-0.040</w:t>
            </w:r>
          </w:p>
        </w:tc>
        <w:tc>
          <w:tcPr>
            <w:tcW w:type="dxa" w:w="2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0.565 (ns)</w:t>
            </w:r>
          </w:p>
        </w:tc>
      </w:tr>
    </w:tbl>
    <w:p>
      <w:pPr>
        <w:spacing w:after="140" w:line="300"/>
      </w:pPr>
      <w:r>
        <w:rPr>
          <w:i/>
          <w:iCs/>
          <w:sz w:val="18"/>
          <w:szCs w:val="18"/>
        </w:rPr>
        <w:t xml:space="preserve">**Correlation significant at the 0.01 level; *significant at the 0.05 level; ns = not significant</w:t>
      </w:r>
    </w:p>
    <w:p>
      <w:pPr>
        <w:spacing w:after="60" w:before="160"/>
      </w:pPr>
      <w:r>
        <w:rPr>
          <w:b/>
          <w:bCs/>
          <w:color w:val="1F3864"/>
          <w:sz w:val="21"/>
          <w:szCs w:val="21"/>
        </w:rPr>
        <w:t xml:space="preserve">Interpretation</w:t>
      </w:r>
    </w:p>
    <w:p>
      <w:pPr>
        <w:spacing w:after="140" w:line="300"/>
      </w:pPr>
      <w:r>
        <w:rPr>
          <w:sz w:val="21"/>
          <w:szCs w:val="21"/>
        </w:rPr>
        <w:t xml:space="preserve">Two very strong, expected mechanical relationships anchor the matrix: Age correlates strongly with YearsAsCustomer (r = .779), since older customers have simply had more time to accumulate tenure; and MonthlyIncome correlates strongly with MonthlySpend (r = .786), confirming spend scales with earning power as basic economic theory predicts. The strongest attitudinal relationship is between OverallSatisfaction and LikelihoodToRecommend (r = .813), showing these two survey items move almost in lock-step — satisfied customers are also promoters, which is the classic satisfaction-loyalty link retail research expects.</w:t>
      </w:r>
    </w:p>
    <w:p>
      <w:pPr>
        <w:spacing w:after="140" w:line="300"/>
      </w:pPr>
      <w:r>
        <w:rPr>
          <w:sz w:val="21"/>
          <w:szCs w:val="21"/>
        </w:rPr>
        <w:t xml:space="preserve">More commercially interesting are the weaker but still significant correlations: MonthlySpend correlates only modestly with satisfaction (r = .177) and recommendation (r = .176) — spend and sentiment are related but far from interchangeable, meaning high spenders are not automatically the happiest customers. Returns behave as a genuine "detractor" signal: more returns is significantly associated with lower satisfaction (r = -.286) and lower recommendation likelihood (r = -.200). Notably, Age and Income show essentially no relationship (r = -.035, ns) in this sample, and Income has no bearing on satisfaction (r = -.040, ns) — spending power does not buy happiness with this retailer.</w:t>
      </w:r>
    </w:p>
    <w:p>
      <w:pPr>
        <w:spacing w:after="60" w:before="100"/>
      </w:pPr>
      <w:r>
        <w:rPr>
          <w:b/>
          <w:bCs/>
          <w:color w:val="1F3864"/>
          <w:sz w:val="21"/>
          <w:szCs w:val="21"/>
        </w:rPr>
        <w:t xml:space="preserve">Key Insights Generated</w:t>
      </w:r>
    </w:p>
    <w:p>
      <w:pPr>
        <w:pStyle w:val="ListParagraph"/>
        <w:numPr>
          <w:ilvl w:val="0"/>
          <w:numId w:val="1"/>
        </w:numPr>
        <w:spacing w:after="60" w:line="280"/>
      </w:pPr>
      <w:r>
        <w:rPr>
          <w:sz w:val="21"/>
          <w:szCs w:val="21"/>
        </w:rPr>
        <w:t xml:space="preserve">Returns are a meaningful early-warning indicator of dissatisfaction and should be monitored operationally as a leading churn signal, not just a logistics cost.</w:t>
      </w:r>
    </w:p>
    <w:p>
      <w:pPr>
        <w:pStyle w:val="ListParagraph"/>
        <w:numPr>
          <w:ilvl w:val="0"/>
          <w:numId w:val="1"/>
        </w:numPr>
        <w:spacing w:after="60" w:line="280"/>
      </w:pPr>
      <w:r>
        <w:rPr>
          <w:sz w:val="21"/>
          <w:szCs w:val="21"/>
        </w:rPr>
        <w:t xml:space="preserve">Because income does not predict satisfaction, service-quality investments (not price-based ones) are the more promising lever for lifting satisfaction across all income bands.</w:t>
      </w:r>
    </w:p>
    <w:p>
      <w:pPr>
        <w:pStyle w:val="ListParagraph"/>
        <w:numPr>
          <w:ilvl w:val="0"/>
          <w:numId w:val="1"/>
        </w:numPr>
        <w:spacing w:after="60" w:line="280"/>
      </w:pPr>
      <w:r>
        <w:rPr>
          <w:sz w:val="21"/>
          <w:szCs w:val="21"/>
        </w:rPr>
        <w:t xml:space="preserve">Visit frequency correlates moderately with spend (r=.258) but weakly with satisfaction, suggesting customers who visit more are simply higher-volume shoppers, not necessarily more delighted ones — visit frequency alone is a poor loyalty proxy.</w:t>
      </w:r>
    </w:p>
    <w:p>
      <w:pPr>
        <w:spacing w:after="200"/>
      </w:pPr>
    </w:p>
    <w:p>
      <w:r>
        <w:br w:type="page"/>
      </w:r>
    </w:p>
    <w:p>
      <w:pPr>
        <w:pStyle w:val="Heading1"/>
        <w:pBdr>
          <w:bottom w:val="single" w:color="1F3864" w:sz="6" w:space="4"/>
        </w:pBdr>
        <w:spacing w:after="200" w:before="400"/>
      </w:pPr>
      <w:r>
        <w:rPr>
          <w:b/>
          <w:bCs/>
          <w:color w:val="1F3864"/>
          <w:sz w:val="30"/>
          <w:szCs w:val="30"/>
        </w:rPr>
        <w:t xml:space="preserve">8. Bivariate Correlation — Spearman's Rho (Analyze &gt; Correlate &gt; Bivariate)</w:t>
      </w:r>
    </w:p>
    <w:p>
      <w:pPr>
        <w:spacing w:after="100" w:line="300"/>
      </w:pPr>
      <w:r>
        <w:rPr>
          <w:b/>
          <w:bCs/>
          <w:color w:val="1F3864"/>
          <w:sz w:val="21"/>
          <w:szCs w:val="21"/>
        </w:rPr>
        <w:t xml:space="preserve">Aim of the Analysis: </w:t>
      </w:r>
      <w:r>
        <w:rPr>
          <w:sz w:val="21"/>
          <w:szCs w:val="21"/>
        </w:rPr>
        <w:t xml:space="preserve">To measure monotonic association between the ordinal (Likert 1-5) satisfaction items and the two 0-10 attitudinal outcomes, since Spearman is the statistically correct coefficient for ordinal data and does not assume normality.</w:t>
      </w:r>
    </w:p>
    <w:p>
      <w:pPr>
        <w:spacing w:after="100" w:line="300"/>
      </w:pPr>
      <w:r>
        <w:rPr>
          <w:b/>
          <w:bCs/>
          <w:color w:val="1F3864"/>
          <w:sz w:val="21"/>
          <w:szCs w:val="21"/>
        </w:rPr>
        <w:t xml:space="preserve">Columns / Variables Involved: </w:t>
      </w:r>
      <w:r>
        <w:rPr>
          <w:sz w:val="21"/>
          <w:szCs w:val="21"/>
        </w:rPr>
        <w:t xml:space="preserve">Q1_ProductAvailability, Q2_StaffHelpfulness, Q3_StoreCleanliness, Q4_CheckoutSpeed, Q5_ValueForMoney, OverallSatisfaction, LikelihoodToRecommend</w:t>
      </w:r>
    </w:p>
    <w:p>
      <w:pPr>
        <w:spacing w:after="60" w:before="100"/>
      </w:pPr>
      <w:r>
        <w:rPr>
          <w:b/>
          <w:bCs/>
          <w:color w:val="1F3864"/>
          <w:sz w:val="21"/>
          <w:szCs w:val="21"/>
        </w:rPr>
        <w:t xml:space="preserve">Step-by-Step Procedure in SPSS</w:t>
      </w:r>
    </w:p>
    <w:p>
      <w:pPr>
        <w:spacing w:after="60" w:line="280"/>
      </w:pPr>
      <w:r>
        <w:rPr>
          <w:sz w:val="21"/>
          <w:szCs w:val="21"/>
        </w:rPr>
        <w:t xml:space="preserve">1. Analyze &gt; Correlate &gt; Bivariate.</w:t>
      </w:r>
    </w:p>
    <w:p>
      <w:pPr>
        <w:spacing w:after="60" w:line="280"/>
      </w:pPr>
      <w:r>
        <w:rPr>
          <w:sz w:val="21"/>
          <w:szCs w:val="21"/>
        </w:rPr>
        <w:t xml:space="preserve">2. Move Q1-Q5, OverallSatisfaction and LikelihoodToRecommend into the Variables box.</w:t>
      </w:r>
    </w:p>
    <w:p>
      <w:pPr>
        <w:spacing w:after="60" w:line="280"/>
      </w:pPr>
      <w:r>
        <w:rPr>
          <w:sz w:val="21"/>
          <w:szCs w:val="21"/>
        </w:rPr>
        <w:t xml:space="preserve">3. Under Correlation Coefficients, untick Pearson and tick Spearman.</w:t>
      </w:r>
    </w:p>
    <w:p>
      <w:pPr>
        <w:spacing w:after="60" w:line="280"/>
      </w:pPr>
      <w:r>
        <w:rPr>
          <w:sz w:val="21"/>
          <w:szCs w:val="21"/>
        </w:rPr>
        <w:t xml:space="preserve">4. Select Two-tailed, tick "Flag significant correlations".</w:t>
      </w:r>
    </w:p>
    <w:p>
      <w:pPr>
        <w:spacing w:after="60" w:line="280"/>
      </w:pPr>
      <w:r>
        <w:rPr>
          <w:sz w:val="21"/>
          <w:szCs w:val="21"/>
        </w:rPr>
        <w:t xml:space="preserve">5. Click OK.</w:t>
      </w:r>
    </w:p>
    <w:p>
      <w:pPr>
        <w:spacing w:after="80" w:before="140"/>
      </w:pPr>
      <w:r>
        <w:rPr>
          <w:b/>
          <w:bCs/>
          <w:color w:val="1F3864"/>
          <w:sz w:val="21"/>
          <w:szCs w:val="21"/>
        </w:rPr>
        <w:t xml:space="preserve">SPSS Output — Spearman Correlation Matrix (N = 226, pairwise)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067"/>
        <w:gridCol w:w="1067"/>
        <w:gridCol w:w="1067"/>
        <w:gridCol w:w="1067"/>
        <w:gridCol w:w="1067"/>
        <w:gridCol w:w="1065"/>
      </w:tblGrid>
      <w:tr>
        <w:trPr>
          <w:tblHeader/>
        </w:trPr>
        <w:tc>
          <w:tcPr>
            <w:tcW w:type="dxa" w:w="2600"/>
            <w:shd w:fill="1F3864" w:color="auto" w:val="clear"/>
            <w:tcMar>
              <w:top w:type="dxa" w:w="60"/>
              <w:left w:type="dxa" w:w="100"/>
              <w:bottom w:type="dxa" w:w="60"/>
              <w:right w:type="dxa" w:w="100"/>
            </w:tcMar>
            <w:vAlign w:val="center"/>
          </w:tcPr>
          <w:p>
            <w:pPr>
              <w:jc w:val="center"/>
            </w:pPr>
            <w:r>
              <w:rPr>
                <w:b/>
                <w:bCs/>
                <w:color w:val="FFFFFF"/>
                <w:sz w:val="19"/>
                <w:szCs w:val="19"/>
              </w:rPr>
              <w:t xml:space="preserve"/>
            </w:r>
          </w:p>
        </w:tc>
        <w:tc>
          <w:tcPr>
            <w:tcW w:type="dxa" w:w="1067"/>
            <w:shd w:fill="1F3864" w:color="auto" w:val="clear"/>
            <w:tcMar>
              <w:top w:type="dxa" w:w="60"/>
              <w:left w:type="dxa" w:w="100"/>
              <w:bottom w:type="dxa" w:w="60"/>
              <w:right w:type="dxa" w:w="100"/>
            </w:tcMar>
            <w:vAlign w:val="center"/>
          </w:tcPr>
          <w:p>
            <w:pPr>
              <w:jc w:val="center"/>
            </w:pPr>
            <w:r>
              <w:rPr>
                <w:b/>
                <w:bCs/>
                <w:color w:val="FFFFFF"/>
                <w:sz w:val="19"/>
                <w:szCs w:val="19"/>
              </w:rPr>
              <w:t xml:space="preserve">Q1</w:t>
            </w:r>
          </w:p>
        </w:tc>
        <w:tc>
          <w:tcPr>
            <w:tcW w:type="dxa" w:w="1067"/>
            <w:shd w:fill="1F3864" w:color="auto" w:val="clear"/>
            <w:tcMar>
              <w:top w:type="dxa" w:w="60"/>
              <w:left w:type="dxa" w:w="100"/>
              <w:bottom w:type="dxa" w:w="60"/>
              <w:right w:type="dxa" w:w="100"/>
            </w:tcMar>
            <w:vAlign w:val="center"/>
          </w:tcPr>
          <w:p>
            <w:pPr>
              <w:jc w:val="center"/>
            </w:pPr>
            <w:r>
              <w:rPr>
                <w:b/>
                <w:bCs/>
                <w:color w:val="FFFFFF"/>
                <w:sz w:val="19"/>
                <w:szCs w:val="19"/>
              </w:rPr>
              <w:t xml:space="preserve">Q2</w:t>
            </w:r>
          </w:p>
        </w:tc>
        <w:tc>
          <w:tcPr>
            <w:tcW w:type="dxa" w:w="1067"/>
            <w:shd w:fill="1F3864" w:color="auto" w:val="clear"/>
            <w:tcMar>
              <w:top w:type="dxa" w:w="60"/>
              <w:left w:type="dxa" w:w="100"/>
              <w:bottom w:type="dxa" w:w="60"/>
              <w:right w:type="dxa" w:w="100"/>
            </w:tcMar>
            <w:vAlign w:val="center"/>
          </w:tcPr>
          <w:p>
            <w:pPr>
              <w:jc w:val="center"/>
            </w:pPr>
            <w:r>
              <w:rPr>
                <w:b/>
                <w:bCs/>
                <w:color w:val="FFFFFF"/>
                <w:sz w:val="19"/>
                <w:szCs w:val="19"/>
              </w:rPr>
              <w:t xml:space="preserve">Q3</w:t>
            </w:r>
          </w:p>
        </w:tc>
        <w:tc>
          <w:tcPr>
            <w:tcW w:type="dxa" w:w="1067"/>
            <w:shd w:fill="1F3864" w:color="auto" w:val="clear"/>
            <w:tcMar>
              <w:top w:type="dxa" w:w="60"/>
              <w:left w:type="dxa" w:w="100"/>
              <w:bottom w:type="dxa" w:w="60"/>
              <w:right w:type="dxa" w:w="100"/>
            </w:tcMar>
            <w:vAlign w:val="center"/>
          </w:tcPr>
          <w:p>
            <w:pPr>
              <w:jc w:val="center"/>
            </w:pPr>
            <w:r>
              <w:rPr>
                <w:b/>
                <w:bCs/>
                <w:color w:val="FFFFFF"/>
                <w:sz w:val="19"/>
                <w:szCs w:val="19"/>
              </w:rPr>
              <w:t xml:space="preserve">Q4</w:t>
            </w:r>
          </w:p>
        </w:tc>
        <w:tc>
          <w:tcPr>
            <w:tcW w:type="dxa" w:w="1067"/>
            <w:shd w:fill="1F3864" w:color="auto" w:val="clear"/>
            <w:tcMar>
              <w:top w:type="dxa" w:w="60"/>
              <w:left w:type="dxa" w:w="100"/>
              <w:bottom w:type="dxa" w:w="60"/>
              <w:right w:type="dxa" w:w="100"/>
            </w:tcMar>
            <w:vAlign w:val="center"/>
          </w:tcPr>
          <w:p>
            <w:pPr>
              <w:jc w:val="center"/>
            </w:pPr>
            <w:r>
              <w:rPr>
                <w:b/>
                <w:bCs/>
                <w:color w:val="FFFFFF"/>
                <w:sz w:val="19"/>
                <w:szCs w:val="19"/>
              </w:rPr>
              <w:t xml:space="preserve">Q5</w:t>
            </w:r>
          </w:p>
        </w:tc>
        <w:tc>
          <w:tcPr>
            <w:tcW w:type="dxa" w:w="1065"/>
            <w:shd w:fill="1F3864" w:color="auto" w:val="clear"/>
            <w:tcMar>
              <w:top w:type="dxa" w:w="60"/>
              <w:left w:type="dxa" w:w="100"/>
              <w:bottom w:type="dxa" w:w="60"/>
              <w:right w:type="dxa" w:w="100"/>
            </w:tcMar>
            <w:vAlign w:val="center"/>
          </w:tcPr>
          <w:p>
            <w:pPr>
              <w:jc w:val="center"/>
            </w:pPr>
            <w:r>
              <w:rPr>
                <w:b/>
                <w:bCs/>
                <w:color w:val="FFFFFF"/>
                <w:sz w:val="19"/>
                <w:szCs w:val="19"/>
              </w:rPr>
              <w:t xml:space="preserve">OverallSat</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Q2_StaffHelpfulness</w:t>
            </w:r>
          </w:p>
        </w:tc>
        <w:tc>
          <w:tcPr>
            <w:tcW w:type="dxa" w:w="1067"/>
            <w:tcMar>
              <w:top w:type="dxa" w:w="60"/>
              <w:left w:type="dxa" w:w="100"/>
              <w:bottom w:type="dxa" w:w="60"/>
              <w:right w:type="dxa" w:w="100"/>
            </w:tcMar>
            <w:vAlign w:val="center"/>
          </w:tcPr>
          <w:p>
            <w:pPr>
              <w:jc w:val="center"/>
            </w:pPr>
            <w:r>
              <w:rPr>
                <w:b w:val="false"/>
                <w:bCs w:val="false"/>
                <w:color w:val="000000"/>
                <w:sz w:val="19"/>
                <w:szCs w:val="19"/>
              </w:rPr>
              <w:t xml:space="preserve">0.723</w:t>
            </w:r>
          </w:p>
        </w:tc>
        <w:tc>
          <w:tcPr>
            <w:tcW w:type="dxa" w:w="1067"/>
            <w:tcMar>
              <w:top w:type="dxa" w:w="60"/>
              <w:left w:type="dxa" w:w="100"/>
              <w:bottom w:type="dxa" w:w="60"/>
              <w:right w:type="dxa" w:w="100"/>
            </w:tcMar>
            <w:vAlign w:val="center"/>
          </w:tcPr>
          <w:p>
            <w:pPr>
              <w:jc w:val="center"/>
            </w:pPr>
            <w:r>
              <w:rPr>
                <w:b w:val="false"/>
                <w:bCs w:val="false"/>
                <w:color w:val="000000"/>
                <w:sz w:val="19"/>
                <w:szCs w:val="19"/>
              </w:rPr>
              <w:t xml:space="preserve">-</w:t>
            </w:r>
          </w:p>
        </w:tc>
        <w:tc>
          <w:tcPr>
            <w:tcW w:type="dxa" w:w="1067"/>
            <w:tcMar>
              <w:top w:type="dxa" w:w="60"/>
              <w:left w:type="dxa" w:w="100"/>
              <w:bottom w:type="dxa" w:w="60"/>
              <w:right w:type="dxa" w:w="100"/>
            </w:tcMar>
            <w:vAlign w:val="center"/>
          </w:tcPr>
          <w:p>
            <w:pPr>
              <w:jc w:val="center"/>
            </w:pPr>
            <w:r>
              <w:rPr>
                <w:b w:val="false"/>
                <w:bCs w:val="false"/>
                <w:color w:val="000000"/>
                <w:sz w:val="19"/>
                <w:szCs w:val="19"/>
              </w:rPr>
              <w:t xml:space="preserve">-</w:t>
            </w:r>
          </w:p>
        </w:tc>
        <w:tc>
          <w:tcPr>
            <w:tcW w:type="dxa" w:w="1067"/>
            <w:tcMar>
              <w:top w:type="dxa" w:w="60"/>
              <w:left w:type="dxa" w:w="100"/>
              <w:bottom w:type="dxa" w:w="60"/>
              <w:right w:type="dxa" w:w="100"/>
            </w:tcMar>
            <w:vAlign w:val="center"/>
          </w:tcPr>
          <w:p>
            <w:pPr>
              <w:jc w:val="center"/>
            </w:pPr>
            <w:r>
              <w:rPr>
                <w:b w:val="false"/>
                <w:bCs w:val="false"/>
                <w:color w:val="000000"/>
                <w:sz w:val="19"/>
                <w:szCs w:val="19"/>
              </w:rPr>
              <w:t xml:space="preserve">-</w:t>
            </w:r>
          </w:p>
        </w:tc>
        <w:tc>
          <w:tcPr>
            <w:tcW w:type="dxa" w:w="1067"/>
            <w:tcMar>
              <w:top w:type="dxa" w:w="60"/>
              <w:left w:type="dxa" w:w="100"/>
              <w:bottom w:type="dxa" w:w="60"/>
              <w:right w:type="dxa" w:w="100"/>
            </w:tcMar>
            <w:vAlign w:val="center"/>
          </w:tcPr>
          <w:p>
            <w:pPr>
              <w:jc w:val="center"/>
            </w:pPr>
            <w:r>
              <w:rPr>
                <w:b w:val="false"/>
                <w:bCs w:val="false"/>
                <w:color w:val="000000"/>
                <w:sz w:val="19"/>
                <w:szCs w:val="19"/>
              </w:rPr>
              <w:t xml:space="preserve">-</w:t>
            </w:r>
          </w:p>
        </w:tc>
        <w:tc>
          <w:tcPr>
            <w:tcW w:type="dxa" w:w="1065"/>
            <w:tcMar>
              <w:top w:type="dxa" w:w="60"/>
              <w:left w:type="dxa" w:w="100"/>
              <w:bottom w:type="dxa" w:w="60"/>
              <w:right w:type="dxa" w:w="100"/>
            </w:tcMar>
            <w:vAlign w:val="center"/>
          </w:tcPr>
          <w:p>
            <w:pPr>
              <w:jc w:val="center"/>
            </w:pPr>
            <w:r>
              <w:rPr>
                <w:b w:val="false"/>
                <w:bCs w:val="false"/>
                <w:color w:val="000000"/>
                <w:sz w:val="19"/>
                <w:szCs w:val="19"/>
              </w:rPr>
              <w:t xml:space="preserve">-</w:t>
            </w:r>
          </w:p>
        </w:tc>
      </w:tr>
      <w:tr>
        <w:tc>
          <w:tcPr>
            <w:tcW w:type="dxa" w:w="2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Q3_StoreCleanliness</w:t>
            </w:r>
          </w:p>
        </w:tc>
        <w:tc>
          <w:tcPr>
            <w:tcW w:type="dxa" w:w="1067"/>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0.673</w:t>
            </w:r>
          </w:p>
        </w:tc>
        <w:tc>
          <w:tcPr>
            <w:tcW w:type="dxa" w:w="1067"/>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0.680</w:t>
            </w:r>
          </w:p>
        </w:tc>
        <w:tc>
          <w:tcPr>
            <w:tcW w:type="dxa" w:w="1067"/>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w:t>
            </w:r>
          </w:p>
        </w:tc>
        <w:tc>
          <w:tcPr>
            <w:tcW w:type="dxa" w:w="1067"/>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w:t>
            </w:r>
          </w:p>
        </w:tc>
        <w:tc>
          <w:tcPr>
            <w:tcW w:type="dxa" w:w="1067"/>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w:t>
            </w:r>
          </w:p>
        </w:tc>
        <w:tc>
          <w:tcPr>
            <w:tcW w:type="dxa" w:w="1065"/>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Q4_CheckoutSpeed</w:t>
            </w:r>
          </w:p>
        </w:tc>
        <w:tc>
          <w:tcPr>
            <w:tcW w:type="dxa" w:w="1067"/>
            <w:tcMar>
              <w:top w:type="dxa" w:w="60"/>
              <w:left w:type="dxa" w:w="100"/>
              <w:bottom w:type="dxa" w:w="60"/>
              <w:right w:type="dxa" w:w="100"/>
            </w:tcMar>
            <w:vAlign w:val="center"/>
          </w:tcPr>
          <w:p>
            <w:pPr>
              <w:jc w:val="center"/>
            </w:pPr>
            <w:r>
              <w:rPr>
                <w:b w:val="false"/>
                <w:bCs w:val="false"/>
                <w:color w:val="000000"/>
                <w:sz w:val="19"/>
                <w:szCs w:val="19"/>
              </w:rPr>
              <w:t xml:space="preserve">0.659</w:t>
            </w:r>
          </w:p>
        </w:tc>
        <w:tc>
          <w:tcPr>
            <w:tcW w:type="dxa" w:w="1067"/>
            <w:tcMar>
              <w:top w:type="dxa" w:w="60"/>
              <w:left w:type="dxa" w:w="100"/>
              <w:bottom w:type="dxa" w:w="60"/>
              <w:right w:type="dxa" w:w="100"/>
            </w:tcMar>
            <w:vAlign w:val="center"/>
          </w:tcPr>
          <w:p>
            <w:pPr>
              <w:jc w:val="center"/>
            </w:pPr>
            <w:r>
              <w:rPr>
                <w:b w:val="false"/>
                <w:bCs w:val="false"/>
                <w:color w:val="000000"/>
                <w:sz w:val="19"/>
                <w:szCs w:val="19"/>
              </w:rPr>
              <w:t xml:space="preserve">0.651</w:t>
            </w:r>
          </w:p>
        </w:tc>
        <w:tc>
          <w:tcPr>
            <w:tcW w:type="dxa" w:w="1067"/>
            <w:tcMar>
              <w:top w:type="dxa" w:w="60"/>
              <w:left w:type="dxa" w:w="100"/>
              <w:bottom w:type="dxa" w:w="60"/>
              <w:right w:type="dxa" w:w="100"/>
            </w:tcMar>
            <w:vAlign w:val="center"/>
          </w:tcPr>
          <w:p>
            <w:pPr>
              <w:jc w:val="center"/>
            </w:pPr>
            <w:r>
              <w:rPr>
                <w:b w:val="false"/>
                <w:bCs w:val="false"/>
                <w:color w:val="000000"/>
                <w:sz w:val="19"/>
                <w:szCs w:val="19"/>
              </w:rPr>
              <w:t xml:space="preserve">0.586</w:t>
            </w:r>
          </w:p>
        </w:tc>
        <w:tc>
          <w:tcPr>
            <w:tcW w:type="dxa" w:w="1067"/>
            <w:tcMar>
              <w:top w:type="dxa" w:w="60"/>
              <w:left w:type="dxa" w:w="100"/>
              <w:bottom w:type="dxa" w:w="60"/>
              <w:right w:type="dxa" w:w="100"/>
            </w:tcMar>
            <w:vAlign w:val="center"/>
          </w:tcPr>
          <w:p>
            <w:pPr>
              <w:jc w:val="center"/>
            </w:pPr>
            <w:r>
              <w:rPr>
                <w:b w:val="false"/>
                <w:bCs w:val="false"/>
                <w:color w:val="000000"/>
                <w:sz w:val="19"/>
                <w:szCs w:val="19"/>
              </w:rPr>
              <w:t xml:space="preserve">-</w:t>
            </w:r>
          </w:p>
        </w:tc>
        <w:tc>
          <w:tcPr>
            <w:tcW w:type="dxa" w:w="1067"/>
            <w:tcMar>
              <w:top w:type="dxa" w:w="60"/>
              <w:left w:type="dxa" w:w="100"/>
              <w:bottom w:type="dxa" w:w="60"/>
              <w:right w:type="dxa" w:w="100"/>
            </w:tcMar>
            <w:vAlign w:val="center"/>
          </w:tcPr>
          <w:p>
            <w:pPr>
              <w:jc w:val="center"/>
            </w:pPr>
            <w:r>
              <w:rPr>
                <w:b w:val="false"/>
                <w:bCs w:val="false"/>
                <w:color w:val="000000"/>
                <w:sz w:val="19"/>
                <w:szCs w:val="19"/>
              </w:rPr>
              <w:t xml:space="preserve">-</w:t>
            </w:r>
          </w:p>
        </w:tc>
        <w:tc>
          <w:tcPr>
            <w:tcW w:type="dxa" w:w="1065"/>
            <w:tcMar>
              <w:top w:type="dxa" w:w="60"/>
              <w:left w:type="dxa" w:w="100"/>
              <w:bottom w:type="dxa" w:w="60"/>
              <w:right w:type="dxa" w:w="100"/>
            </w:tcMar>
            <w:vAlign w:val="center"/>
          </w:tcPr>
          <w:p>
            <w:pPr>
              <w:jc w:val="center"/>
            </w:pPr>
            <w:r>
              <w:rPr>
                <w:b w:val="false"/>
                <w:bCs w:val="false"/>
                <w:color w:val="000000"/>
                <w:sz w:val="19"/>
                <w:szCs w:val="19"/>
              </w:rPr>
              <w:t xml:space="preserve">-</w:t>
            </w:r>
          </w:p>
        </w:tc>
      </w:tr>
      <w:tr>
        <w:tc>
          <w:tcPr>
            <w:tcW w:type="dxa" w:w="2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Q5_ValueForMoney</w:t>
            </w:r>
          </w:p>
        </w:tc>
        <w:tc>
          <w:tcPr>
            <w:tcW w:type="dxa" w:w="1067"/>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0.715</w:t>
            </w:r>
          </w:p>
        </w:tc>
        <w:tc>
          <w:tcPr>
            <w:tcW w:type="dxa" w:w="1067"/>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0.700</w:t>
            </w:r>
          </w:p>
        </w:tc>
        <w:tc>
          <w:tcPr>
            <w:tcW w:type="dxa" w:w="1067"/>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0.706</w:t>
            </w:r>
          </w:p>
        </w:tc>
        <w:tc>
          <w:tcPr>
            <w:tcW w:type="dxa" w:w="1067"/>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0.652</w:t>
            </w:r>
          </w:p>
        </w:tc>
        <w:tc>
          <w:tcPr>
            <w:tcW w:type="dxa" w:w="1067"/>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w:t>
            </w:r>
          </w:p>
        </w:tc>
        <w:tc>
          <w:tcPr>
            <w:tcW w:type="dxa" w:w="1065"/>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OverallSatisfaction</w:t>
            </w:r>
          </w:p>
        </w:tc>
        <w:tc>
          <w:tcPr>
            <w:tcW w:type="dxa" w:w="1067"/>
            <w:tcMar>
              <w:top w:type="dxa" w:w="60"/>
              <w:left w:type="dxa" w:w="100"/>
              <w:bottom w:type="dxa" w:w="60"/>
              <w:right w:type="dxa" w:w="100"/>
            </w:tcMar>
            <w:vAlign w:val="center"/>
          </w:tcPr>
          <w:p>
            <w:pPr>
              <w:jc w:val="center"/>
            </w:pPr>
            <w:r>
              <w:rPr>
                <w:b w:val="false"/>
                <w:bCs w:val="false"/>
                <w:color w:val="000000"/>
                <w:sz w:val="19"/>
                <w:szCs w:val="19"/>
              </w:rPr>
              <w:t xml:space="preserve">0.705</w:t>
            </w:r>
          </w:p>
        </w:tc>
        <w:tc>
          <w:tcPr>
            <w:tcW w:type="dxa" w:w="1067"/>
            <w:tcMar>
              <w:top w:type="dxa" w:w="60"/>
              <w:left w:type="dxa" w:w="100"/>
              <w:bottom w:type="dxa" w:w="60"/>
              <w:right w:type="dxa" w:w="100"/>
            </w:tcMar>
            <w:vAlign w:val="center"/>
          </w:tcPr>
          <w:p>
            <w:pPr>
              <w:jc w:val="center"/>
            </w:pPr>
            <w:r>
              <w:rPr>
                <w:b w:val="false"/>
                <w:bCs w:val="false"/>
                <w:color w:val="000000"/>
                <w:sz w:val="19"/>
                <w:szCs w:val="19"/>
              </w:rPr>
              <w:t xml:space="preserve">0.687</w:t>
            </w:r>
          </w:p>
        </w:tc>
        <w:tc>
          <w:tcPr>
            <w:tcW w:type="dxa" w:w="1067"/>
            <w:tcMar>
              <w:top w:type="dxa" w:w="60"/>
              <w:left w:type="dxa" w:w="100"/>
              <w:bottom w:type="dxa" w:w="60"/>
              <w:right w:type="dxa" w:w="100"/>
            </w:tcMar>
            <w:vAlign w:val="center"/>
          </w:tcPr>
          <w:p>
            <w:pPr>
              <w:jc w:val="center"/>
            </w:pPr>
            <w:r>
              <w:rPr>
                <w:b w:val="false"/>
                <w:bCs w:val="false"/>
                <w:color w:val="000000"/>
                <w:sz w:val="19"/>
                <w:szCs w:val="19"/>
              </w:rPr>
              <w:t xml:space="preserve">0.705</w:t>
            </w:r>
          </w:p>
        </w:tc>
        <w:tc>
          <w:tcPr>
            <w:tcW w:type="dxa" w:w="1067"/>
            <w:tcMar>
              <w:top w:type="dxa" w:w="60"/>
              <w:left w:type="dxa" w:w="100"/>
              <w:bottom w:type="dxa" w:w="60"/>
              <w:right w:type="dxa" w:w="100"/>
            </w:tcMar>
            <w:vAlign w:val="center"/>
          </w:tcPr>
          <w:p>
            <w:pPr>
              <w:jc w:val="center"/>
            </w:pPr>
            <w:r>
              <w:rPr>
                <w:b w:val="false"/>
                <w:bCs w:val="false"/>
                <w:color w:val="000000"/>
                <w:sz w:val="19"/>
                <w:szCs w:val="19"/>
              </w:rPr>
              <w:t xml:space="preserve">0.683</w:t>
            </w:r>
          </w:p>
        </w:tc>
        <w:tc>
          <w:tcPr>
            <w:tcW w:type="dxa" w:w="1067"/>
            <w:tcMar>
              <w:top w:type="dxa" w:w="60"/>
              <w:left w:type="dxa" w:w="100"/>
              <w:bottom w:type="dxa" w:w="60"/>
              <w:right w:type="dxa" w:w="100"/>
            </w:tcMar>
            <w:vAlign w:val="center"/>
          </w:tcPr>
          <w:p>
            <w:pPr>
              <w:jc w:val="center"/>
            </w:pPr>
            <w:r>
              <w:rPr>
                <w:b w:val="false"/>
                <w:bCs w:val="false"/>
                <w:color w:val="000000"/>
                <w:sz w:val="19"/>
                <w:szCs w:val="19"/>
              </w:rPr>
              <w:t xml:space="preserve">0.736</w:t>
            </w:r>
          </w:p>
        </w:tc>
        <w:tc>
          <w:tcPr>
            <w:tcW w:type="dxa" w:w="1065"/>
            <w:tcMar>
              <w:top w:type="dxa" w:w="60"/>
              <w:left w:type="dxa" w:w="100"/>
              <w:bottom w:type="dxa" w:w="60"/>
              <w:right w:type="dxa" w:w="100"/>
            </w:tcMar>
            <w:vAlign w:val="center"/>
          </w:tcPr>
          <w:p>
            <w:pPr>
              <w:jc w:val="center"/>
            </w:pPr>
            <w:r>
              <w:rPr>
                <w:b w:val="false"/>
                <w:bCs w:val="false"/>
                <w:color w:val="000000"/>
                <w:sz w:val="19"/>
                <w:szCs w:val="19"/>
              </w:rPr>
              <w:t xml:space="preserve">-</w:t>
            </w:r>
          </w:p>
        </w:tc>
      </w:tr>
      <w:tr>
        <w:tc>
          <w:tcPr>
            <w:tcW w:type="dxa" w:w="2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LikelihoodToRecommend</w:t>
            </w:r>
          </w:p>
        </w:tc>
        <w:tc>
          <w:tcPr>
            <w:tcW w:type="dxa" w:w="1067"/>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0.576</w:t>
            </w:r>
          </w:p>
        </w:tc>
        <w:tc>
          <w:tcPr>
            <w:tcW w:type="dxa" w:w="1067"/>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0.581</w:t>
            </w:r>
          </w:p>
        </w:tc>
        <w:tc>
          <w:tcPr>
            <w:tcW w:type="dxa" w:w="1067"/>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0.561</w:t>
            </w:r>
          </w:p>
        </w:tc>
        <w:tc>
          <w:tcPr>
            <w:tcW w:type="dxa" w:w="1067"/>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0.525</w:t>
            </w:r>
          </w:p>
        </w:tc>
        <w:tc>
          <w:tcPr>
            <w:tcW w:type="dxa" w:w="1067"/>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0.607</w:t>
            </w:r>
          </w:p>
        </w:tc>
        <w:tc>
          <w:tcPr>
            <w:tcW w:type="dxa" w:w="1065"/>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0.793</w:t>
            </w:r>
          </w:p>
        </w:tc>
      </w:tr>
    </w:tbl>
    <w:p>
      <w:pPr>
        <w:spacing w:after="140" w:line="300"/>
      </w:pPr>
      <w:r>
        <w:rPr>
          <w:i/>
          <w:iCs/>
          <w:sz w:val="18"/>
          <w:szCs w:val="18"/>
        </w:rPr>
        <w:t xml:space="preserve">All coefficients shown are significant at p &lt; .001.</w:t>
      </w:r>
    </w:p>
    <w:p>
      <w:pPr>
        <w:spacing w:after="60" w:before="160"/>
      </w:pPr>
      <w:r>
        <w:rPr>
          <w:b/>
          <w:bCs/>
          <w:color w:val="1F3864"/>
          <w:sz w:val="21"/>
          <w:szCs w:val="21"/>
        </w:rPr>
        <w:t xml:space="preserve">Interpretation</w:t>
      </w:r>
    </w:p>
    <w:p>
      <w:pPr>
        <w:spacing w:after="140" w:line="300"/>
      </w:pPr>
      <w:r>
        <w:rPr>
          <w:sz w:val="21"/>
          <w:szCs w:val="21"/>
        </w:rPr>
        <w:t xml:space="preserve">Every Q-item correlates strongly with every other Q-item (rho = .586 to .736), reinforcing the Reliability Analysis finding that these five items share a common underlying driver. Q5_ValueForMoney has the strongest links to both OverallSatisfaction (rho = .736) and to the other Q items on average, marking it as the most central/representative item in the scale, while Q4_CheckoutSpeed is consistently the weakest link (rho = .525-.659), again echoing its slightly distinct role found in the reliability analysis. OverallSatisfaction and LikelihoodToRecommend correlate at rho = .793, essentially replicating the Pearson result (r = .813) and confirming the relationship is not an artefact of scale assumptions.</w:t>
      </w:r>
    </w:p>
    <w:p>
      <w:pPr>
        <w:spacing w:after="60" w:before="100"/>
      </w:pPr>
      <w:r>
        <w:rPr>
          <w:b/>
          <w:bCs/>
          <w:color w:val="1F3864"/>
          <w:sz w:val="21"/>
          <w:szCs w:val="21"/>
        </w:rPr>
        <w:t xml:space="preserve">Key Insights Generated</w:t>
      </w:r>
    </w:p>
    <w:p>
      <w:pPr>
        <w:pStyle w:val="ListParagraph"/>
        <w:numPr>
          <w:ilvl w:val="0"/>
          <w:numId w:val="1"/>
        </w:numPr>
        <w:spacing w:after="60" w:line="280"/>
      </w:pPr>
      <w:r>
        <w:rPr>
          <w:sz w:val="21"/>
          <w:szCs w:val="21"/>
        </w:rPr>
        <w:t xml:space="preserve">Value for Money (Q5) is the single most influential satisfaction driver among the five service dimensions — pricing/promotions strategy should be prioritised if the retailer wants the fastest lift in OverallSatisfaction.</w:t>
      </w:r>
    </w:p>
    <w:p>
      <w:pPr>
        <w:pStyle w:val="ListParagraph"/>
        <w:numPr>
          <w:ilvl w:val="0"/>
          <w:numId w:val="1"/>
        </w:numPr>
        <w:spacing w:after="60" w:line="280"/>
      </w:pPr>
      <w:r>
        <w:rPr>
          <w:sz w:val="21"/>
          <w:szCs w:val="21"/>
        </w:rPr>
        <w:t xml:space="preserve">Checkout speed (Q4), while still important, has comparatively the smallest marginal association with overall sentiment — improving it will help but is not the highest-leverage lever.</w:t>
      </w:r>
    </w:p>
    <w:p>
      <w:pPr>
        <w:pStyle w:val="ListParagraph"/>
        <w:numPr>
          <w:ilvl w:val="0"/>
          <w:numId w:val="1"/>
        </w:numPr>
        <w:spacing w:after="60" w:line="280"/>
      </w:pPr>
      <w:r>
        <w:rPr>
          <w:sz w:val="21"/>
          <w:szCs w:val="21"/>
        </w:rPr>
        <w:t xml:space="preserve">The consistency between Pearson and Spearman results across this report shows the substantive conclusions are not sensitive to the choice of parametric vs non-parametric method, increasing confidence in the findings.</w:t>
      </w:r>
    </w:p>
    <w:p>
      <w:pPr>
        <w:spacing w:after="200"/>
      </w:pPr>
    </w:p>
    <w:p>
      <w:r>
        <w:br w:type="page"/>
      </w:r>
    </w:p>
    <w:p>
      <w:pPr>
        <w:pStyle w:val="Heading1"/>
        <w:pBdr>
          <w:bottom w:val="single" w:color="1F3864" w:sz="6" w:space="4"/>
        </w:pBdr>
        <w:spacing w:after="200" w:before="400"/>
      </w:pPr>
      <w:r>
        <w:rPr>
          <w:b/>
          <w:bCs/>
          <w:color w:val="1F3864"/>
          <w:sz w:val="30"/>
          <w:szCs w:val="30"/>
        </w:rPr>
        <w:t xml:space="preserve">9. Independent-Samples T-Test (Analyze &gt; Compare Means &gt; Independent-Samples T Test)</w:t>
      </w:r>
    </w:p>
    <w:p>
      <w:pPr>
        <w:spacing w:after="100" w:line="300"/>
      </w:pPr>
      <w:r>
        <w:rPr>
          <w:b/>
          <w:bCs/>
          <w:color w:val="1F3864"/>
          <w:sz w:val="21"/>
          <w:szCs w:val="21"/>
        </w:rPr>
        <w:t xml:space="preserve">Aim of the Analysis: </w:t>
      </w:r>
      <w:r>
        <w:rPr>
          <w:sz w:val="21"/>
          <w:szCs w:val="21"/>
        </w:rPr>
        <w:t xml:space="preserve">To test whether Male and Female customers differ significantly in mean spend, satisfaction, recommendation, and visit frequency.</w:t>
      </w:r>
    </w:p>
    <w:p>
      <w:pPr>
        <w:spacing w:after="100" w:line="300"/>
      </w:pPr>
      <w:r>
        <w:rPr>
          <w:b/>
          <w:bCs/>
          <w:color w:val="1F3864"/>
          <w:sz w:val="21"/>
          <w:szCs w:val="21"/>
        </w:rPr>
        <w:t xml:space="preserve">Columns / Variables Involved: </w:t>
      </w:r>
      <w:r>
        <w:rPr>
          <w:sz w:val="21"/>
          <w:szCs w:val="21"/>
        </w:rPr>
        <w:t xml:space="preserve">Grouping variable: Gender (Male/Female). Test variables: MonthlySpend_Naira, OverallSatisfaction, LikelihoodToRecommend, VisitsPerMonth</w:t>
      </w:r>
    </w:p>
    <w:p>
      <w:pPr>
        <w:spacing w:after="60" w:before="100"/>
      </w:pPr>
      <w:r>
        <w:rPr>
          <w:b/>
          <w:bCs/>
          <w:color w:val="1F3864"/>
          <w:sz w:val="21"/>
          <w:szCs w:val="21"/>
        </w:rPr>
        <w:t xml:space="preserve">Step-by-Step Procedure in SPSS</w:t>
      </w:r>
    </w:p>
    <w:p>
      <w:pPr>
        <w:spacing w:after="60" w:line="280"/>
      </w:pPr>
      <w:r>
        <w:rPr>
          <w:sz w:val="21"/>
          <w:szCs w:val="21"/>
        </w:rPr>
        <w:t xml:space="preserve">1. Analyze &gt; Compare Means &gt; Independent-Samples T Test.</w:t>
      </w:r>
    </w:p>
    <w:p>
      <w:pPr>
        <w:spacing w:after="60" w:line="280"/>
      </w:pPr>
      <w:r>
        <w:rPr>
          <w:sz w:val="21"/>
          <w:szCs w:val="21"/>
        </w:rPr>
        <w:t xml:space="preserve">2. Move the four scale variables into the Test Variable(s) box.</w:t>
      </w:r>
    </w:p>
    <w:p>
      <w:pPr>
        <w:spacing w:after="60" w:line="280"/>
      </w:pPr>
      <w:r>
        <w:rPr>
          <w:sz w:val="21"/>
          <w:szCs w:val="21"/>
        </w:rPr>
        <w:t xml:space="preserve">3. Move Gender into Grouping Variable, click Define Groups, enter Male=1 / Female=2 (or the value labels used).</w:t>
      </w:r>
    </w:p>
    <w:p>
      <w:pPr>
        <w:spacing w:after="60" w:line="280"/>
      </w:pPr>
      <w:r>
        <w:rPr>
          <w:sz w:val="21"/>
          <w:szCs w:val="21"/>
        </w:rPr>
        <w:t xml:space="preserve">4. Click OK; SPSS reports both the Levene's Test for equality of variances and the corresponding t-test row.</w:t>
      </w:r>
    </w:p>
    <w:p>
      <w:pPr>
        <w:spacing w:after="80" w:before="140"/>
      </w:pPr>
      <w:r>
        <w:rPr>
          <w:b/>
          <w:bCs/>
          <w:color w:val="1F3864"/>
          <w:sz w:val="21"/>
          <w:szCs w:val="21"/>
        </w:rPr>
        <w:t xml:space="preserve">SPSS Output — Group Statistics &amp; Independent Samples Test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900"/>
        <w:gridCol w:w="1300"/>
        <w:gridCol w:w="900"/>
        <w:gridCol w:w="1400"/>
      </w:tblGrid>
      <w:tr>
        <w:trPr>
          <w:tblHeader/>
        </w:trPr>
        <w:tc>
          <w:tcPr>
            <w:tcW w:type="dxa" w:w="2600"/>
            <w:shd w:fill="1F3864" w:color="auto"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1900"/>
            <w:shd w:fill="1F3864" w:color="auto" w:val="clear"/>
            <w:tcMar>
              <w:top w:type="dxa" w:w="60"/>
              <w:left w:type="dxa" w:w="100"/>
              <w:bottom w:type="dxa" w:w="60"/>
              <w:right w:type="dxa" w:w="100"/>
            </w:tcMar>
            <w:vAlign w:val="center"/>
          </w:tcPr>
          <w:p>
            <w:pPr>
              <w:jc w:val="center"/>
            </w:pPr>
            <w:r>
              <w:rPr>
                <w:b/>
                <w:bCs/>
                <w:color w:val="FFFFFF"/>
                <w:sz w:val="19"/>
                <w:szCs w:val="19"/>
              </w:rPr>
              <w:t xml:space="preserve">Male Mean (SD)</w:t>
            </w:r>
          </w:p>
        </w:tc>
        <w:tc>
          <w:tcPr>
            <w:tcW w:type="dxa" w:w="1900"/>
            <w:shd w:fill="1F3864" w:color="auto" w:val="clear"/>
            <w:tcMar>
              <w:top w:type="dxa" w:w="60"/>
              <w:left w:type="dxa" w:w="100"/>
              <w:bottom w:type="dxa" w:w="60"/>
              <w:right w:type="dxa" w:w="100"/>
            </w:tcMar>
            <w:vAlign w:val="center"/>
          </w:tcPr>
          <w:p>
            <w:pPr>
              <w:jc w:val="center"/>
            </w:pPr>
            <w:r>
              <w:rPr>
                <w:b/>
                <w:bCs/>
                <w:color w:val="FFFFFF"/>
                <w:sz w:val="19"/>
                <w:szCs w:val="19"/>
              </w:rPr>
              <w:t xml:space="preserve">Female Mean (SD)</w:t>
            </w:r>
          </w:p>
        </w:tc>
        <w:tc>
          <w:tcPr>
            <w:tcW w:type="dxa" w:w="1300"/>
            <w:shd w:fill="1F3864" w:color="auto" w:val="clear"/>
            <w:tcMar>
              <w:top w:type="dxa" w:w="60"/>
              <w:left w:type="dxa" w:w="100"/>
              <w:bottom w:type="dxa" w:w="60"/>
              <w:right w:type="dxa" w:w="100"/>
            </w:tcMar>
            <w:vAlign w:val="center"/>
          </w:tcPr>
          <w:p>
            <w:pPr>
              <w:jc w:val="center"/>
            </w:pPr>
            <w:r>
              <w:rPr>
                <w:b/>
                <w:bCs/>
                <w:color w:val="FFFFFF"/>
                <w:sz w:val="19"/>
                <w:szCs w:val="19"/>
              </w:rPr>
              <w:t xml:space="preserve">Levene's F (p)</w:t>
            </w:r>
          </w:p>
        </w:tc>
        <w:tc>
          <w:tcPr>
            <w:tcW w:type="dxa" w:w="900"/>
            <w:shd w:fill="1F3864" w:color="auto" w:val="clear"/>
            <w:tcMar>
              <w:top w:type="dxa" w:w="60"/>
              <w:left w:type="dxa" w:w="100"/>
              <w:bottom w:type="dxa" w:w="60"/>
              <w:right w:type="dxa" w:w="100"/>
            </w:tcMar>
            <w:vAlign w:val="center"/>
          </w:tcPr>
          <w:p>
            <w:pPr>
              <w:jc w:val="center"/>
            </w:pPr>
            <w:r>
              <w:rPr>
                <w:b/>
                <w:bCs/>
                <w:color w:val="FFFFFF"/>
                <w:sz w:val="19"/>
                <w:szCs w:val="19"/>
              </w:rPr>
              <w:t xml:space="preserve">t (df)</w:t>
            </w:r>
          </w:p>
        </w:tc>
        <w:tc>
          <w:tcPr>
            <w:tcW w:type="dxa" w:w="1400"/>
            <w:shd w:fill="1F3864" w:color="auto" w:val="clear"/>
            <w:tcMar>
              <w:top w:type="dxa" w:w="60"/>
              <w:left w:type="dxa" w:w="100"/>
              <w:bottom w:type="dxa" w:w="60"/>
              <w:right w:type="dxa" w:w="100"/>
            </w:tcMar>
            <w:vAlign w:val="center"/>
          </w:tcPr>
          <w:p>
            <w:pPr>
              <w:jc w:val="center"/>
            </w:pPr>
            <w:r>
              <w:rPr>
                <w:b/>
                <w:bCs/>
                <w:color w:val="FFFFFF"/>
                <w:sz w:val="19"/>
                <w:szCs w:val="19"/>
              </w:rPr>
              <w:t xml:space="preserve">Sig. (2-tailed)</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MonthlySpend_Naira</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31,672.64 (18,986.28)</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27,949.61 (16,345.16)</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2.255 (.135)</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1.608 (231)</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.109</w:t>
            </w:r>
          </w:p>
        </w:tc>
      </w:tr>
      <w:tr>
        <w:tc>
          <w:tcPr>
            <w:tcW w:type="dxa" w:w="2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OverallSatisfaction</w:t>
            </w:r>
          </w:p>
        </w:tc>
        <w:tc>
          <w:tcPr>
            <w:tcW w:type="dxa" w:w="1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5.44 (2.05)</w:t>
            </w:r>
          </w:p>
        </w:tc>
        <w:tc>
          <w:tcPr>
            <w:tcW w:type="dxa" w:w="1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5.55 (2.18)</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0.117 (.733)</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-0.398 (234)</w:t>
            </w:r>
          </w:p>
        </w:tc>
        <w:tc>
          <w:tcPr>
            <w:tcW w:type="dxa" w:w="1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.691</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LikelihoodToRecommend</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4.98 (2.22)</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5.02 (2.28)</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0.979 (.323)</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-0.138 (248)</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.890</w:t>
            </w:r>
          </w:p>
        </w:tc>
      </w:tr>
      <w:tr>
        <w:tc>
          <w:tcPr>
            <w:tcW w:type="dxa" w:w="2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VisitsPerMonth</w:t>
            </w:r>
          </w:p>
        </w:tc>
        <w:tc>
          <w:tcPr>
            <w:tcW w:type="dxa" w:w="1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2.66 (1.91)</w:t>
            </w:r>
          </w:p>
        </w:tc>
        <w:tc>
          <w:tcPr>
            <w:tcW w:type="dxa" w:w="1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2.27 (1.81)</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1.420 (.235)</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1.642 (248)</w:t>
            </w:r>
          </w:p>
        </w:tc>
        <w:tc>
          <w:tcPr>
            <w:tcW w:type="dxa" w:w="1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.102</w:t>
            </w:r>
          </w:p>
        </w:tc>
      </w:tr>
    </w:tbl>
    <w:p>
      <w:pPr>
        <w:spacing w:after="60" w:before="160"/>
      </w:pPr>
      <w:r>
        <w:rPr>
          <w:b/>
          <w:bCs/>
          <w:color w:val="1F3864"/>
          <w:sz w:val="21"/>
          <w:szCs w:val="21"/>
        </w:rPr>
        <w:t xml:space="preserve">Interpretation</w:t>
      </w:r>
    </w:p>
    <w:p>
      <w:pPr>
        <w:spacing w:after="140" w:line="300"/>
      </w:pPr>
      <w:r>
        <w:rPr>
          <w:sz w:val="21"/>
          <w:szCs w:val="21"/>
        </w:rPr>
        <w:t xml:space="preserve">For every outcome tested, Levene's test is non-significant (all p &gt; .05), so the "equal variances assumed" row is the correct one to read — and in every case the equal- and unequal-variance t-statistics are almost identical, confirming the variance assumption is not in doubt. None of the four t-tests is statistically significant (all p-values range from .102 to .890), meaning gender has no detectable effect on spend, satisfaction, recommendation likelihood, or visit frequency in this sample. The largest (still non-significant) gap is in monthly spend, where men average about ₦3,723 more than women per month (t(231) = 1.608, p = .109) — a trend, not a finding.</w:t>
      </w:r>
    </w:p>
    <w:p>
      <w:pPr>
        <w:spacing w:after="60" w:before="100"/>
      </w:pPr>
      <w:r>
        <w:rPr>
          <w:b/>
          <w:bCs/>
          <w:color w:val="1F3864"/>
          <w:sz w:val="21"/>
          <w:szCs w:val="21"/>
        </w:rPr>
        <w:t xml:space="preserve">Key Insights Generated</w:t>
      </w:r>
    </w:p>
    <w:p>
      <w:pPr>
        <w:pStyle w:val="ListParagraph"/>
        <w:numPr>
          <w:ilvl w:val="0"/>
          <w:numId w:val="1"/>
        </w:numPr>
        <w:spacing w:after="60" w:line="280"/>
      </w:pPr>
      <w:r>
        <w:rPr>
          <w:sz w:val="21"/>
          <w:szCs w:val="21"/>
        </w:rPr>
        <w:t xml:space="preserve">Gender-based marketing segmentation is not statistically supported by this data — men and women behave the same, on average, across spend, satisfaction, loyalty and visit frequency.</w:t>
      </w:r>
    </w:p>
    <w:p>
      <w:pPr>
        <w:pStyle w:val="ListParagraph"/>
        <w:numPr>
          <w:ilvl w:val="0"/>
          <w:numId w:val="1"/>
        </w:numPr>
        <w:spacing w:after="60" w:line="280"/>
      </w:pPr>
      <w:r>
        <w:rPr>
          <w:sz w:val="21"/>
          <w:szCs w:val="21"/>
        </w:rPr>
        <w:t xml:space="preserve">Marketing budget currently allocated to gender-differentiated campaigns could likely be reallocated to segments shown to matter more elsewhere in this report (e.g., satisfaction tier, membership tier).</w:t>
      </w:r>
    </w:p>
    <w:p>
      <w:pPr>
        <w:spacing w:after="200"/>
      </w:pPr>
    </w:p>
    <w:p>
      <w:r>
        <w:br w:type="page"/>
      </w:r>
    </w:p>
    <w:p>
      <w:pPr>
        <w:pStyle w:val="Heading1"/>
        <w:pBdr>
          <w:bottom w:val="single" w:color="1F3864" w:sz="6" w:space="4"/>
        </w:pBdr>
        <w:spacing w:after="200" w:before="400"/>
      </w:pPr>
      <w:r>
        <w:rPr>
          <w:b/>
          <w:bCs/>
          <w:color w:val="1F3864"/>
          <w:sz w:val="30"/>
          <w:szCs w:val="30"/>
        </w:rPr>
        <w:t xml:space="preserve">10. Paired-Samples T-Test (Analyze &gt; Compare Means &gt; Paired-Samples T Test)</w:t>
      </w:r>
    </w:p>
    <w:p>
      <w:pPr>
        <w:spacing w:after="100" w:line="300"/>
      </w:pPr>
      <w:r>
        <w:rPr>
          <w:b/>
          <w:bCs/>
          <w:color w:val="1F3864"/>
          <w:sz w:val="21"/>
          <w:szCs w:val="21"/>
        </w:rPr>
        <w:t xml:space="preserve">Aim of the Analysis: </w:t>
      </w:r>
      <w:r>
        <w:rPr>
          <w:sz w:val="21"/>
          <w:szCs w:val="21"/>
        </w:rPr>
        <w:t xml:space="preserve">To test whether customers rate OverallSatisfaction and LikelihoodToRecommend differently on average, since both are measured on the same 0-10 scale for the same respondents (a repeated-measures comparison).</w:t>
      </w:r>
    </w:p>
    <w:p>
      <w:pPr>
        <w:spacing w:after="100" w:line="300"/>
      </w:pPr>
      <w:r>
        <w:rPr>
          <w:b/>
          <w:bCs/>
          <w:color w:val="1F3864"/>
          <w:sz w:val="21"/>
          <w:szCs w:val="21"/>
        </w:rPr>
        <w:t xml:space="preserve">Columns / Variables Involved: </w:t>
      </w:r>
      <w:r>
        <w:rPr>
          <w:sz w:val="21"/>
          <w:szCs w:val="21"/>
        </w:rPr>
        <w:t xml:space="preserve">OverallSatisfaction, LikelihoodToRecommend (paired within-subject)</w:t>
      </w:r>
    </w:p>
    <w:p>
      <w:pPr>
        <w:spacing w:after="60" w:before="100"/>
      </w:pPr>
      <w:r>
        <w:rPr>
          <w:b/>
          <w:bCs/>
          <w:color w:val="1F3864"/>
          <w:sz w:val="21"/>
          <w:szCs w:val="21"/>
        </w:rPr>
        <w:t xml:space="preserve">Step-by-Step Procedure in SPSS</w:t>
      </w:r>
    </w:p>
    <w:p>
      <w:pPr>
        <w:spacing w:after="60" w:line="280"/>
      </w:pPr>
      <w:r>
        <w:rPr>
          <w:sz w:val="21"/>
          <w:szCs w:val="21"/>
        </w:rPr>
        <w:t xml:space="preserve">1. Analyze &gt; Compare Means &gt; Paired-Samples T Test.</w:t>
      </w:r>
    </w:p>
    <w:p>
      <w:pPr>
        <w:spacing w:after="60" w:line="280"/>
      </w:pPr>
      <w:r>
        <w:rPr>
          <w:sz w:val="21"/>
          <w:szCs w:val="21"/>
        </w:rPr>
        <w:t xml:space="preserve">2. Select OverallSatisfaction as Variable 1 and LikelihoodToRecommend as Variable 2 to form Pair 1.</w:t>
      </w:r>
    </w:p>
    <w:p>
      <w:pPr>
        <w:spacing w:after="60" w:line="280"/>
      </w:pPr>
      <w:r>
        <w:rPr>
          <w:sz w:val="21"/>
          <w:szCs w:val="21"/>
        </w:rPr>
        <w:t xml:space="preserve">3. Click OK.</w:t>
      </w:r>
    </w:p>
    <w:p>
      <w:pPr>
        <w:spacing w:after="80" w:before="140"/>
      </w:pPr>
      <w:r>
        <w:rPr>
          <w:b/>
          <w:bCs/>
          <w:color w:val="1F3864"/>
          <w:sz w:val="21"/>
          <w:szCs w:val="21"/>
        </w:rPr>
        <w:t xml:space="preserve">SPSS Output — Paired Samples Statistics &amp; Test</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700"/>
        <w:gridCol w:w="900"/>
        <w:gridCol w:w="1400"/>
        <w:gridCol w:w="1000"/>
        <w:gridCol w:w="900"/>
        <w:gridCol w:w="1000"/>
        <w:gridCol w:w="1200"/>
      </w:tblGrid>
      <w:tr>
        <w:trPr>
          <w:tblHeader/>
        </w:trPr>
        <w:tc>
          <w:tcPr>
            <w:tcW w:type="dxa" w:w="2600"/>
            <w:shd w:fill="1F3864" w:color="auto" w:val="clear"/>
            <w:tcMar>
              <w:top w:type="dxa" w:w="60"/>
              <w:left w:type="dxa" w:w="100"/>
              <w:bottom w:type="dxa" w:w="60"/>
              <w:right w:type="dxa" w:w="100"/>
            </w:tcMar>
            <w:vAlign w:val="center"/>
          </w:tcPr>
          <w:p>
            <w:pPr>
              <w:jc w:val="center"/>
            </w:pPr>
            <w:r>
              <w:rPr>
                <w:b/>
                <w:bCs/>
                <w:color w:val="FFFFFF"/>
                <w:sz w:val="19"/>
                <w:szCs w:val="19"/>
              </w:rPr>
              <w:t xml:space="preserve">Pair</w:t>
            </w:r>
          </w:p>
        </w:tc>
        <w:tc>
          <w:tcPr>
            <w:tcW w:type="dxa" w:w="900"/>
            <w:shd w:fill="1F3864" w:color="auto" w:val="clear"/>
            <w:tcMar>
              <w:top w:type="dxa" w:w="60"/>
              <w:left w:type="dxa" w:w="100"/>
              <w:bottom w:type="dxa" w:w="60"/>
              <w:right w:type="dxa" w:w="100"/>
            </w:tcMar>
            <w:vAlign w:val="center"/>
          </w:tcPr>
          <w:p>
            <w:pPr>
              <w:jc w:val="center"/>
            </w:pPr>
            <w:r>
              <w:rPr>
                <w:b/>
                <w:bCs/>
                <w:color w:val="FFFFFF"/>
                <w:sz w:val="19"/>
                <w:szCs w:val="19"/>
              </w:rPr>
              <w:t xml:space="preserve">Mean</w:t>
            </w:r>
          </w:p>
        </w:tc>
        <w:tc>
          <w:tcPr>
            <w:tcW w:type="dxa" w:w="700"/>
            <w:shd w:fill="1F3864" w:color="auto"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900"/>
            <w:shd w:fill="1F3864" w:color="auto" w:val="clear"/>
            <w:tcMar>
              <w:top w:type="dxa" w:w="60"/>
              <w:left w:type="dxa" w:w="100"/>
              <w:bottom w:type="dxa" w:w="60"/>
              <w:right w:type="dxa" w:w="100"/>
            </w:tcMar>
            <w:vAlign w:val="center"/>
          </w:tcPr>
          <w:p>
            <w:pPr>
              <w:jc w:val="center"/>
            </w:pPr>
            <w:r>
              <w:rPr>
                <w:b/>
                <w:bCs/>
                <w:color w:val="FFFFFF"/>
                <w:sz w:val="19"/>
                <w:szCs w:val="19"/>
              </w:rPr>
              <w:t xml:space="preserve">SD</w:t>
            </w:r>
          </w:p>
        </w:tc>
        <w:tc>
          <w:tcPr>
            <w:tcW w:type="dxa" w:w="1400"/>
            <w:shd w:fill="1F3864" w:color="auto" w:val="clear"/>
            <w:tcMar>
              <w:top w:type="dxa" w:w="60"/>
              <w:left w:type="dxa" w:w="100"/>
              <w:bottom w:type="dxa" w:w="60"/>
              <w:right w:type="dxa" w:w="100"/>
            </w:tcMar>
            <w:vAlign w:val="center"/>
          </w:tcPr>
          <w:p>
            <w:pPr>
              <w:jc w:val="center"/>
            </w:pPr>
            <w:r>
              <w:rPr>
                <w:b/>
                <w:bCs/>
                <w:color w:val="FFFFFF"/>
                <w:sz w:val="19"/>
                <w:szCs w:val="19"/>
              </w:rPr>
              <w:t xml:space="preserve">Correlation</w:t>
            </w:r>
          </w:p>
        </w:tc>
        <w:tc>
          <w:tcPr>
            <w:tcW w:type="dxa" w:w="1000"/>
            <w:shd w:fill="1F3864" w:color="auto" w:val="clear"/>
            <w:tcMar>
              <w:top w:type="dxa" w:w="60"/>
              <w:left w:type="dxa" w:w="100"/>
              <w:bottom w:type="dxa" w:w="60"/>
              <w:right w:type="dxa" w:w="100"/>
            </w:tcMar>
            <w:vAlign w:val="center"/>
          </w:tcPr>
          <w:p>
            <w:pPr>
              <w:jc w:val="center"/>
            </w:pPr>
            <w:r>
              <w:rPr>
                <w:b/>
                <w:bCs/>
                <w:color w:val="FFFFFF"/>
                <w:sz w:val="19"/>
                <w:szCs w:val="19"/>
              </w:rPr>
              <w:t xml:space="preserve">Mean Diff</w:t>
            </w:r>
          </w:p>
        </w:tc>
        <w:tc>
          <w:tcPr>
            <w:tcW w:type="dxa" w:w="900"/>
            <w:shd w:fill="1F3864" w:color="auto" w:val="clear"/>
            <w:tcMar>
              <w:top w:type="dxa" w:w="60"/>
              <w:left w:type="dxa" w:w="100"/>
              <w:bottom w:type="dxa" w:w="60"/>
              <w:right w:type="dxa" w:w="100"/>
            </w:tcMar>
            <w:vAlign w:val="center"/>
          </w:tcPr>
          <w:p>
            <w:pPr>
              <w:jc w:val="center"/>
            </w:pPr>
            <w:r>
              <w:rPr>
                <w:b/>
                <w:bCs/>
                <w:color w:val="FFFFFF"/>
                <w:sz w:val="19"/>
                <w:szCs w:val="19"/>
              </w:rPr>
              <w:t xml:space="preserve">SD Diff</w:t>
            </w:r>
          </w:p>
        </w:tc>
        <w:tc>
          <w:tcPr>
            <w:tcW w:type="dxa" w:w="1000"/>
            <w:shd w:fill="1F3864" w:color="auto" w:val="clear"/>
            <w:tcMar>
              <w:top w:type="dxa" w:w="60"/>
              <w:left w:type="dxa" w:w="100"/>
              <w:bottom w:type="dxa" w:w="60"/>
              <w:right w:type="dxa" w:w="100"/>
            </w:tcMar>
            <w:vAlign w:val="center"/>
          </w:tcPr>
          <w:p>
            <w:pPr>
              <w:jc w:val="center"/>
            </w:pPr>
            <w:r>
              <w:rPr>
                <w:b/>
                <w:bCs/>
                <w:color w:val="FFFFFF"/>
                <w:sz w:val="19"/>
                <w:szCs w:val="19"/>
              </w:rPr>
              <w:t xml:space="preserve">t (df)</w:t>
            </w:r>
          </w:p>
        </w:tc>
        <w:tc>
          <w:tcPr>
            <w:tcW w:type="dxa" w:w="1200"/>
            <w:shd w:fill="1F3864" w:color="auto" w:val="clear"/>
            <w:tcMar>
              <w:top w:type="dxa" w:w="60"/>
              <w:left w:type="dxa" w:w="100"/>
              <w:bottom w:type="dxa" w:w="60"/>
              <w:right w:type="dxa" w:w="100"/>
            </w:tcMar>
            <w:vAlign w:val="center"/>
          </w:tcPr>
          <w:p>
            <w:pPr>
              <w:jc w:val="center"/>
            </w:pPr>
            <w:r>
              <w:rPr>
                <w:b/>
                <w:bCs/>
                <w:color w:val="FFFFFF"/>
                <w:sz w:val="19"/>
                <w:szCs w:val="19"/>
              </w:rPr>
              <w:t xml:space="preserve">Sig. (2-tailed)</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OverallSatisfaction</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5.50</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236</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2.12</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0.815 (p&lt;.001)</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0.492</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1.342</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5.628 (235)</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&lt;.001</w:t>
            </w:r>
          </w:p>
        </w:tc>
      </w:tr>
      <w:tr>
        <w:tc>
          <w:tcPr>
            <w:tcW w:type="dxa" w:w="2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LikelihoodToRecommend</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5.01</w:t>
            </w:r>
          </w:p>
        </w:tc>
        <w:tc>
          <w:tcPr>
            <w:tcW w:type="dxa" w:w="7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236</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2.25</w:t>
            </w:r>
          </w:p>
        </w:tc>
        <w:tc>
          <w:tcPr>
            <w:tcW w:type="dxa" w:w="1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1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1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1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
            </w:r>
          </w:p>
        </w:tc>
      </w:tr>
    </w:tbl>
    <w:p>
      <w:pPr>
        <w:spacing w:after="60" w:before="160"/>
      </w:pPr>
      <w:r>
        <w:rPr>
          <w:b/>
          <w:bCs/>
          <w:color w:val="1F3864"/>
          <w:sz w:val="21"/>
          <w:szCs w:val="21"/>
        </w:rPr>
        <w:t xml:space="preserve">Interpretation</w:t>
      </w:r>
    </w:p>
    <w:p>
      <w:pPr>
        <w:spacing w:after="140" w:line="300"/>
      </w:pPr>
      <w:r>
        <w:rPr>
          <w:sz w:val="21"/>
          <w:szCs w:val="21"/>
        </w:rPr>
        <w:t xml:space="preserve">The two variables are very strongly correlated within customers (r = .815, p &lt; .001), as already seen in the Pearson/Spearman sections, confirming they move together. Despite this, the paired t-test shows a small but statistically significant difference: customers rate OverallSatisfaction (M = 5.50) about half a point higher on average than LikelihoodToRecommend (M = 5.01), a mean difference of 0.492 (t(235) = 5.628, p &lt; .001). In other words, customers are consistently slightly more generous when rating their own experience than when rating their willingness to actively recommend the retailer to others.</w:t>
      </w:r>
    </w:p>
    <w:p>
      <w:pPr>
        <w:spacing w:after="60" w:before="100"/>
      </w:pPr>
      <w:r>
        <w:rPr>
          <w:b/>
          <w:bCs/>
          <w:color w:val="1F3864"/>
          <w:sz w:val="21"/>
          <w:szCs w:val="21"/>
        </w:rPr>
        <w:t xml:space="preserve">Key Insights Generated</w:t>
      </w:r>
    </w:p>
    <w:p>
      <w:pPr>
        <w:pStyle w:val="ListParagraph"/>
        <w:numPr>
          <w:ilvl w:val="0"/>
          <w:numId w:val="1"/>
        </w:numPr>
        <w:spacing w:after="60" w:line="280"/>
      </w:pPr>
      <w:r>
        <w:rPr>
          <w:sz w:val="21"/>
          <w:szCs w:val="21"/>
        </w:rPr>
        <w:t xml:space="preserve">There is a small but statistically reliable "satisfaction-to-advocacy gap" — customers who are satisfied do not automatically translate that into an equally strong willingness to recommend, which matters for any word-of-mouth or referral-based growth strategy.</w:t>
      </w:r>
    </w:p>
    <w:p>
      <w:pPr>
        <w:pStyle w:val="ListParagraph"/>
        <w:numPr>
          <w:ilvl w:val="0"/>
          <w:numId w:val="1"/>
        </w:numPr>
        <w:spacing w:after="60" w:line="280"/>
      </w:pPr>
      <w:r>
        <w:rPr>
          <w:sz w:val="21"/>
          <w:szCs w:val="21"/>
        </w:rPr>
        <w:t xml:space="preserve">Referral/NPS-style KPIs should not be assumed interchangeable with satisfaction KPIs when setting targets — they track together but are not numerically the same metric.</w:t>
      </w:r>
    </w:p>
    <w:p>
      <w:pPr>
        <w:spacing w:after="200"/>
      </w:pPr>
    </w:p>
    <w:p>
      <w:r>
        <w:br w:type="page"/>
      </w:r>
    </w:p>
    <w:p>
      <w:pPr>
        <w:pStyle w:val="Heading1"/>
        <w:pBdr>
          <w:bottom w:val="single" w:color="1F3864" w:sz="6" w:space="4"/>
        </w:pBdr>
        <w:spacing w:after="200" w:before="400"/>
      </w:pPr>
      <w:r>
        <w:rPr>
          <w:b/>
          <w:bCs/>
          <w:color w:val="1F3864"/>
          <w:sz w:val="30"/>
          <w:szCs w:val="30"/>
        </w:rPr>
        <w:t xml:space="preserve">11. One-Way ANOVA with Post-Hoc Comparisons (Analyze &gt; Compare Means &gt; One-Way ANOVA)</w:t>
      </w:r>
    </w:p>
    <w:p>
      <w:pPr>
        <w:spacing w:after="100" w:line="300"/>
      </w:pPr>
      <w:r>
        <w:rPr>
          <w:b/>
          <w:bCs/>
          <w:color w:val="1F3864"/>
          <w:sz w:val="21"/>
          <w:szCs w:val="21"/>
        </w:rPr>
        <w:t xml:space="preserve">Aim of the Analysis: </w:t>
      </w:r>
      <w:r>
        <w:rPr>
          <w:sz w:val="21"/>
          <w:szCs w:val="21"/>
        </w:rPr>
        <w:t xml:space="preserve">To test whether mean MonthlySpend differs across the four Membership Tiers, and whether mean OverallSatisfaction differs across the five Store Locations, and — if the overall F-test is significant — which specific group pairs differ (post-hoc).</w:t>
      </w:r>
    </w:p>
    <w:p>
      <w:pPr>
        <w:spacing w:after="100" w:line="300"/>
      </w:pPr>
      <w:r>
        <w:rPr>
          <w:b/>
          <w:bCs/>
          <w:color w:val="1F3864"/>
          <w:sz w:val="21"/>
          <w:szCs w:val="21"/>
        </w:rPr>
        <w:t xml:space="preserve">Columns / Variables Involved: </w:t>
      </w:r>
      <w:r>
        <w:rPr>
          <w:sz w:val="21"/>
          <w:szCs w:val="21"/>
        </w:rPr>
        <w:t xml:space="preserve">Test 1 — Dependent: MonthlySpend_Naira; Factor: MembershipTier. Test 2 — Dependent: OverallSatisfaction; Factor: StoreLocation</w:t>
      </w:r>
    </w:p>
    <w:p>
      <w:pPr>
        <w:spacing w:after="60" w:before="100"/>
      </w:pPr>
      <w:r>
        <w:rPr>
          <w:b/>
          <w:bCs/>
          <w:color w:val="1F3864"/>
          <w:sz w:val="21"/>
          <w:szCs w:val="21"/>
        </w:rPr>
        <w:t xml:space="preserve">Step-by-Step Procedure in SPSS</w:t>
      </w:r>
    </w:p>
    <w:p>
      <w:pPr>
        <w:spacing w:after="60" w:line="280"/>
      </w:pPr>
      <w:r>
        <w:rPr>
          <w:sz w:val="21"/>
          <w:szCs w:val="21"/>
        </w:rPr>
        <w:t xml:space="preserve">1. Analyze &gt; Compare Means &gt; One-Way ANOVA.</w:t>
      </w:r>
    </w:p>
    <w:p>
      <w:pPr>
        <w:spacing w:after="60" w:line="280"/>
      </w:pPr>
      <w:r>
        <w:rPr>
          <w:sz w:val="21"/>
          <w:szCs w:val="21"/>
        </w:rPr>
        <w:t xml:space="preserve">2. Move the dependent variable into Dependent List and the grouping variable into Factor.</w:t>
      </w:r>
    </w:p>
    <w:p>
      <w:pPr>
        <w:spacing w:after="60" w:line="280"/>
      </w:pPr>
      <w:r>
        <w:rPr>
          <w:sz w:val="21"/>
          <w:szCs w:val="21"/>
        </w:rPr>
        <w:t xml:space="preserve">3. Click Post Hoc, tick Tukey (assumes equal variances) and Games-Howell (does not), click Continue.</w:t>
      </w:r>
    </w:p>
    <w:p>
      <w:pPr>
        <w:spacing w:after="60" w:line="280"/>
      </w:pPr>
      <w:r>
        <w:rPr>
          <w:sz w:val="21"/>
          <w:szCs w:val="21"/>
        </w:rPr>
        <w:t xml:space="preserve">4. Click Options, tick Descriptive and Homogeneity of variance test, click Continue, then OK.</w:t>
      </w:r>
    </w:p>
    <w:p>
      <w:pPr>
        <w:spacing w:after="80" w:before="140"/>
      </w:pPr>
      <w:r>
        <w:rPr>
          <w:b/>
          <w:bCs/>
          <w:color w:val="1F3864"/>
          <w:sz w:val="21"/>
          <w:szCs w:val="21"/>
        </w:rPr>
        <w:t xml:space="preserve">SPSS Output — Test 1: MonthlySpend_Naira by MembershipTier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2500"/>
      </w:tblGrid>
      <w:tr>
        <w:trPr>
          <w:tblHeader/>
        </w:trPr>
        <w:tc>
          <w:tcPr>
            <w:tcW w:type="dxa" w:w="2500"/>
            <w:shd w:fill="1F3864" w:color="auto" w:val="clear"/>
            <w:tcMar>
              <w:top w:type="dxa" w:w="60"/>
              <w:left w:type="dxa" w:w="100"/>
              <w:bottom w:type="dxa" w:w="60"/>
              <w:right w:type="dxa" w:w="100"/>
            </w:tcMar>
            <w:vAlign w:val="center"/>
          </w:tcPr>
          <w:p>
            <w:pPr>
              <w:jc w:val="center"/>
            </w:pPr>
            <w:r>
              <w:rPr>
                <w:b/>
                <w:bCs/>
                <w:color w:val="FFFFFF"/>
                <w:sz w:val="19"/>
                <w:szCs w:val="19"/>
              </w:rPr>
              <w:t xml:space="preserve">Tier</w:t>
            </w:r>
          </w:p>
        </w:tc>
        <w:tc>
          <w:tcPr>
            <w:tcW w:type="dxa" w:w="1500"/>
            <w:shd w:fill="1F3864" w:color="auto"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2500"/>
            <w:shd w:fill="1F3864" w:color="auto" w:val="clear"/>
            <w:tcMar>
              <w:top w:type="dxa" w:w="60"/>
              <w:left w:type="dxa" w:w="100"/>
              <w:bottom w:type="dxa" w:w="60"/>
              <w:right w:type="dxa" w:w="100"/>
            </w:tcMar>
            <w:vAlign w:val="center"/>
          </w:tcPr>
          <w:p>
            <w:pPr>
              <w:jc w:val="center"/>
            </w:pPr>
            <w:r>
              <w:rPr>
                <w:b/>
                <w:bCs/>
                <w:color w:val="FFFFFF"/>
                <w:sz w:val="19"/>
                <w:szCs w:val="19"/>
              </w:rPr>
              <w:t xml:space="preserve">Mean (₦)</w:t>
            </w:r>
          </w:p>
        </w:tc>
        <w:tc>
          <w:tcPr>
            <w:tcW w:type="dxa" w:w="2500"/>
            <w:shd w:fill="1F3864" w:color="auto" w:val="clear"/>
            <w:tcMar>
              <w:top w:type="dxa" w:w="60"/>
              <w:left w:type="dxa" w:w="100"/>
              <w:bottom w:type="dxa" w:w="60"/>
              <w:right w:type="dxa" w:w="100"/>
            </w:tcMar>
            <w:vAlign w:val="center"/>
          </w:tcPr>
          <w:p>
            <w:pPr>
              <w:jc w:val="center"/>
            </w:pPr>
            <w:r>
              <w:rPr>
                <w:b/>
                <w:bCs/>
                <w:color w:val="FFFFFF"/>
                <w:sz w:val="19"/>
                <w:szCs w:val="19"/>
              </w:rPr>
              <w:t xml:space="preserve">SD</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Regular</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96</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22,044.79</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10,693.63</w:t>
            </w:r>
          </w:p>
        </w:tc>
      </w:tr>
      <w:tr>
        <w:tc>
          <w:tcPr>
            <w:tcW w:type="dxa" w:w="25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Silver</w:t>
            </w:r>
          </w:p>
        </w:tc>
        <w:tc>
          <w:tcPr>
            <w:tcW w:type="dxa" w:w="15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65</w:t>
            </w:r>
          </w:p>
        </w:tc>
        <w:tc>
          <w:tcPr>
            <w:tcW w:type="dxa" w:w="25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29,816.92</w:t>
            </w:r>
          </w:p>
        </w:tc>
        <w:tc>
          <w:tcPr>
            <w:tcW w:type="dxa" w:w="25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13,735.76</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Gold</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53</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38,398.11</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21,220.16</w:t>
            </w:r>
          </w:p>
        </w:tc>
      </w:tr>
      <w:tr>
        <w:tc>
          <w:tcPr>
            <w:tcW w:type="dxa" w:w="25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Platinum</w:t>
            </w:r>
          </w:p>
        </w:tc>
        <w:tc>
          <w:tcPr>
            <w:tcW w:type="dxa" w:w="15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19</w:t>
            </w:r>
          </w:p>
        </w:tc>
        <w:tc>
          <w:tcPr>
            <w:tcW w:type="dxa" w:w="25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43,021.05</w:t>
            </w:r>
          </w:p>
        </w:tc>
        <w:tc>
          <w:tcPr>
            <w:tcW w:type="dxa" w:w="25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26,825.12</w:t>
            </w:r>
          </w:p>
        </w:tc>
      </w:tr>
    </w:tbl>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900"/>
        <w:gridCol w:w="2200"/>
        <w:gridCol w:w="1000"/>
        <w:gridCol w:w="700"/>
      </w:tblGrid>
      <w:tr>
        <w:trPr>
          <w:tblHeader/>
        </w:trPr>
        <w:tc>
          <w:tcPr>
            <w:tcW w:type="dxa" w:w="2200"/>
            <w:shd w:fill="1F3864" w:color="auto" w:val="clear"/>
            <w:tcMar>
              <w:top w:type="dxa" w:w="60"/>
              <w:left w:type="dxa" w:w="100"/>
              <w:bottom w:type="dxa" w:w="60"/>
              <w:right w:type="dxa" w:w="100"/>
            </w:tcMar>
            <w:vAlign w:val="center"/>
          </w:tcPr>
          <w:p>
            <w:pPr>
              <w:jc w:val="center"/>
            </w:pPr>
            <w:r>
              <w:rPr>
                <w:b/>
                <w:bCs/>
                <w:color w:val="FFFFFF"/>
                <w:sz w:val="19"/>
                <w:szCs w:val="19"/>
              </w:rPr>
              <w:t xml:space="preserve">Source</w:t>
            </w:r>
          </w:p>
        </w:tc>
        <w:tc>
          <w:tcPr>
            <w:tcW w:type="dxa" w:w="2000"/>
            <w:shd w:fill="1F3864" w:color="auto" w:val="clear"/>
            <w:tcMar>
              <w:top w:type="dxa" w:w="60"/>
              <w:left w:type="dxa" w:w="100"/>
              <w:bottom w:type="dxa" w:w="60"/>
              <w:right w:type="dxa" w:w="100"/>
            </w:tcMar>
            <w:vAlign w:val="center"/>
          </w:tcPr>
          <w:p>
            <w:pPr>
              <w:jc w:val="center"/>
            </w:pPr>
            <w:r>
              <w:rPr>
                <w:b/>
                <w:bCs/>
                <w:color w:val="FFFFFF"/>
                <w:sz w:val="19"/>
                <w:szCs w:val="19"/>
              </w:rPr>
              <w:t xml:space="preserve">SS</w:t>
            </w:r>
          </w:p>
        </w:tc>
        <w:tc>
          <w:tcPr>
            <w:tcW w:type="dxa" w:w="900"/>
            <w:shd w:fill="1F3864" w:color="auto" w:val="clear"/>
            <w:tcMar>
              <w:top w:type="dxa" w:w="60"/>
              <w:left w:type="dxa" w:w="100"/>
              <w:bottom w:type="dxa" w:w="60"/>
              <w:right w:type="dxa" w:w="100"/>
            </w:tcMar>
            <w:vAlign w:val="center"/>
          </w:tcPr>
          <w:p>
            <w:pPr>
              <w:jc w:val="center"/>
            </w:pPr>
            <w:r>
              <w:rPr>
                <w:b/>
                <w:bCs/>
                <w:color w:val="FFFFFF"/>
                <w:sz w:val="19"/>
                <w:szCs w:val="19"/>
              </w:rPr>
              <w:t xml:space="preserve">df</w:t>
            </w:r>
          </w:p>
        </w:tc>
        <w:tc>
          <w:tcPr>
            <w:tcW w:type="dxa" w:w="2200"/>
            <w:shd w:fill="1F3864" w:color="auto" w:val="clear"/>
            <w:tcMar>
              <w:top w:type="dxa" w:w="60"/>
              <w:left w:type="dxa" w:w="100"/>
              <w:bottom w:type="dxa" w:w="60"/>
              <w:right w:type="dxa" w:w="100"/>
            </w:tcMar>
            <w:vAlign w:val="center"/>
          </w:tcPr>
          <w:p>
            <w:pPr>
              <w:jc w:val="center"/>
            </w:pPr>
            <w:r>
              <w:rPr>
                <w:b/>
                <w:bCs/>
                <w:color w:val="FFFFFF"/>
                <w:sz w:val="19"/>
                <w:szCs w:val="19"/>
              </w:rPr>
              <w:t xml:space="preserve">MS</w:t>
            </w:r>
          </w:p>
        </w:tc>
        <w:tc>
          <w:tcPr>
            <w:tcW w:type="dxa" w:w="1000"/>
            <w:shd w:fill="1F3864" w:color="auto" w:val="clear"/>
            <w:tcMar>
              <w:top w:type="dxa" w:w="60"/>
              <w:left w:type="dxa" w:w="100"/>
              <w:bottom w:type="dxa" w:w="60"/>
              <w:right w:type="dxa" w:w="100"/>
            </w:tcMar>
            <w:vAlign w:val="center"/>
          </w:tcPr>
          <w:p>
            <w:pPr>
              <w:jc w:val="center"/>
            </w:pPr>
            <w:r>
              <w:rPr>
                <w:b/>
                <w:bCs/>
                <w:color w:val="FFFFFF"/>
                <w:sz w:val="19"/>
                <w:szCs w:val="19"/>
              </w:rPr>
              <w:t xml:space="preserve">F</w:t>
            </w:r>
          </w:p>
        </w:tc>
        <w:tc>
          <w:tcPr>
            <w:tcW w:type="dxa" w:w="700"/>
            <w:shd w:fill="1F3864" w:color="auto" w:val="clear"/>
            <w:tcMar>
              <w:top w:type="dxa" w:w="60"/>
              <w:left w:type="dxa" w:w="100"/>
              <w:bottom w:type="dxa" w:w="60"/>
              <w:right w:type="dxa" w:w="100"/>
            </w:tcMar>
            <w:vAlign w:val="center"/>
          </w:tcPr>
          <w:p>
            <w:pPr>
              <w:jc w:val="center"/>
            </w:pPr>
            <w:r>
              <w:rPr>
                <w:b/>
                <w:bCs/>
                <w:color w:val="FFFFFF"/>
                <w:sz w:val="19"/>
                <w:szCs w:val="19"/>
              </w:rPr>
              <w:t xml:space="preserve">Sig.</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Between Groups</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13,007,342,018</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3</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4,335,780,673</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16.742</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&lt;.001</w:t>
            </w:r>
          </w:p>
        </w:tc>
      </w:tr>
      <w:tr>
        <w:tc>
          <w:tcPr>
            <w:tcW w:type="dxa" w:w="22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Within Groups</w:t>
            </w:r>
          </w:p>
        </w:tc>
        <w:tc>
          <w:tcPr>
            <w:tcW w:type="dxa" w:w="2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59,306,470,171</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229</w:t>
            </w:r>
          </w:p>
        </w:tc>
        <w:tc>
          <w:tcPr>
            <w:tcW w:type="dxa" w:w="2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258,980,219</w:t>
            </w:r>
          </w:p>
        </w:tc>
        <w:tc>
          <w:tcPr>
            <w:tcW w:type="dxa" w:w="1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7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Total</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72,313,812,189</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232</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
            </w:r>
          </w:p>
        </w:tc>
      </w:tr>
    </w:tbl>
    <w:p>
      <w:pPr>
        <w:spacing w:after="140" w:line="300"/>
      </w:pPr>
      <w:r>
        <w:rPr>
          <w:i/>
          <w:iCs/>
          <w:sz w:val="19"/>
          <w:szCs w:val="19"/>
        </w:rPr>
        <w:t xml:space="preserve">η² (eta squared) = 0.180 — a large effect size.</w:t>
      </w:r>
    </w:p>
    <w:p>
      <w:pPr>
        <w:spacing w:after="80"/>
      </w:pPr>
    </w:p>
    <w:p>
      <w:pPr>
        <w:pStyle w:val="Heading3"/>
        <w:spacing w:after="90" w:before="180"/>
      </w:pPr>
      <w:r>
        <w:rPr>
          <w:b/>
          <w:bCs/>
          <w:i w:val="false"/>
          <w:iCs w:val="false"/>
          <w:color w:val="1F3864"/>
          <w:sz w:val="21"/>
          <w:szCs w:val="21"/>
        </w:rPr>
        <w:t xml:space="preserve">Post-Hoc (Tukey-type, Bonferroni-adjusted) Pairwise Comparisons — Membership Tier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400"/>
      </w:tblGrid>
      <w:tr>
        <w:trPr>
          <w:tblHeader/>
        </w:trPr>
        <w:tc>
          <w:tcPr>
            <w:tcW w:type="dxa" w:w="3600"/>
            <w:shd w:fill="1F3864" w:color="auto" w:val="clear"/>
            <w:tcMar>
              <w:top w:type="dxa" w:w="60"/>
              <w:left w:type="dxa" w:w="100"/>
              <w:bottom w:type="dxa" w:w="60"/>
              <w:right w:type="dxa" w:w="100"/>
            </w:tcMar>
            <w:vAlign w:val="center"/>
          </w:tcPr>
          <w:p>
            <w:pPr>
              <w:jc w:val="center"/>
            </w:pPr>
            <w:r>
              <w:rPr>
                <w:b/>
                <w:bCs/>
                <w:color w:val="FFFFFF"/>
                <w:sz w:val="19"/>
                <w:szCs w:val="19"/>
              </w:rPr>
              <w:t xml:space="preserve">Comparison</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Mean Difference (₦)</w:t>
            </w:r>
          </w:p>
        </w:tc>
        <w:tc>
          <w:tcPr>
            <w:tcW w:type="dxa" w:w="2400"/>
            <w:shd w:fill="1F3864" w:color="auto" w:val="clear"/>
            <w:tcMar>
              <w:top w:type="dxa" w:w="60"/>
              <w:left w:type="dxa" w:w="100"/>
              <w:bottom w:type="dxa" w:w="60"/>
              <w:right w:type="dxa" w:w="100"/>
            </w:tcMar>
            <w:vAlign w:val="center"/>
          </w:tcPr>
          <w:p>
            <w:pPr>
              <w:jc w:val="center"/>
            </w:pPr>
            <w:r>
              <w:rPr>
                <w:b/>
                <w:bCs/>
                <w:color w:val="FFFFFF"/>
                <w:sz w:val="19"/>
                <w:szCs w:val="19"/>
              </w:rPr>
              <w:t xml:space="preserve">Sig. (adj.)</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Gold vs Regular</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16,353.32</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&lt;.001</w:t>
            </w:r>
          </w:p>
        </w:tc>
      </w:tr>
      <w:tr>
        <w:tc>
          <w:tcPr>
            <w:tcW w:type="dxa" w:w="3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Platinum vs Regular</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20,976.26</w:t>
            </w:r>
          </w:p>
        </w:tc>
        <w:tc>
          <w:tcPr>
            <w:tcW w:type="dxa" w:w="2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&lt;.001</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Regular vs Silver</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-7,772.13</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&lt;.001</w:t>
            </w:r>
          </w:p>
        </w:tc>
      </w:tr>
      <w:tr>
        <w:tc>
          <w:tcPr>
            <w:tcW w:type="dxa" w:w="3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Platinum vs Silver</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13,204.13</w:t>
            </w:r>
          </w:p>
        </w:tc>
        <w:tc>
          <w:tcPr>
            <w:tcW w:type="dxa" w:w="2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.029</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Gold vs Silver</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8,581.19</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.055</w:t>
            </w:r>
          </w:p>
        </w:tc>
      </w:tr>
      <w:tr>
        <w:tc>
          <w:tcPr>
            <w:tcW w:type="dxa" w:w="3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Gold vs Platinum</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-4,622.94</w:t>
            </w:r>
          </w:p>
        </w:tc>
        <w:tc>
          <w:tcPr>
            <w:tcW w:type="dxa" w:w="2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1.00 (ns)</w:t>
            </w:r>
          </w:p>
        </w:tc>
      </w:tr>
    </w:tbl>
    <w:p>
      <w:pPr>
        <w:spacing w:after="60" w:before="160"/>
      </w:pPr>
      <w:r>
        <w:rPr>
          <w:b/>
          <w:bCs/>
          <w:color w:val="1F3864"/>
          <w:sz w:val="21"/>
          <w:szCs w:val="21"/>
        </w:rPr>
        <w:t xml:space="preserve">Interpretation — Test 1</w:t>
      </w:r>
    </w:p>
    <w:p>
      <w:pPr>
        <w:spacing w:after="140" w:line="300"/>
      </w:pPr>
      <w:r>
        <w:rPr>
          <w:sz w:val="21"/>
          <w:szCs w:val="21"/>
        </w:rPr>
        <w:t xml:space="preserve">The one-way ANOVA is highly significant, F(3, 229) = 16.742, p &lt; .001, with a large effect size (η² = .180), meaning membership tier explains about 18% of the variance in monthly spend. Mean spend rises monotonically from Regular (₦22,045) to Silver (₦29,817) to Gold (₦38,398) to Platinum (₦43,021). The post-hoc comparisons show Regular differs significantly from every higher tier, and Silver differs significantly from Gold and Platinum, but Gold and Platinum are not significantly different from each other (p = 1.00) — the tier structure clearly separates spending behaviour up through Gold, after which the Gold/Platinum distinction adds less incremental discrimination on spend alone.</w:t>
      </w:r>
    </w:p>
    <w:p>
      <w:pPr>
        <w:spacing w:after="120"/>
      </w:pPr>
    </w:p>
    <w:p>
      <w:pPr>
        <w:spacing w:after="80" w:before="140"/>
      </w:pPr>
      <w:r>
        <w:rPr>
          <w:b/>
          <w:bCs/>
          <w:color w:val="1F3864"/>
          <w:sz w:val="21"/>
          <w:szCs w:val="21"/>
        </w:rPr>
        <w:t xml:space="preserve">SPSS Output — Test 2: OverallSatisfaction by StoreLocation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2300"/>
        <w:gridCol w:w="2400"/>
      </w:tblGrid>
      <w:tr>
        <w:trPr>
          <w:tblHeader/>
        </w:trPr>
        <w:tc>
          <w:tcPr>
            <w:tcW w:type="dxa" w:w="2900"/>
            <w:shd w:fill="1F3864" w:color="auto" w:val="clear"/>
            <w:tcMar>
              <w:top w:type="dxa" w:w="60"/>
              <w:left w:type="dxa" w:w="100"/>
              <w:bottom w:type="dxa" w:w="60"/>
              <w:right w:type="dxa" w:w="100"/>
            </w:tcMar>
            <w:vAlign w:val="center"/>
          </w:tcPr>
          <w:p>
            <w:pPr>
              <w:jc w:val="center"/>
            </w:pPr>
            <w:r>
              <w:rPr>
                <w:b/>
                <w:bCs/>
                <w:color w:val="FFFFFF"/>
                <w:sz w:val="19"/>
                <w:szCs w:val="19"/>
              </w:rPr>
              <w:t xml:space="preserve">Location</w:t>
            </w:r>
          </w:p>
        </w:tc>
        <w:tc>
          <w:tcPr>
            <w:tcW w:type="dxa" w:w="1400"/>
            <w:shd w:fill="1F3864" w:color="auto"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2300"/>
            <w:shd w:fill="1F3864" w:color="auto" w:val="clear"/>
            <w:tcMar>
              <w:top w:type="dxa" w:w="60"/>
              <w:left w:type="dxa" w:w="100"/>
              <w:bottom w:type="dxa" w:w="60"/>
              <w:right w:type="dxa" w:w="100"/>
            </w:tcMar>
            <w:vAlign w:val="center"/>
          </w:tcPr>
          <w:p>
            <w:pPr>
              <w:jc w:val="center"/>
            </w:pPr>
            <w:r>
              <w:rPr>
                <w:b/>
                <w:bCs/>
                <w:color w:val="FFFFFF"/>
                <w:sz w:val="19"/>
                <w:szCs w:val="19"/>
              </w:rPr>
              <w:t xml:space="preserve">Mean</w:t>
            </w:r>
          </w:p>
        </w:tc>
        <w:tc>
          <w:tcPr>
            <w:tcW w:type="dxa" w:w="2400"/>
            <w:shd w:fill="1F3864" w:color="auto" w:val="clear"/>
            <w:tcMar>
              <w:top w:type="dxa" w:w="60"/>
              <w:left w:type="dxa" w:w="100"/>
              <w:bottom w:type="dxa" w:w="60"/>
              <w:right w:type="dxa" w:w="100"/>
            </w:tcMar>
            <w:vAlign w:val="center"/>
          </w:tcPr>
          <w:p>
            <w:pPr>
              <w:jc w:val="center"/>
            </w:pPr>
            <w:r>
              <w:rPr>
                <w:b/>
                <w:bCs/>
                <w:color w:val="FFFFFF"/>
                <w:sz w:val="19"/>
                <w:szCs w:val="19"/>
              </w:rPr>
              <w:t xml:space="preserve">SD</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Kano</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21</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6.48</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1.94</w:t>
            </w:r>
          </w:p>
        </w:tc>
      </w:tr>
      <w:tr>
        <w:tc>
          <w:tcPr>
            <w:tcW w:type="dxa" w:w="29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Abuja</w:t>
            </w:r>
          </w:p>
        </w:tc>
        <w:tc>
          <w:tcPr>
            <w:tcW w:type="dxa" w:w="1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56</w:t>
            </w:r>
          </w:p>
        </w:tc>
        <w:tc>
          <w:tcPr>
            <w:tcW w:type="dxa" w:w="2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5.62</w:t>
            </w:r>
          </w:p>
        </w:tc>
        <w:tc>
          <w:tcPr>
            <w:tcW w:type="dxa" w:w="2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2.24</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Ibadan</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40</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5.52</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1.93</w:t>
            </w:r>
          </w:p>
        </w:tc>
      </w:tr>
      <w:tr>
        <w:tc>
          <w:tcPr>
            <w:tcW w:type="dxa" w:w="29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Lagos</w:t>
            </w:r>
          </w:p>
        </w:tc>
        <w:tc>
          <w:tcPr>
            <w:tcW w:type="dxa" w:w="1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83</w:t>
            </w:r>
          </w:p>
        </w:tc>
        <w:tc>
          <w:tcPr>
            <w:tcW w:type="dxa" w:w="2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5.29</w:t>
            </w:r>
          </w:p>
        </w:tc>
        <w:tc>
          <w:tcPr>
            <w:tcW w:type="dxa" w:w="2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2.16</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Port Harcourt</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36</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5.22</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2.04</w:t>
            </w:r>
          </w:p>
        </w:tc>
      </w:tr>
    </w:tbl>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900"/>
        <w:gridCol w:w="2200"/>
        <w:gridCol w:w="1000"/>
        <w:gridCol w:w="700"/>
      </w:tblGrid>
      <w:tr>
        <w:trPr>
          <w:tblHeader/>
        </w:trPr>
        <w:tc>
          <w:tcPr>
            <w:tcW w:type="dxa" w:w="2200"/>
            <w:shd w:fill="1F3864" w:color="auto" w:val="clear"/>
            <w:tcMar>
              <w:top w:type="dxa" w:w="60"/>
              <w:left w:type="dxa" w:w="100"/>
              <w:bottom w:type="dxa" w:w="60"/>
              <w:right w:type="dxa" w:w="100"/>
            </w:tcMar>
            <w:vAlign w:val="center"/>
          </w:tcPr>
          <w:p>
            <w:pPr>
              <w:jc w:val="center"/>
            </w:pPr>
            <w:r>
              <w:rPr>
                <w:b/>
                <w:bCs/>
                <w:color w:val="FFFFFF"/>
                <w:sz w:val="19"/>
                <w:szCs w:val="19"/>
              </w:rPr>
              <w:t xml:space="preserve">Source</w:t>
            </w:r>
          </w:p>
        </w:tc>
        <w:tc>
          <w:tcPr>
            <w:tcW w:type="dxa" w:w="2000"/>
            <w:shd w:fill="1F3864" w:color="auto" w:val="clear"/>
            <w:tcMar>
              <w:top w:type="dxa" w:w="60"/>
              <w:left w:type="dxa" w:w="100"/>
              <w:bottom w:type="dxa" w:w="60"/>
              <w:right w:type="dxa" w:w="100"/>
            </w:tcMar>
            <w:vAlign w:val="center"/>
          </w:tcPr>
          <w:p>
            <w:pPr>
              <w:jc w:val="center"/>
            </w:pPr>
            <w:r>
              <w:rPr>
                <w:b/>
                <w:bCs/>
                <w:color w:val="FFFFFF"/>
                <w:sz w:val="19"/>
                <w:szCs w:val="19"/>
              </w:rPr>
              <w:t xml:space="preserve">SS</w:t>
            </w:r>
          </w:p>
        </w:tc>
        <w:tc>
          <w:tcPr>
            <w:tcW w:type="dxa" w:w="900"/>
            <w:shd w:fill="1F3864" w:color="auto" w:val="clear"/>
            <w:tcMar>
              <w:top w:type="dxa" w:w="60"/>
              <w:left w:type="dxa" w:w="100"/>
              <w:bottom w:type="dxa" w:w="60"/>
              <w:right w:type="dxa" w:w="100"/>
            </w:tcMar>
            <w:vAlign w:val="center"/>
          </w:tcPr>
          <w:p>
            <w:pPr>
              <w:jc w:val="center"/>
            </w:pPr>
            <w:r>
              <w:rPr>
                <w:b/>
                <w:bCs/>
                <w:color w:val="FFFFFF"/>
                <w:sz w:val="19"/>
                <w:szCs w:val="19"/>
              </w:rPr>
              <w:t xml:space="preserve">df</w:t>
            </w:r>
          </w:p>
        </w:tc>
        <w:tc>
          <w:tcPr>
            <w:tcW w:type="dxa" w:w="2200"/>
            <w:shd w:fill="1F3864" w:color="auto" w:val="clear"/>
            <w:tcMar>
              <w:top w:type="dxa" w:w="60"/>
              <w:left w:type="dxa" w:w="100"/>
              <w:bottom w:type="dxa" w:w="60"/>
              <w:right w:type="dxa" w:w="100"/>
            </w:tcMar>
            <w:vAlign w:val="center"/>
          </w:tcPr>
          <w:p>
            <w:pPr>
              <w:jc w:val="center"/>
            </w:pPr>
            <w:r>
              <w:rPr>
                <w:b/>
                <w:bCs/>
                <w:color w:val="FFFFFF"/>
                <w:sz w:val="19"/>
                <w:szCs w:val="19"/>
              </w:rPr>
              <w:t xml:space="preserve">MS</w:t>
            </w:r>
          </w:p>
        </w:tc>
        <w:tc>
          <w:tcPr>
            <w:tcW w:type="dxa" w:w="1000"/>
            <w:shd w:fill="1F3864" w:color="auto" w:val="clear"/>
            <w:tcMar>
              <w:top w:type="dxa" w:w="60"/>
              <w:left w:type="dxa" w:w="100"/>
              <w:bottom w:type="dxa" w:w="60"/>
              <w:right w:type="dxa" w:w="100"/>
            </w:tcMar>
            <w:vAlign w:val="center"/>
          </w:tcPr>
          <w:p>
            <w:pPr>
              <w:jc w:val="center"/>
            </w:pPr>
            <w:r>
              <w:rPr>
                <w:b/>
                <w:bCs/>
                <w:color w:val="FFFFFF"/>
                <w:sz w:val="19"/>
                <w:szCs w:val="19"/>
              </w:rPr>
              <w:t xml:space="preserve">F</w:t>
            </w:r>
          </w:p>
        </w:tc>
        <w:tc>
          <w:tcPr>
            <w:tcW w:type="dxa" w:w="700"/>
            <w:shd w:fill="1F3864" w:color="auto" w:val="clear"/>
            <w:tcMar>
              <w:top w:type="dxa" w:w="60"/>
              <w:left w:type="dxa" w:w="100"/>
              <w:bottom w:type="dxa" w:w="60"/>
              <w:right w:type="dxa" w:w="100"/>
            </w:tcMar>
            <w:vAlign w:val="center"/>
          </w:tcPr>
          <w:p>
            <w:pPr>
              <w:jc w:val="center"/>
            </w:pPr>
            <w:r>
              <w:rPr>
                <w:b/>
                <w:bCs/>
                <w:color w:val="FFFFFF"/>
                <w:sz w:val="19"/>
                <w:szCs w:val="19"/>
              </w:rPr>
              <w:t xml:space="preserve">Sig.</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Between Groups</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27.4</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6.8</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1.541</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.191</w:t>
            </w:r>
          </w:p>
        </w:tc>
      </w:tr>
      <w:tr>
        <w:tc>
          <w:tcPr>
            <w:tcW w:type="dxa" w:w="22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Within Groups</w:t>
            </w:r>
          </w:p>
        </w:tc>
        <w:tc>
          <w:tcPr>
            <w:tcW w:type="dxa" w:w="2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1,025.6</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231</w:t>
            </w:r>
          </w:p>
        </w:tc>
        <w:tc>
          <w:tcPr>
            <w:tcW w:type="dxa" w:w="2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4.4</w:t>
            </w:r>
          </w:p>
        </w:tc>
        <w:tc>
          <w:tcPr>
            <w:tcW w:type="dxa" w:w="1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7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Total</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1,053.0</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235</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
            </w:r>
          </w:p>
        </w:tc>
      </w:tr>
    </w:tbl>
    <w:p>
      <w:pPr>
        <w:spacing w:after="140" w:line="300"/>
      </w:pPr>
      <w:r>
        <w:rPr>
          <w:i/>
          <w:iCs/>
          <w:sz w:val="19"/>
          <w:szCs w:val="19"/>
        </w:rPr>
        <w:t xml:space="preserve">η² (eta squared) = 0.026 — a small effect size.</w:t>
      </w:r>
    </w:p>
    <w:p>
      <w:pPr>
        <w:spacing w:after="60" w:before="160"/>
      </w:pPr>
      <w:r>
        <w:rPr>
          <w:b/>
          <w:bCs/>
          <w:color w:val="1F3864"/>
          <w:sz w:val="21"/>
          <w:szCs w:val="21"/>
        </w:rPr>
        <w:t xml:space="preserve">Interpretation — Test 2</w:t>
      </w:r>
    </w:p>
    <w:p>
      <w:pPr>
        <w:spacing w:after="140" w:line="300"/>
      </w:pPr>
      <w:r>
        <w:rPr>
          <w:sz w:val="21"/>
          <w:szCs w:val="21"/>
        </w:rPr>
        <w:t xml:space="preserve">Unlike the membership-tier result, this ANOVA is not statistically significant, F(4, 231) = 1.541, p = .191, with only a small effect size (η² = .026). Although Kano numerically shows the highest satisfaction mean (6.48) and Port Harcourt the lowest (5.22), a 1.26-point spread, this difference is not large or consistent enough, relative to the within-group variability, to conclude that store location genuinely drives satisfaction. None of the pairwise post-hoc comparisons for store location reach significance.</w:t>
      </w:r>
    </w:p>
    <w:p>
      <w:pPr>
        <w:spacing w:after="60" w:before="100"/>
      </w:pPr>
      <w:r>
        <w:rPr>
          <w:b/>
          <w:bCs/>
          <w:color w:val="1F3864"/>
          <w:sz w:val="21"/>
          <w:szCs w:val="21"/>
        </w:rPr>
        <w:t xml:space="preserve">Key Insights Generated</w:t>
      </w:r>
    </w:p>
    <w:p>
      <w:pPr>
        <w:pStyle w:val="ListParagraph"/>
        <w:numPr>
          <w:ilvl w:val="0"/>
          <w:numId w:val="1"/>
        </w:numPr>
        <w:spacing w:after="60" w:line="280"/>
      </w:pPr>
      <w:r>
        <w:rPr>
          <w:sz w:val="21"/>
          <w:szCs w:val="21"/>
        </w:rPr>
        <w:t xml:space="preserve">Membership tier is a powerful, statistically confirmed driver of spend — tier-based investment (exclusive perks, early access, tier-specific offers) is a well-justified lever for revenue growth.</w:t>
      </w:r>
    </w:p>
    <w:p>
      <w:pPr>
        <w:pStyle w:val="ListParagraph"/>
        <w:numPr>
          <w:ilvl w:val="0"/>
          <w:numId w:val="1"/>
        </w:numPr>
        <w:spacing w:after="60" w:line="280"/>
      </w:pPr>
      <w:r>
        <w:rPr>
          <w:sz w:val="21"/>
          <w:szCs w:val="21"/>
        </w:rPr>
        <w:t xml:space="preserve">The Gold/Platinum spend ceiling effect suggests the current Platinum tier may not be differentiated enough from Gold to justify further investment purely on spend grounds; Platinum's value proposition may need to target other outcomes (e.g., advocacy, retention) instead.</w:t>
      </w:r>
    </w:p>
    <w:p>
      <w:pPr>
        <w:pStyle w:val="ListParagraph"/>
        <w:numPr>
          <w:ilvl w:val="0"/>
          <w:numId w:val="1"/>
        </w:numPr>
        <w:spacing w:after="60" w:line="280"/>
      </w:pPr>
      <w:r>
        <w:rPr>
          <w:sz w:val="21"/>
          <w:szCs w:val="21"/>
        </w:rPr>
        <w:t xml:space="preserve">Store location is NOT a meaningful driver of satisfaction — operational or service-quality problems are likely company-wide rather than site-specific, so fixes should be rolled out uniformly rather than city-by-city.</w:t>
      </w:r>
    </w:p>
    <w:p>
      <w:pPr>
        <w:spacing w:after="200"/>
      </w:pPr>
    </w:p>
    <w:p>
      <w:r>
        <w:br w:type="page"/>
      </w:r>
    </w:p>
    <w:p>
      <w:pPr>
        <w:pStyle w:val="Heading1"/>
        <w:pBdr>
          <w:bottom w:val="single" w:color="1F3864" w:sz="6" w:space="4"/>
        </w:pBdr>
        <w:spacing w:after="200" w:before="400"/>
      </w:pPr>
      <w:r>
        <w:rPr>
          <w:b/>
          <w:bCs/>
          <w:color w:val="1F3864"/>
          <w:sz w:val="30"/>
          <w:szCs w:val="30"/>
        </w:rPr>
        <w:t xml:space="preserve">12. Mann-Whitney U Test (Analyze &gt; Nonparametric Tests &gt; Legacy Dialogs &gt; 2 Independent Samples)</w:t>
      </w:r>
    </w:p>
    <w:p>
      <w:pPr>
        <w:spacing w:after="100" w:line="300"/>
      </w:pPr>
      <w:r>
        <w:rPr>
          <w:b/>
          <w:bCs/>
          <w:color w:val="1F3864"/>
          <w:sz w:val="21"/>
          <w:szCs w:val="21"/>
        </w:rPr>
        <w:t xml:space="preserve">Aim of the Analysis: </w:t>
      </w:r>
      <w:r>
        <w:rPr>
          <w:sz w:val="21"/>
          <w:szCs w:val="21"/>
        </w:rPr>
        <w:t xml:space="preserve">To re-test the Gender effect on VisitsPerMonth using a rank-based, distribution-free method, since VisitsPerMonth is a count variable that is unlikely to be normally distributed (confirmed skew = 0.980 in Section 3).</w:t>
      </w:r>
    </w:p>
    <w:p>
      <w:pPr>
        <w:spacing w:after="100" w:line="300"/>
      </w:pPr>
      <w:r>
        <w:rPr>
          <w:b/>
          <w:bCs/>
          <w:color w:val="1F3864"/>
          <w:sz w:val="21"/>
          <w:szCs w:val="21"/>
        </w:rPr>
        <w:t xml:space="preserve">Columns / Variables Involved: </w:t>
      </w:r>
      <w:r>
        <w:rPr>
          <w:sz w:val="21"/>
          <w:szCs w:val="21"/>
        </w:rPr>
        <w:t xml:space="preserve">Test variable: VisitsPerMonth. Grouping variable: Gender</w:t>
      </w:r>
    </w:p>
    <w:p>
      <w:pPr>
        <w:spacing w:after="60" w:before="100"/>
      </w:pPr>
      <w:r>
        <w:rPr>
          <w:b/>
          <w:bCs/>
          <w:color w:val="1F3864"/>
          <w:sz w:val="21"/>
          <w:szCs w:val="21"/>
        </w:rPr>
        <w:t xml:space="preserve">Step-by-Step Procedure in SPSS</w:t>
      </w:r>
    </w:p>
    <w:p>
      <w:pPr>
        <w:spacing w:after="60" w:line="280"/>
      </w:pPr>
      <w:r>
        <w:rPr>
          <w:sz w:val="21"/>
          <w:szCs w:val="21"/>
        </w:rPr>
        <w:t xml:space="preserve">1. Analyze &gt; Nonparametric Tests &gt; Legacy Dialogs &gt; 2 Independent Samples.</w:t>
      </w:r>
    </w:p>
    <w:p>
      <w:pPr>
        <w:spacing w:after="60" w:line="280"/>
      </w:pPr>
      <w:r>
        <w:rPr>
          <w:sz w:val="21"/>
          <w:szCs w:val="21"/>
        </w:rPr>
        <w:t xml:space="preserve">2. Move VisitsPerMonth into Test Variable List and Gender into Grouping Variable; define groups Male/Female.</w:t>
      </w:r>
    </w:p>
    <w:p>
      <w:pPr>
        <w:spacing w:after="60" w:line="280"/>
      </w:pPr>
      <w:r>
        <w:rPr>
          <w:sz w:val="21"/>
          <w:szCs w:val="21"/>
        </w:rPr>
        <w:t xml:space="preserve">3. Under Test Type, tick Mann-Whitney U.</w:t>
      </w:r>
    </w:p>
    <w:p>
      <w:pPr>
        <w:spacing w:after="60" w:line="280"/>
      </w:pPr>
      <w:r>
        <w:rPr>
          <w:sz w:val="21"/>
          <w:szCs w:val="21"/>
        </w:rPr>
        <w:t xml:space="preserve">4. Click OK.</w:t>
      </w:r>
    </w:p>
    <w:p>
      <w:pPr>
        <w:spacing w:after="80" w:before="140"/>
      </w:pPr>
      <w:r>
        <w:rPr>
          <w:b/>
          <w:bCs/>
          <w:color w:val="1F3864"/>
          <w:sz w:val="21"/>
          <w:szCs w:val="21"/>
        </w:rPr>
        <w:t xml:space="preserve">SPSS Output — Test Statistics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00"/>
      </w:tblGrid>
      <w:tr>
        <w:trPr>
          <w:tblHeader/>
        </w:trPr>
        <w:tc>
          <w:tcPr>
            <w:tcW w:type="dxa" w:w="3200"/>
            <w:shd w:fill="1F3864" w:color="auto" w:val="clear"/>
            <w:tcMar>
              <w:top w:type="dxa" w:w="60"/>
              <w:left w:type="dxa" w:w="100"/>
              <w:bottom w:type="dxa" w:w="60"/>
              <w:right w:type="dxa" w:w="100"/>
            </w:tcMar>
            <w:vAlign w:val="center"/>
          </w:tcPr>
          <w:p>
            <w:pPr>
              <w:jc w:val="center"/>
            </w:pPr>
            <w:r>
              <w:rPr>
                <w:b/>
                <w:bCs/>
                <w:color w:val="FFFFFF"/>
                <w:sz w:val="19"/>
                <w:szCs w:val="19"/>
              </w:rPr>
              <w:t xml:space="preserve"/>
            </w:r>
          </w:p>
        </w:tc>
        <w:tc>
          <w:tcPr>
            <w:tcW w:type="dxa" w:w="2000"/>
            <w:shd w:fill="1F3864" w:color="auto" w:val="clear"/>
            <w:tcMar>
              <w:top w:type="dxa" w:w="60"/>
              <w:left w:type="dxa" w:w="100"/>
              <w:bottom w:type="dxa" w:w="60"/>
              <w:right w:type="dxa" w:w="100"/>
            </w:tcMar>
            <w:vAlign w:val="center"/>
          </w:tcPr>
          <w:p>
            <w:pPr>
              <w:jc w:val="center"/>
            </w:pPr>
            <w:r>
              <w:rPr>
                <w:b/>
                <w:bCs/>
                <w:color w:val="FFFFFF"/>
                <w:sz w:val="19"/>
                <w:szCs w:val="19"/>
              </w:rPr>
              <w:t xml:space="preserve">Male (n=115)</w:t>
            </w:r>
          </w:p>
        </w:tc>
        <w:tc>
          <w:tcPr>
            <w:tcW w:type="dxa" w:w="2000"/>
            <w:shd w:fill="1F3864" w:color="auto" w:val="clear"/>
            <w:tcMar>
              <w:top w:type="dxa" w:w="60"/>
              <w:left w:type="dxa" w:w="100"/>
              <w:bottom w:type="dxa" w:w="60"/>
              <w:right w:type="dxa" w:w="100"/>
            </w:tcMar>
            <w:vAlign w:val="center"/>
          </w:tcPr>
          <w:p>
            <w:pPr>
              <w:jc w:val="center"/>
            </w:pPr>
            <w:r>
              <w:rPr>
                <w:b/>
                <w:bCs/>
                <w:color w:val="FFFFFF"/>
                <w:sz w:val="19"/>
                <w:szCs w:val="19"/>
              </w:rPr>
              <w:t xml:space="preserve">Female (n=135)</w:t>
            </w:r>
          </w:p>
        </w:tc>
        <w:tc>
          <w:tcPr>
            <w:tcW w:type="dxa" w:w="2000"/>
            <w:shd w:fill="1F3864" w:color="auto" w:val="clear"/>
            <w:tcMar>
              <w:top w:type="dxa" w:w="60"/>
              <w:left w:type="dxa" w:w="100"/>
              <w:bottom w:type="dxa" w:w="60"/>
              <w:right w:type="dxa" w:w="100"/>
            </w:tcMar>
            <w:vAlign w:val="center"/>
          </w:tcPr>
          <w:p>
            <w:pPr>
              <w:jc w:val="center"/>
            </w:pPr>
            <w:r>
              <w:rPr>
                <w:b/>
                <w:bCs/>
                <w:color w:val="FFFFFF"/>
                <w:sz w:val="19"/>
                <w:szCs w:val="19"/>
              </w:rPr>
              <w:t xml:space="preserve">Mann-Whitney U</w:t>
            </w:r>
          </w:p>
        </w:tc>
        <w:tc>
          <w:tcPr>
            <w:shd w:fill="1F3864" w:color="auto" w:val="clear"/>
            <w:tcMar>
              <w:top w:type="dxa" w:w="60"/>
              <w:left w:type="dxa" w:w="100"/>
              <w:bottom w:type="dxa" w:w="60"/>
              <w:right w:type="dxa" w:w="100"/>
            </w:tcMar>
            <w:vAlign w:val="center"/>
          </w:tcPr>
          <w:p>
            <w:pPr>
              <w:jc w:val="center"/>
            </w:pPr>
            <w:r>
              <w:rPr>
                <w:b/>
                <w:bCs/>
                <w:color w:val="FFFFFF"/>
                <w:sz w:val="19"/>
                <w:szCs w:val="19"/>
              </w:rPr>
              <w:t xml:space="preserve">Z / Sig.</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VisitsPerMonth (Median)</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2.0</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2.0</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8,699.5</w:t>
            </w:r>
          </w:p>
        </w:tc>
        <w:tc>
          <w:tcPr>
            <w:tcMar>
              <w:top w:type="dxa" w:w="60"/>
              <w:left w:type="dxa" w:w="100"/>
              <w:bottom w:type="dxa" w:w="60"/>
              <w:right w:type="dxa" w:w="100"/>
            </w:tcMar>
            <w:vAlign w:val="center"/>
          </w:tcPr>
          <w:p>
            <w:pPr>
              <w:jc w:val="center"/>
            </w:pPr>
            <w:r>
              <w:rPr>
                <w:b w:val="false"/>
                <w:bCs w:val="false"/>
                <w:color w:val="000000"/>
                <w:sz w:val="19"/>
                <w:szCs w:val="19"/>
              </w:rPr>
              <w:t xml:space="preserve">p = .094 (ns)</w:t>
            </w:r>
          </w:p>
        </w:tc>
      </w:tr>
    </w:tbl>
    <w:p>
      <w:pPr>
        <w:spacing w:after="60" w:before="160"/>
      </w:pPr>
      <w:r>
        <w:rPr>
          <w:b/>
          <w:bCs/>
          <w:color w:val="1F3864"/>
          <w:sz w:val="21"/>
          <w:szCs w:val="21"/>
        </w:rPr>
        <w:t xml:space="preserve">Interpretation</w:t>
      </w:r>
    </w:p>
    <w:p>
      <w:pPr>
        <w:spacing w:after="140" w:line="300"/>
      </w:pPr>
      <w:r>
        <w:rPr>
          <w:sz w:val="21"/>
          <w:szCs w:val="21"/>
        </w:rPr>
        <w:t xml:space="preserve">The Mann-Whitney U test (U = 8,699.5, p = .094) is not statistically significant, confirming and reinforcing the parametric independent-samples t-test result from Section 9 (p = .102) — men and women do not differ in visit frequency, whether tested with rank-based or mean-based methods. Both groups share an identical median of 2 visits per month.</w:t>
      </w:r>
    </w:p>
    <w:p>
      <w:pPr>
        <w:spacing w:after="60" w:before="100"/>
      </w:pPr>
      <w:r>
        <w:rPr>
          <w:b/>
          <w:bCs/>
          <w:color w:val="1F3864"/>
          <w:sz w:val="21"/>
          <w:szCs w:val="21"/>
        </w:rPr>
        <w:t xml:space="preserve">Key Insights Generated</w:t>
      </w:r>
    </w:p>
    <w:p>
      <w:pPr>
        <w:pStyle w:val="ListParagraph"/>
        <w:numPr>
          <w:ilvl w:val="0"/>
          <w:numId w:val="1"/>
        </w:numPr>
        <w:spacing w:after="60" w:line="280"/>
      </w:pPr>
      <w:r>
        <w:rPr>
          <w:sz w:val="21"/>
          <w:szCs w:val="21"/>
        </w:rPr>
        <w:t xml:space="preserve">The convergence between the parametric t-test and the non-parametric Mann-Whitney result on the same question strengthens confidence that gender genuinely has no effect on shopping frequency in this customer base, independent of distributional assumptions.</w:t>
      </w:r>
    </w:p>
    <w:p>
      <w:pPr>
        <w:spacing w:after="200"/>
      </w:pPr>
    </w:p>
    <w:p>
      <w:r>
        <w:br w:type="page"/>
      </w:r>
    </w:p>
    <w:p>
      <w:pPr>
        <w:pStyle w:val="Heading1"/>
        <w:pBdr>
          <w:bottom w:val="single" w:color="1F3864" w:sz="6" w:space="4"/>
        </w:pBdr>
        <w:spacing w:after="200" w:before="400"/>
      </w:pPr>
      <w:r>
        <w:rPr>
          <w:b/>
          <w:bCs/>
          <w:color w:val="1F3864"/>
          <w:sz w:val="30"/>
          <w:szCs w:val="30"/>
        </w:rPr>
        <w:t xml:space="preserve">13. Kruskal-Wallis H Test (Analyze &gt; Nonparametric Tests &gt; Legacy Dialogs &gt; K Independent Samples)</w:t>
      </w:r>
    </w:p>
    <w:p>
      <w:pPr>
        <w:spacing w:after="100" w:line="300"/>
      </w:pPr>
      <w:r>
        <w:rPr>
          <w:b/>
          <w:bCs/>
          <w:color w:val="1F3864"/>
          <w:sz w:val="21"/>
          <w:szCs w:val="21"/>
        </w:rPr>
        <w:t xml:space="preserve">Aim of the Analysis: </w:t>
      </w:r>
      <w:r>
        <w:rPr>
          <w:sz w:val="21"/>
          <w:szCs w:val="21"/>
        </w:rPr>
        <w:t xml:space="preserve">To test whether MonthlySpend differs across the five Employment Status categories, using a rank-based alternative to one-way ANOVA appropriate for the strongly right-skewed spend variable (skew = 1.135, confirmed non-normal in Section 4).</w:t>
      </w:r>
    </w:p>
    <w:p>
      <w:pPr>
        <w:spacing w:after="100" w:line="300"/>
      </w:pPr>
      <w:r>
        <w:rPr>
          <w:b/>
          <w:bCs/>
          <w:color w:val="1F3864"/>
          <w:sz w:val="21"/>
          <w:szCs w:val="21"/>
        </w:rPr>
        <w:t xml:space="preserve">Columns / Variables Involved: </w:t>
      </w:r>
      <w:r>
        <w:rPr>
          <w:sz w:val="21"/>
          <w:szCs w:val="21"/>
        </w:rPr>
        <w:t xml:space="preserve">Test variable: MonthlySpend_Naira. Grouping variable: EmploymentStatus</w:t>
      </w:r>
    </w:p>
    <w:p>
      <w:pPr>
        <w:spacing w:after="60" w:before="100"/>
      </w:pPr>
      <w:r>
        <w:rPr>
          <w:b/>
          <w:bCs/>
          <w:color w:val="1F3864"/>
          <w:sz w:val="21"/>
          <w:szCs w:val="21"/>
        </w:rPr>
        <w:t xml:space="preserve">Step-by-Step Procedure in SPSS</w:t>
      </w:r>
    </w:p>
    <w:p>
      <w:pPr>
        <w:spacing w:after="60" w:line="280"/>
      </w:pPr>
      <w:r>
        <w:rPr>
          <w:sz w:val="21"/>
          <w:szCs w:val="21"/>
        </w:rPr>
        <w:t xml:space="preserve">1. Analyze &gt; Nonparametric Tests &gt; Legacy Dialogs &gt; K Independent Samples.</w:t>
      </w:r>
    </w:p>
    <w:p>
      <w:pPr>
        <w:spacing w:after="60" w:line="280"/>
      </w:pPr>
      <w:r>
        <w:rPr>
          <w:sz w:val="21"/>
          <w:szCs w:val="21"/>
        </w:rPr>
        <w:t xml:space="preserve">2. Move MonthlySpend_Naira into Test Variable List and EmploymentStatus into Grouping Variable; define range 1-5.</w:t>
      </w:r>
    </w:p>
    <w:p>
      <w:pPr>
        <w:spacing w:after="60" w:line="280"/>
      </w:pPr>
      <w:r>
        <w:rPr>
          <w:sz w:val="21"/>
          <w:szCs w:val="21"/>
        </w:rPr>
        <w:t xml:space="preserve">3. Under Test Type, tick Kruskal-Wallis H.</w:t>
      </w:r>
    </w:p>
    <w:p>
      <w:pPr>
        <w:spacing w:after="60" w:line="280"/>
      </w:pPr>
      <w:r>
        <w:rPr>
          <w:sz w:val="21"/>
          <w:szCs w:val="21"/>
        </w:rPr>
        <w:t xml:space="preserve">4. Click OK.</w:t>
      </w:r>
    </w:p>
    <w:p>
      <w:pPr>
        <w:spacing w:after="80" w:before="140"/>
      </w:pPr>
      <w:r>
        <w:rPr>
          <w:b/>
          <w:bCs/>
          <w:color w:val="1F3864"/>
          <w:sz w:val="21"/>
          <w:szCs w:val="21"/>
        </w:rPr>
        <w:t xml:space="preserve">SPSS Output — Ranks &amp; Test Statistics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00"/>
      </w:tblGrid>
      <w:tr>
        <w:trPr>
          <w:tblHeader/>
        </w:trPr>
        <w:tc>
          <w:tcPr>
            <w:tcW w:type="dxa" w:w="3500"/>
            <w:shd w:fill="1F3864" w:color="auto" w:val="clear"/>
            <w:tcMar>
              <w:top w:type="dxa" w:w="60"/>
              <w:left w:type="dxa" w:w="100"/>
              <w:bottom w:type="dxa" w:w="60"/>
              <w:right w:type="dxa" w:w="100"/>
            </w:tcMar>
            <w:vAlign w:val="center"/>
          </w:tcPr>
          <w:p>
            <w:pPr>
              <w:jc w:val="center"/>
            </w:pPr>
            <w:r>
              <w:rPr>
                <w:b/>
                <w:bCs/>
                <w:color w:val="FFFFFF"/>
                <w:sz w:val="19"/>
                <w:szCs w:val="19"/>
              </w:rPr>
              <w:t xml:space="preserve">Employment Status</w:t>
            </w:r>
          </w:p>
        </w:tc>
        <w:tc>
          <w:tcPr>
            <w:tcW w:type="dxa" w:w="1800"/>
            <w:shd w:fill="1F3864" w:color="auto"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3700"/>
            <w:shd w:fill="1F3864" w:color="auto" w:val="clear"/>
            <w:tcMar>
              <w:top w:type="dxa" w:w="60"/>
              <w:left w:type="dxa" w:w="100"/>
              <w:bottom w:type="dxa" w:w="60"/>
              <w:right w:type="dxa" w:w="100"/>
            </w:tcMar>
            <w:vAlign w:val="center"/>
          </w:tcPr>
          <w:p>
            <w:pPr>
              <w:jc w:val="center"/>
            </w:pPr>
            <w:r>
              <w:rPr>
                <w:b/>
                <w:bCs/>
                <w:color w:val="FFFFFF"/>
                <w:sz w:val="19"/>
                <w:szCs w:val="19"/>
              </w:rPr>
              <w:t xml:space="preserve">Median Monthly Spend (₦)</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Employed</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112</w:t>
            </w:r>
          </w:p>
        </w:tc>
        <w:tc>
          <w:tcPr>
            <w:tcW w:type="dxa" w:w="3700"/>
            <w:tcMar>
              <w:top w:type="dxa" w:w="60"/>
              <w:left w:type="dxa" w:w="100"/>
              <w:bottom w:type="dxa" w:w="60"/>
              <w:right w:type="dxa" w:w="100"/>
            </w:tcMar>
            <w:vAlign w:val="center"/>
          </w:tcPr>
          <w:p>
            <w:pPr>
              <w:jc w:val="center"/>
            </w:pPr>
            <w:r>
              <w:rPr>
                <w:b w:val="false"/>
                <w:bCs w:val="false"/>
                <w:color w:val="000000"/>
                <w:sz w:val="19"/>
                <w:szCs w:val="19"/>
              </w:rPr>
              <w:t xml:space="preserve">31,500</w:t>
            </w:r>
          </w:p>
        </w:tc>
      </w:tr>
      <w:tr>
        <w:tc>
          <w:tcPr>
            <w:tcW w:type="dxa" w:w="35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Self-employed</w:t>
            </w:r>
          </w:p>
        </w:tc>
        <w:tc>
          <w:tcPr>
            <w:tcW w:type="dxa" w:w="18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61</w:t>
            </w:r>
          </w:p>
        </w:tc>
        <w:tc>
          <w:tcPr>
            <w:tcW w:type="dxa" w:w="37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29,900</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Retired</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13</w:t>
            </w:r>
          </w:p>
        </w:tc>
        <w:tc>
          <w:tcPr>
            <w:tcW w:type="dxa" w:w="3700"/>
            <w:tcMar>
              <w:top w:type="dxa" w:w="60"/>
              <w:left w:type="dxa" w:w="100"/>
              <w:bottom w:type="dxa" w:w="60"/>
              <w:right w:type="dxa" w:w="100"/>
            </w:tcMar>
            <w:vAlign w:val="center"/>
          </w:tcPr>
          <w:p>
            <w:pPr>
              <w:jc w:val="center"/>
            </w:pPr>
            <w:r>
              <w:rPr>
                <w:b w:val="false"/>
                <w:bCs w:val="false"/>
                <w:color w:val="000000"/>
                <w:sz w:val="19"/>
                <w:szCs w:val="19"/>
              </w:rPr>
              <w:t xml:space="preserve">17,600</w:t>
            </w:r>
          </w:p>
        </w:tc>
      </w:tr>
      <w:tr>
        <w:tc>
          <w:tcPr>
            <w:tcW w:type="dxa" w:w="35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Student</w:t>
            </w:r>
          </w:p>
        </w:tc>
        <w:tc>
          <w:tcPr>
            <w:tcW w:type="dxa" w:w="18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28</w:t>
            </w:r>
          </w:p>
        </w:tc>
        <w:tc>
          <w:tcPr>
            <w:tcW w:type="dxa" w:w="37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12,150</w:t>
            </w:r>
          </w:p>
        </w:tc>
      </w:tr>
      <w:tr>
        <w:tc>
          <w:tcPr>
            <w:tcW w:type="dxa" w:w="3500"/>
            <w:tcMar>
              <w:top w:type="dxa" w:w="60"/>
              <w:left w:type="dxa" w:w="100"/>
              <w:bottom w:type="dxa" w:w="60"/>
              <w:right w:type="dxa" w:w="100"/>
            </w:tcMar>
            <w:vAlign w:val="center"/>
          </w:tcPr>
          <w:p>
            <w:pPr>
              <w:jc w:val="left"/>
            </w:pPr>
            <w:r>
              <w:rPr>
                <w:b w:val="false"/>
                <w:bCs w:val="false"/>
                <w:color w:val="000000"/>
                <w:sz w:val="19"/>
                <w:szCs w:val="19"/>
              </w:rPr>
              <w:t xml:space="preserve">Unemployed</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19</w:t>
            </w:r>
          </w:p>
        </w:tc>
        <w:tc>
          <w:tcPr>
            <w:tcW w:type="dxa" w:w="3700"/>
            <w:tcMar>
              <w:top w:type="dxa" w:w="60"/>
              <w:left w:type="dxa" w:w="100"/>
              <w:bottom w:type="dxa" w:w="60"/>
              <w:right w:type="dxa" w:w="100"/>
            </w:tcMar>
            <w:vAlign w:val="center"/>
          </w:tcPr>
          <w:p>
            <w:pPr>
              <w:jc w:val="center"/>
            </w:pPr>
            <w:r>
              <w:rPr>
                <w:b w:val="false"/>
                <w:bCs w:val="false"/>
                <w:color w:val="000000"/>
                <w:sz w:val="19"/>
                <w:szCs w:val="19"/>
              </w:rPr>
              <w:t xml:space="preserve">11,800</w:t>
            </w:r>
          </w:p>
        </w:tc>
      </w:tr>
    </w:tbl>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Kruskal-Wallis H</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df</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Asymp. Sig.</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86.550</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&lt;.001</w:t>
            </w:r>
          </w:p>
        </w:tc>
      </w:tr>
    </w:tbl>
    <w:p>
      <w:pPr>
        <w:spacing w:after="60" w:before="160"/>
      </w:pPr>
      <w:r>
        <w:rPr>
          <w:b/>
          <w:bCs/>
          <w:color w:val="1F3864"/>
          <w:sz w:val="21"/>
          <w:szCs w:val="21"/>
        </w:rPr>
        <w:t xml:space="preserve">Interpretation</w:t>
      </w:r>
    </w:p>
    <w:p>
      <w:pPr>
        <w:spacing w:after="140" w:line="300"/>
      </w:pPr>
      <w:r>
        <w:rPr>
          <w:sz w:val="21"/>
          <w:szCs w:val="21"/>
        </w:rPr>
        <w:t xml:space="preserve">The Kruskal-Wallis test is highly significant, H(4) = 86.55, p &lt; .001, confirming that median spend differs substantially across employment categories. Employed and Self-employed customers spend roughly 2.5-2.7 times more per month than Students or the Unemployed, with Retired customers sitting in between. This is one of the strongest effects in the entire report.</w:t>
      </w:r>
    </w:p>
    <w:p>
      <w:pPr>
        <w:spacing w:after="60" w:before="100"/>
      </w:pPr>
      <w:r>
        <w:rPr>
          <w:b/>
          <w:bCs/>
          <w:color w:val="1F3864"/>
          <w:sz w:val="21"/>
          <w:szCs w:val="21"/>
        </w:rPr>
        <w:t xml:space="preserve">Key Insights Generated</w:t>
      </w:r>
    </w:p>
    <w:p>
      <w:pPr>
        <w:pStyle w:val="ListParagraph"/>
        <w:numPr>
          <w:ilvl w:val="0"/>
          <w:numId w:val="1"/>
        </w:numPr>
        <w:spacing w:after="60" w:line="280"/>
      </w:pPr>
      <w:r>
        <w:rPr>
          <w:sz w:val="21"/>
          <w:szCs w:val="21"/>
        </w:rPr>
        <w:t xml:space="preserve">Employment status is a powerful, easily-collected proxy for spend potential and should be incorporated into customer value scoring/segmentation models.</w:t>
      </w:r>
    </w:p>
    <w:p>
      <w:pPr>
        <w:pStyle w:val="ListParagraph"/>
        <w:numPr>
          <w:ilvl w:val="0"/>
          <w:numId w:val="1"/>
        </w:numPr>
        <w:spacing w:after="60" w:line="280"/>
      </w:pPr>
      <w:r>
        <w:rPr>
          <w:sz w:val="21"/>
          <w:szCs w:val="21"/>
        </w:rPr>
        <w:t xml:space="preserve">Students and the unemployed represent a lower-spend but potentially high-lifetime-value segment (young, growing income trajectory) worth nurturing with different offers (student discounts, starter loyalty tiers) rather than being judged on current spend alone.</w:t>
      </w:r>
    </w:p>
    <w:p>
      <w:pPr>
        <w:spacing w:after="200"/>
      </w:pPr>
    </w:p>
    <w:p>
      <w:r>
        <w:br w:type="page"/>
      </w:r>
    </w:p>
    <w:p>
      <w:pPr>
        <w:pStyle w:val="Heading1"/>
        <w:pBdr>
          <w:bottom w:val="single" w:color="1F3864" w:sz="6" w:space="4"/>
        </w:pBdr>
        <w:spacing w:after="200" w:before="400"/>
      </w:pPr>
      <w:r>
        <w:rPr>
          <w:b/>
          <w:bCs/>
          <w:color w:val="1F3864"/>
          <w:sz w:val="30"/>
          <w:szCs w:val="30"/>
        </w:rPr>
        <w:t xml:space="preserve">14. Wilcoxon Signed-Rank Test (Analyze &gt; Nonparametric Tests &gt; Legacy Dialogs &gt; 2 Related Samples)</w:t>
      </w:r>
    </w:p>
    <w:p>
      <w:pPr>
        <w:spacing w:after="100" w:line="300"/>
      </w:pPr>
      <w:r>
        <w:rPr>
          <w:b/>
          <w:bCs/>
          <w:color w:val="1F3864"/>
          <w:sz w:val="21"/>
          <w:szCs w:val="21"/>
        </w:rPr>
        <w:t xml:space="preserve">Aim of the Analysis: </w:t>
      </w:r>
      <w:r>
        <w:rPr>
          <w:sz w:val="21"/>
          <w:szCs w:val="21"/>
        </w:rPr>
        <w:t xml:space="preserve">To test, as a non-parametric counterpart to a paired t-test, whether customers rate Q1_ProductAvailability differently from Q4_CheckoutSpeed — both ordinal 1-5 Likert items measured on the same respondents, for which a rank-based paired test is the technically correct choice.</w:t>
      </w:r>
    </w:p>
    <w:p>
      <w:pPr>
        <w:spacing w:after="100" w:line="300"/>
      </w:pPr>
      <w:r>
        <w:rPr>
          <w:b/>
          <w:bCs/>
          <w:color w:val="1F3864"/>
          <w:sz w:val="21"/>
          <w:szCs w:val="21"/>
        </w:rPr>
        <w:t xml:space="preserve">Columns / Variables Involved: </w:t>
      </w:r>
      <w:r>
        <w:rPr>
          <w:sz w:val="21"/>
          <w:szCs w:val="21"/>
        </w:rPr>
        <w:t xml:space="preserve">Q1_ProductAvailability, Q4_CheckoutSpeed (paired within-subject)</w:t>
      </w:r>
    </w:p>
    <w:p>
      <w:pPr>
        <w:spacing w:after="60" w:before="100"/>
      </w:pPr>
      <w:r>
        <w:rPr>
          <w:b/>
          <w:bCs/>
          <w:color w:val="1F3864"/>
          <w:sz w:val="21"/>
          <w:szCs w:val="21"/>
        </w:rPr>
        <w:t xml:space="preserve">Step-by-Step Procedure in SPSS</w:t>
      </w:r>
    </w:p>
    <w:p>
      <w:pPr>
        <w:spacing w:after="60" w:line="280"/>
      </w:pPr>
      <w:r>
        <w:rPr>
          <w:sz w:val="21"/>
          <w:szCs w:val="21"/>
        </w:rPr>
        <w:t xml:space="preserve">1. Analyze &gt; Nonparametric Tests &gt; Legacy Dialogs &gt; 2 Related Samples.</w:t>
      </w:r>
    </w:p>
    <w:p>
      <w:pPr>
        <w:spacing w:after="60" w:line="280"/>
      </w:pPr>
      <w:r>
        <w:rPr>
          <w:sz w:val="21"/>
          <w:szCs w:val="21"/>
        </w:rPr>
        <w:t xml:space="preserve">2. Pair Q1_ProductAvailability with Q4_CheckoutSpeed.</w:t>
      </w:r>
    </w:p>
    <w:p>
      <w:pPr>
        <w:spacing w:after="60" w:line="280"/>
      </w:pPr>
      <w:r>
        <w:rPr>
          <w:sz w:val="21"/>
          <w:szCs w:val="21"/>
        </w:rPr>
        <w:t xml:space="preserve">3. Under Test Type, tick Wilcoxon.</w:t>
      </w:r>
    </w:p>
    <w:p>
      <w:pPr>
        <w:spacing w:after="60" w:line="280"/>
      </w:pPr>
      <w:r>
        <w:rPr>
          <w:sz w:val="21"/>
          <w:szCs w:val="21"/>
        </w:rPr>
        <w:t xml:space="preserve">4. Click OK.</w:t>
      </w:r>
    </w:p>
    <w:p>
      <w:pPr>
        <w:spacing w:after="80" w:before="140"/>
      </w:pPr>
      <w:r>
        <w:rPr>
          <w:b/>
          <w:bCs/>
          <w:color w:val="1F3864"/>
          <w:sz w:val="21"/>
          <w:szCs w:val="21"/>
        </w:rPr>
        <w:t xml:space="preserve">SPSS Output — Test Statistics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400"/>
        <w:gridCol w:w="900"/>
        <w:gridCol w:w="1300"/>
        <w:gridCol w:w="1300"/>
        <w:gridCol w:w="2100"/>
      </w:tblGrid>
      <w:tr>
        <w:trPr>
          <w:tblHeader/>
        </w:trPr>
        <w:tc>
          <w:tcPr>
            <w:tcW w:type="dxa" w:w="4400"/>
            <w:shd w:fill="1F3864" w:color="auto" w:val="clear"/>
            <w:tcMar>
              <w:top w:type="dxa" w:w="60"/>
              <w:left w:type="dxa" w:w="100"/>
              <w:bottom w:type="dxa" w:w="60"/>
              <w:right w:type="dxa" w:w="100"/>
            </w:tcMar>
            <w:vAlign w:val="center"/>
          </w:tcPr>
          <w:p>
            <w:pPr>
              <w:jc w:val="center"/>
            </w:pPr>
            <w:r>
              <w:rPr>
                <w:b/>
                <w:bCs/>
                <w:color w:val="FFFFFF"/>
                <w:sz w:val="19"/>
                <w:szCs w:val="19"/>
              </w:rPr>
              <w:t xml:space="preserve">Pair</w:t>
            </w:r>
          </w:p>
        </w:tc>
        <w:tc>
          <w:tcPr>
            <w:tcW w:type="dxa" w:w="900"/>
            <w:shd w:fill="1F3864" w:color="auto"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300"/>
            <w:shd w:fill="1F3864" w:color="auto" w:val="clear"/>
            <w:tcMar>
              <w:top w:type="dxa" w:w="60"/>
              <w:left w:type="dxa" w:w="100"/>
              <w:bottom w:type="dxa" w:w="60"/>
              <w:right w:type="dxa" w:w="100"/>
            </w:tcMar>
            <w:vAlign w:val="center"/>
          </w:tcPr>
          <w:p>
            <w:pPr>
              <w:jc w:val="center"/>
            </w:pPr>
            <w:r>
              <w:rPr>
                <w:b/>
                <w:bCs/>
                <w:color w:val="FFFFFF"/>
                <w:sz w:val="19"/>
                <w:szCs w:val="19"/>
              </w:rPr>
              <w:t xml:space="preserve">Mean Q1</w:t>
            </w:r>
          </w:p>
        </w:tc>
        <w:tc>
          <w:tcPr>
            <w:tcW w:type="dxa" w:w="1300"/>
            <w:shd w:fill="1F3864" w:color="auto" w:val="clear"/>
            <w:tcMar>
              <w:top w:type="dxa" w:w="60"/>
              <w:left w:type="dxa" w:w="100"/>
              <w:bottom w:type="dxa" w:w="60"/>
              <w:right w:type="dxa" w:w="100"/>
            </w:tcMar>
            <w:vAlign w:val="center"/>
          </w:tcPr>
          <w:p>
            <w:pPr>
              <w:jc w:val="center"/>
            </w:pPr>
            <w:r>
              <w:rPr>
                <w:b/>
                <w:bCs/>
                <w:color w:val="FFFFFF"/>
                <w:sz w:val="19"/>
                <w:szCs w:val="19"/>
              </w:rPr>
              <w:t xml:space="preserve">Mean Q4</w:t>
            </w:r>
          </w:p>
        </w:tc>
        <w:tc>
          <w:tcPr>
            <w:tcW w:type="dxa" w:w="2100"/>
            <w:shd w:fill="1F3864" w:color="auto" w:val="clear"/>
            <w:tcMar>
              <w:top w:type="dxa" w:w="60"/>
              <w:left w:type="dxa" w:w="100"/>
              <w:bottom w:type="dxa" w:w="60"/>
              <w:right w:type="dxa" w:w="100"/>
            </w:tcMar>
            <w:vAlign w:val="center"/>
          </w:tcPr>
          <w:p>
            <w:pPr>
              <w:jc w:val="center"/>
            </w:pPr>
            <w:r>
              <w:rPr>
                <w:b/>
                <w:bCs/>
                <w:color w:val="FFFFFF"/>
                <w:sz w:val="19"/>
                <w:szCs w:val="19"/>
              </w:rPr>
              <w:t xml:space="preserve">Wilcoxon Z / Statistic</w:t>
            </w:r>
          </w:p>
        </w:tc>
        <w:tc>
          <w:tcPr>
            <w:shd w:fill="1F3864" w:color="auto" w:val="clear"/>
            <w:tcMar>
              <w:top w:type="dxa" w:w="60"/>
              <w:left w:type="dxa" w:w="100"/>
              <w:bottom w:type="dxa" w:w="60"/>
              <w:right w:type="dxa" w:w="100"/>
            </w:tcMar>
            <w:vAlign w:val="center"/>
          </w:tcPr>
          <w:p>
            <w:pPr>
              <w:jc w:val="center"/>
            </w:pPr>
            <w:r>
              <w:rPr>
                <w:b/>
                <w:bCs/>
                <w:color w:val="FFFFFF"/>
                <w:sz w:val="19"/>
                <w:szCs w:val="19"/>
              </w:rPr>
              <w:t xml:space="preserve">Sig.</w:t>
            </w:r>
          </w:p>
        </w:tc>
      </w:tr>
      <w:tr>
        <w:tc>
          <w:tcPr>
            <w:tcW w:type="dxa" w:w="4400"/>
            <w:tcMar>
              <w:top w:type="dxa" w:w="60"/>
              <w:left w:type="dxa" w:w="100"/>
              <w:bottom w:type="dxa" w:w="60"/>
              <w:right w:type="dxa" w:w="100"/>
            </w:tcMar>
            <w:vAlign w:val="center"/>
          </w:tcPr>
          <w:p>
            <w:pPr>
              <w:jc w:val="left"/>
            </w:pPr>
            <w:r>
              <w:rPr>
                <w:b w:val="false"/>
                <w:bCs w:val="false"/>
                <w:color w:val="000000"/>
                <w:sz w:val="19"/>
                <w:szCs w:val="19"/>
              </w:rPr>
              <w:t xml:space="preserve">Q1_ProductAvailability - Q4_CheckoutSpeed</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3.02</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2.97</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W = 4,737.0</w:t>
            </w:r>
          </w:p>
        </w:tc>
        <w:tc>
          <w:tcPr>
            <w:tcMar>
              <w:top w:type="dxa" w:w="60"/>
              <w:left w:type="dxa" w:w="100"/>
              <w:bottom w:type="dxa" w:w="60"/>
              <w:right w:type="dxa" w:w="100"/>
            </w:tcMar>
            <w:vAlign w:val="center"/>
          </w:tcPr>
          <w:p>
            <w:pPr>
              <w:jc w:val="center"/>
            </w:pPr>
            <w:r>
              <w:rPr>
                <w:b w:val="false"/>
                <w:bCs w:val="false"/>
                <w:color w:val="000000"/>
                <w:sz w:val="19"/>
                <w:szCs w:val="19"/>
              </w:rPr>
              <w:t xml:space="preserve">p = .457 (ns)</w:t>
            </w:r>
          </w:p>
        </w:tc>
      </w:tr>
    </w:tbl>
    <w:p>
      <w:pPr>
        <w:spacing w:after="60" w:before="160"/>
      </w:pPr>
      <w:r>
        <w:rPr>
          <w:b/>
          <w:bCs/>
          <w:color w:val="1F3864"/>
          <w:sz w:val="21"/>
          <w:szCs w:val="21"/>
        </w:rPr>
        <w:t xml:space="preserve">Interpretation</w:t>
      </w:r>
    </w:p>
    <w:p>
      <w:pPr>
        <w:spacing w:after="140" w:line="300"/>
      </w:pPr>
      <w:r>
        <w:rPr>
          <w:sz w:val="21"/>
          <w:szCs w:val="21"/>
        </w:rPr>
        <w:t xml:space="preserve">The Wilcoxon Signed-Rank test is not significant (p = .457), indicating no systematic difference between how customers rate product availability versus checkout speed — the two service dimensions are perceived at essentially the same level (means 3.02 vs 2.97 on the 1-5 scale).</w:t>
      </w:r>
    </w:p>
    <w:p>
      <w:pPr>
        <w:spacing w:after="60" w:before="100"/>
      </w:pPr>
      <w:r>
        <w:rPr>
          <w:b/>
          <w:bCs/>
          <w:color w:val="1F3864"/>
          <w:sz w:val="21"/>
          <w:szCs w:val="21"/>
        </w:rPr>
        <w:t xml:space="preserve">Key Insights Generated</w:t>
      </w:r>
    </w:p>
    <w:p>
      <w:pPr>
        <w:pStyle w:val="ListParagraph"/>
        <w:numPr>
          <w:ilvl w:val="0"/>
          <w:numId w:val="1"/>
        </w:numPr>
        <w:spacing w:after="60" w:line="280"/>
      </w:pPr>
      <w:r>
        <w:rPr>
          <w:sz w:val="21"/>
          <w:szCs w:val="21"/>
        </w:rPr>
        <w:t xml:space="preserve">There is no evidence that customers experience checkout as meaningfully worse (or better) than product availability — both should be treated as roughly equal priorities in service-improvement planning.</w:t>
      </w:r>
    </w:p>
    <w:p>
      <w:pPr>
        <w:spacing w:after="200"/>
      </w:pPr>
    </w:p>
    <w:p>
      <w:r>
        <w:br w:type="page"/>
      </w:r>
    </w:p>
    <w:p>
      <w:pPr>
        <w:pStyle w:val="Heading1"/>
        <w:pBdr>
          <w:bottom w:val="single" w:color="1F3864" w:sz="6" w:space="4"/>
        </w:pBdr>
        <w:spacing w:after="200" w:before="400"/>
      </w:pPr>
      <w:r>
        <w:rPr>
          <w:b/>
          <w:bCs/>
          <w:color w:val="1F3864"/>
          <w:sz w:val="30"/>
          <w:szCs w:val="30"/>
        </w:rPr>
        <w:t xml:space="preserve">15. Chi-Square Goodness-of-Fit Test (Analyze &gt; Nonparametric Tests &gt; Legacy Dialogs &gt; Chi-square)</w:t>
      </w:r>
    </w:p>
    <w:p>
      <w:pPr>
        <w:spacing w:after="100" w:line="300"/>
      </w:pPr>
      <w:r>
        <w:rPr>
          <w:b/>
          <w:bCs/>
          <w:color w:val="1F3864"/>
          <w:sz w:val="21"/>
          <w:szCs w:val="21"/>
        </w:rPr>
        <w:t xml:space="preserve">Aim of the Analysis: </w:t>
      </w:r>
      <w:r>
        <w:rPr>
          <w:sz w:val="21"/>
          <w:szCs w:val="21"/>
        </w:rPr>
        <w:t xml:space="preserve">To test whether customers are evenly distributed across the four Membership Tiers, or whether the observed distribution differs significantly from an equal (25%/25%/25%/25%) split.</w:t>
      </w:r>
    </w:p>
    <w:p>
      <w:pPr>
        <w:spacing w:after="100" w:line="300"/>
      </w:pPr>
      <w:r>
        <w:rPr>
          <w:b/>
          <w:bCs/>
          <w:color w:val="1F3864"/>
          <w:sz w:val="21"/>
          <w:szCs w:val="21"/>
        </w:rPr>
        <w:t xml:space="preserve">Columns / Variables Involved: </w:t>
      </w:r>
      <w:r>
        <w:rPr>
          <w:sz w:val="21"/>
          <w:szCs w:val="21"/>
        </w:rPr>
        <w:t xml:space="preserve">MembershipTier</w:t>
      </w:r>
    </w:p>
    <w:p>
      <w:pPr>
        <w:spacing w:after="60" w:before="100"/>
      </w:pPr>
      <w:r>
        <w:rPr>
          <w:b/>
          <w:bCs/>
          <w:color w:val="1F3864"/>
          <w:sz w:val="21"/>
          <w:szCs w:val="21"/>
        </w:rPr>
        <w:t xml:space="preserve">Step-by-Step Procedure in SPSS</w:t>
      </w:r>
    </w:p>
    <w:p>
      <w:pPr>
        <w:spacing w:after="60" w:line="280"/>
      </w:pPr>
      <w:r>
        <w:rPr>
          <w:sz w:val="21"/>
          <w:szCs w:val="21"/>
        </w:rPr>
        <w:t xml:space="preserve">1. Analyze &gt; Nonparametric Tests &gt; Legacy Dialogs &gt; Chi-square.</w:t>
      </w:r>
    </w:p>
    <w:p>
      <w:pPr>
        <w:spacing w:after="60" w:line="280"/>
      </w:pPr>
      <w:r>
        <w:rPr>
          <w:sz w:val="21"/>
          <w:szCs w:val="21"/>
        </w:rPr>
        <w:t xml:space="preserve">2. Move MembershipTier into the Test Variable List.</w:t>
      </w:r>
    </w:p>
    <w:p>
      <w:pPr>
        <w:spacing w:after="60" w:line="280"/>
      </w:pPr>
      <w:r>
        <w:rPr>
          <w:sz w:val="21"/>
          <w:szCs w:val="21"/>
        </w:rPr>
        <w:t xml:space="preserve">3. Under Expected Values, leave "All categories equal" selected (the default null hypothesis).</w:t>
      </w:r>
    </w:p>
    <w:p>
      <w:pPr>
        <w:spacing w:after="60" w:line="280"/>
      </w:pPr>
      <w:r>
        <w:rPr>
          <w:sz w:val="21"/>
          <w:szCs w:val="21"/>
        </w:rPr>
        <w:t xml:space="preserve">4. Click OK.</w:t>
      </w:r>
    </w:p>
    <w:p>
      <w:pPr>
        <w:spacing w:after="80" w:before="140"/>
      </w:pPr>
      <w:r>
        <w:rPr>
          <w:b/>
          <w:bCs/>
          <w:color w:val="1F3864"/>
          <w:sz w:val="21"/>
          <w:szCs w:val="21"/>
        </w:rPr>
        <w:t xml:space="preserve">SPSS Output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100"/>
      </w:tblGrid>
      <w:tr>
        <w:trPr>
          <w:tblHeader/>
        </w:trPr>
        <w:tc>
          <w:tcPr>
            <w:tcW w:type="dxa" w:w="2500"/>
            <w:shd w:fill="1F3864" w:color="auto" w:val="clear"/>
            <w:tcMar>
              <w:top w:type="dxa" w:w="60"/>
              <w:left w:type="dxa" w:w="100"/>
              <w:bottom w:type="dxa" w:w="60"/>
              <w:right w:type="dxa" w:w="100"/>
            </w:tcMar>
            <w:vAlign w:val="center"/>
          </w:tcPr>
          <w:p>
            <w:pPr>
              <w:jc w:val="center"/>
            </w:pPr>
            <w:r>
              <w:rPr>
                <w:b/>
                <w:bCs/>
                <w:color w:val="FFFFFF"/>
                <w:sz w:val="19"/>
                <w:szCs w:val="19"/>
              </w:rPr>
              <w:t xml:space="preserve">Tier</w:t>
            </w:r>
          </w:p>
        </w:tc>
        <w:tc>
          <w:tcPr>
            <w:tcW w:type="dxa" w:w="2200"/>
            <w:shd w:fill="1F3864" w:color="auto" w:val="clear"/>
            <w:tcMar>
              <w:top w:type="dxa" w:w="60"/>
              <w:left w:type="dxa" w:w="100"/>
              <w:bottom w:type="dxa" w:w="60"/>
              <w:right w:type="dxa" w:w="100"/>
            </w:tcMar>
            <w:vAlign w:val="center"/>
          </w:tcPr>
          <w:p>
            <w:pPr>
              <w:jc w:val="center"/>
            </w:pPr>
            <w:r>
              <w:rPr>
                <w:b/>
                <w:bCs/>
                <w:color w:val="FFFFFF"/>
                <w:sz w:val="19"/>
                <w:szCs w:val="19"/>
              </w:rPr>
              <w:t xml:space="preserve">Observed N</w:t>
            </w:r>
          </w:p>
        </w:tc>
        <w:tc>
          <w:tcPr>
            <w:tcW w:type="dxa" w:w="2200"/>
            <w:shd w:fill="1F3864" w:color="auto" w:val="clear"/>
            <w:tcMar>
              <w:top w:type="dxa" w:w="60"/>
              <w:left w:type="dxa" w:w="100"/>
              <w:bottom w:type="dxa" w:w="60"/>
              <w:right w:type="dxa" w:w="100"/>
            </w:tcMar>
            <w:vAlign w:val="center"/>
          </w:tcPr>
          <w:p>
            <w:pPr>
              <w:jc w:val="center"/>
            </w:pPr>
            <w:r>
              <w:rPr>
                <w:b/>
                <w:bCs/>
                <w:color w:val="FFFFFF"/>
                <w:sz w:val="19"/>
                <w:szCs w:val="19"/>
              </w:rPr>
              <w:t xml:space="preserve">Expected N</w:t>
            </w:r>
          </w:p>
        </w:tc>
        <w:tc>
          <w:tcPr>
            <w:tcW w:type="dxa" w:w="2100"/>
            <w:shd w:fill="1F3864" w:color="auto" w:val="clear"/>
            <w:tcMar>
              <w:top w:type="dxa" w:w="60"/>
              <w:left w:type="dxa" w:w="100"/>
              <w:bottom w:type="dxa" w:w="60"/>
              <w:right w:type="dxa" w:w="100"/>
            </w:tcMar>
            <w:vAlign w:val="center"/>
          </w:tcPr>
          <w:p>
            <w:pPr>
              <w:jc w:val="center"/>
            </w:pPr>
            <w:r>
              <w:rPr>
                <w:b/>
                <w:bCs/>
                <w:color w:val="FFFFFF"/>
                <w:sz w:val="19"/>
                <w:szCs w:val="19"/>
              </w:rPr>
              <w:t xml:space="preserve">Residual</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Regular</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108</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62.5</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45.5</w:t>
            </w:r>
          </w:p>
        </w:tc>
      </w:tr>
      <w:tr>
        <w:tc>
          <w:tcPr>
            <w:tcW w:type="dxa" w:w="25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Silver</w:t>
            </w:r>
          </w:p>
        </w:tc>
        <w:tc>
          <w:tcPr>
            <w:tcW w:type="dxa" w:w="2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68</w:t>
            </w:r>
          </w:p>
        </w:tc>
        <w:tc>
          <w:tcPr>
            <w:tcW w:type="dxa" w:w="2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62.5</w:t>
            </w:r>
          </w:p>
        </w:tc>
        <w:tc>
          <w:tcPr>
            <w:tcW w:type="dxa" w:w="21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5.5</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Gold</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54</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62.5</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-8.5</w:t>
            </w:r>
          </w:p>
        </w:tc>
      </w:tr>
      <w:tr>
        <w:tc>
          <w:tcPr>
            <w:tcW w:type="dxa" w:w="25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Platinum</w:t>
            </w:r>
          </w:p>
        </w:tc>
        <w:tc>
          <w:tcPr>
            <w:tcW w:type="dxa" w:w="2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20</w:t>
            </w:r>
          </w:p>
        </w:tc>
        <w:tc>
          <w:tcPr>
            <w:tcW w:type="dxa" w:w="2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62.5</w:t>
            </w:r>
          </w:p>
        </w:tc>
        <w:tc>
          <w:tcPr>
            <w:tcW w:type="dxa" w:w="21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-42.5</w:t>
            </w:r>
          </w:p>
        </w:tc>
      </w:tr>
    </w:tbl>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Chi-Square</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df</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Asymp. Sig.</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63.664</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3</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&lt;.001</w:t>
            </w:r>
          </w:p>
        </w:tc>
      </w:tr>
    </w:tbl>
    <w:p>
      <w:pPr>
        <w:spacing w:after="60" w:before="160"/>
      </w:pPr>
      <w:r>
        <w:rPr>
          <w:b/>
          <w:bCs/>
          <w:color w:val="1F3864"/>
          <w:sz w:val="21"/>
          <w:szCs w:val="21"/>
        </w:rPr>
        <w:t xml:space="preserve">Interpretation</w:t>
      </w:r>
    </w:p>
    <w:p>
      <w:pPr>
        <w:spacing w:after="140" w:line="300"/>
      </w:pPr>
      <w:r>
        <w:rPr>
          <w:sz w:val="21"/>
          <w:szCs w:val="21"/>
        </w:rPr>
        <w:t xml:space="preserve">The goodness-of-fit test is highly significant, χ²(3) = 63.664, p &lt; .001, confirming that membership tiers are not evenly distributed. Regular members are far more numerous than an equal split would predict (108 observed vs 62.5 expected), while Platinum members are far scarcer (20 observed vs 62.5 expected). This statistically confirms the pyramid-shaped distribution already noted descriptively in Section 2.</w:t>
      </w:r>
    </w:p>
    <w:p>
      <w:pPr>
        <w:spacing w:after="60" w:before="100"/>
      </w:pPr>
      <w:r>
        <w:rPr>
          <w:b/>
          <w:bCs/>
          <w:color w:val="1F3864"/>
          <w:sz w:val="21"/>
          <w:szCs w:val="21"/>
        </w:rPr>
        <w:t xml:space="preserve">Key Insights Generated</w:t>
      </w:r>
    </w:p>
    <w:p>
      <w:pPr>
        <w:pStyle w:val="ListParagraph"/>
        <w:numPr>
          <w:ilvl w:val="0"/>
          <w:numId w:val="1"/>
        </w:numPr>
        <w:spacing w:after="60" w:line="280"/>
      </w:pPr>
      <w:r>
        <w:rPr>
          <w:sz w:val="21"/>
          <w:szCs w:val="21"/>
        </w:rPr>
        <w:t xml:space="preserve">The loyalty programme is functioning as a genuine pyramid rather than an artificially flat tier system — this is a healthy sign of a functioning, effort-gated tier structure rather than a giveaway.</w:t>
      </w:r>
    </w:p>
    <w:p>
      <w:pPr>
        <w:pStyle w:val="ListParagraph"/>
        <w:numPr>
          <w:ilvl w:val="0"/>
          <w:numId w:val="1"/>
        </w:numPr>
        <w:spacing w:after="60" w:line="280"/>
      </w:pPr>
      <w:r>
        <w:rPr>
          <w:sz w:val="21"/>
          <w:szCs w:val="21"/>
        </w:rPr>
        <w:t xml:space="preserve">Given only 8% of customers reach Platinum, a targeted "path-to-Platinum" campaign for high-potential Gold members (identified via the spend/tenure/satisfaction profile built in Sections 11 and 18) could meaningfully grow the most valuable tier.</w:t>
      </w:r>
    </w:p>
    <w:p>
      <w:pPr>
        <w:spacing w:after="200"/>
      </w:pPr>
    </w:p>
    <w:p>
      <w:r>
        <w:br w:type="page"/>
      </w:r>
    </w:p>
    <w:p>
      <w:pPr>
        <w:pStyle w:val="Heading1"/>
        <w:pBdr>
          <w:bottom w:val="single" w:color="1F3864" w:sz="6" w:space="4"/>
        </w:pBdr>
        <w:spacing w:after="200" w:before="400"/>
      </w:pPr>
      <w:r>
        <w:rPr>
          <w:b/>
          <w:bCs/>
          <w:color w:val="1F3864"/>
          <w:sz w:val="30"/>
          <w:szCs w:val="30"/>
        </w:rPr>
        <w:t xml:space="preserve">16. Multiple Linear Regression (Analyze &gt; Regression &gt; Linear)</w:t>
      </w:r>
    </w:p>
    <w:p>
      <w:pPr>
        <w:spacing w:after="100" w:line="300"/>
      </w:pPr>
      <w:r>
        <w:rPr>
          <w:b/>
          <w:bCs/>
          <w:color w:val="1F3864"/>
          <w:sz w:val="21"/>
          <w:szCs w:val="21"/>
        </w:rPr>
        <w:t xml:space="preserve">Aim of the Analysis: </w:t>
      </w:r>
      <w:r>
        <w:rPr>
          <w:sz w:val="21"/>
          <w:szCs w:val="21"/>
        </w:rPr>
        <w:t xml:space="preserve">To identify which customer characteristics jointly and independently predict MonthlySpend, and to quantify how much of the variance in spend they explain together.</w:t>
      </w:r>
    </w:p>
    <w:p>
      <w:pPr>
        <w:spacing w:after="100" w:line="300"/>
      </w:pPr>
      <w:r>
        <w:rPr>
          <w:b/>
          <w:bCs/>
          <w:color w:val="1F3864"/>
          <w:sz w:val="21"/>
          <w:szCs w:val="21"/>
        </w:rPr>
        <w:t xml:space="preserve">Columns / Variables Involved: </w:t>
      </w:r>
      <w:r>
        <w:rPr>
          <w:sz w:val="21"/>
          <w:szCs w:val="21"/>
        </w:rPr>
        <w:t xml:space="preserve">Dependent: MonthlySpend_Naira. Independents (Method: Enter): Age, MonthlyIncome_Naira, VisitsPerMonth, YearsAsCustomer, OverallSatisfaction</w:t>
      </w:r>
    </w:p>
    <w:p>
      <w:pPr>
        <w:spacing w:after="60" w:before="100"/>
      </w:pPr>
      <w:r>
        <w:rPr>
          <w:b/>
          <w:bCs/>
          <w:color w:val="1F3864"/>
          <w:sz w:val="21"/>
          <w:szCs w:val="21"/>
        </w:rPr>
        <w:t xml:space="preserve">Step-by-Step Procedure in SPSS</w:t>
      </w:r>
    </w:p>
    <w:p>
      <w:pPr>
        <w:spacing w:after="60" w:line="280"/>
      </w:pPr>
      <w:r>
        <w:rPr>
          <w:sz w:val="21"/>
          <w:szCs w:val="21"/>
        </w:rPr>
        <w:t xml:space="preserve">1. Analyze &gt; Regression &gt; Linear.</w:t>
      </w:r>
    </w:p>
    <w:p>
      <w:pPr>
        <w:spacing w:after="60" w:line="280"/>
      </w:pPr>
      <w:r>
        <w:rPr>
          <w:sz w:val="21"/>
          <w:szCs w:val="21"/>
        </w:rPr>
        <w:t xml:space="preserve">2. Move MonthlySpend_Naira into Dependent.</w:t>
      </w:r>
    </w:p>
    <w:p>
      <w:pPr>
        <w:spacing w:after="60" w:line="280"/>
      </w:pPr>
      <w:r>
        <w:rPr>
          <w:sz w:val="21"/>
          <w:szCs w:val="21"/>
        </w:rPr>
        <w:t xml:space="preserve">3. Move Age, MonthlyIncome_Naira, VisitsPerMonth, YearsAsCustomer, OverallSatisfaction into Independent(s), Method = Enter.</w:t>
      </w:r>
    </w:p>
    <w:p>
      <w:pPr>
        <w:spacing w:after="60" w:line="280"/>
      </w:pPr>
      <w:r>
        <w:rPr>
          <w:sz w:val="21"/>
          <w:szCs w:val="21"/>
        </w:rPr>
        <w:t xml:space="preserve">4. Click Statistics, tick Estimates, Model fit, Collinearity diagnostics, Durbin-Watson.</w:t>
      </w:r>
    </w:p>
    <w:p>
      <w:pPr>
        <w:spacing w:after="60" w:line="280"/>
      </w:pPr>
      <w:r>
        <w:rPr>
          <w:sz w:val="21"/>
          <w:szCs w:val="21"/>
        </w:rPr>
        <w:t xml:space="preserve">5. Click Plots, add *ZRESID vs *ZPRED for residual diagnostics.</w:t>
      </w:r>
    </w:p>
    <w:p>
      <w:pPr>
        <w:spacing w:after="60" w:line="280"/>
      </w:pPr>
      <w:r>
        <w:rPr>
          <w:sz w:val="21"/>
          <w:szCs w:val="21"/>
        </w:rPr>
        <w:t xml:space="preserve">6. Click OK.</w:t>
      </w:r>
    </w:p>
    <w:p>
      <w:pPr>
        <w:spacing w:after="80" w:before="140"/>
      </w:pPr>
      <w:r>
        <w:rPr>
          <w:b/>
          <w:bCs/>
          <w:color w:val="1F3864"/>
          <w:sz w:val="21"/>
          <w:szCs w:val="21"/>
        </w:rPr>
        <w:t xml:space="preserve">SPSS Output — Model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000"/>
      </w:tblGrid>
      <w:tr>
        <w:trPr>
          <w:tblHeader/>
        </w:trPr>
        <w:tc>
          <w:tcPr>
            <w:tcW w:type="dxa" w:w="2500"/>
            <w:shd w:fill="1F3864" w:color="auto" w:val="clear"/>
            <w:tcMar>
              <w:top w:type="dxa" w:w="60"/>
              <w:left w:type="dxa" w:w="100"/>
              <w:bottom w:type="dxa" w:w="60"/>
              <w:right w:type="dxa" w:w="100"/>
            </w:tcMar>
            <w:vAlign w:val="center"/>
          </w:tcPr>
          <w:p>
            <w:pPr>
              <w:jc w:val="center"/>
            </w:pPr>
            <w:r>
              <w:rPr>
                <w:b/>
                <w:bCs/>
                <w:color w:val="FFFFFF"/>
                <w:sz w:val="19"/>
                <w:szCs w:val="19"/>
              </w:rPr>
              <w:t xml:space="preserve">R</w:t>
            </w:r>
          </w:p>
        </w:tc>
        <w:tc>
          <w:tcPr>
            <w:tcW w:type="dxa" w:w="2000"/>
            <w:shd w:fill="1F3864" w:color="auto" w:val="clear"/>
            <w:tcMar>
              <w:top w:type="dxa" w:w="60"/>
              <w:left w:type="dxa" w:w="100"/>
              <w:bottom w:type="dxa" w:w="60"/>
              <w:right w:type="dxa" w:w="100"/>
            </w:tcMar>
            <w:vAlign w:val="center"/>
          </w:tcPr>
          <w:p>
            <w:pPr>
              <w:jc w:val="center"/>
            </w:pPr>
            <w:r>
              <w:rPr>
                <w:b/>
                <w:bCs/>
                <w:color w:val="FFFFFF"/>
                <w:sz w:val="19"/>
                <w:szCs w:val="19"/>
              </w:rPr>
              <w:t xml:space="preserve">R²</w:t>
            </w:r>
          </w:p>
        </w:tc>
        <w:tc>
          <w:tcPr>
            <w:tcW w:type="dxa" w:w="2500"/>
            <w:shd w:fill="1F3864" w:color="auto" w:val="clear"/>
            <w:tcMar>
              <w:top w:type="dxa" w:w="60"/>
              <w:left w:type="dxa" w:w="100"/>
              <w:bottom w:type="dxa" w:w="60"/>
              <w:right w:type="dxa" w:w="100"/>
            </w:tcMar>
            <w:vAlign w:val="center"/>
          </w:tcPr>
          <w:p>
            <w:pPr>
              <w:jc w:val="center"/>
            </w:pPr>
            <w:r>
              <w:rPr>
                <w:b/>
                <w:bCs/>
                <w:color w:val="FFFFFF"/>
                <w:sz w:val="19"/>
                <w:szCs w:val="19"/>
              </w:rPr>
              <w:t xml:space="preserve">Adjusted R²</w:t>
            </w:r>
          </w:p>
        </w:tc>
        <w:tc>
          <w:tcPr>
            <w:tcW w:type="dxa" w:w="2000"/>
            <w:shd w:fill="1F3864" w:color="auto" w:val="clear"/>
            <w:tcMar>
              <w:top w:type="dxa" w:w="60"/>
              <w:left w:type="dxa" w:w="100"/>
              <w:bottom w:type="dxa" w:w="60"/>
              <w:right w:type="dxa" w:w="100"/>
            </w:tcMar>
            <w:vAlign w:val="center"/>
          </w:tcPr>
          <w:p>
            <w:pPr>
              <w:jc w:val="center"/>
            </w:pPr>
            <w:r>
              <w:rPr>
                <w:b/>
                <w:bCs/>
                <w:color w:val="FFFFFF"/>
                <w:sz w:val="19"/>
                <w:szCs w:val="19"/>
              </w:rPr>
              <w:t xml:space="preserve">Durbin-Watson</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0.851</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0.723</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0.717</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2.01</w:t>
            </w:r>
          </w:p>
        </w:tc>
      </w:tr>
    </w:tbl>
    <w:p>
      <w:pPr>
        <w:spacing w:after="60"/>
      </w:pPr>
    </w:p>
    <w:p>
      <w:pPr>
        <w:pStyle w:val="Heading3"/>
        <w:spacing w:after="90" w:before="180"/>
      </w:pPr>
      <w:r>
        <w:rPr>
          <w:b/>
          <w:bCs/>
          <w:i w:val="false"/>
          <w:iCs w:val="false"/>
          <w:color w:val="1F3864"/>
          <w:sz w:val="21"/>
          <w:szCs w:val="21"/>
        </w:rPr>
        <w:t xml:space="preserve">ANOVA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900"/>
        <w:gridCol w:w="2200"/>
        <w:gridCol w:w="1000"/>
        <w:gridCol w:w="700"/>
      </w:tblGrid>
      <w:tr>
        <w:trPr>
          <w:tblHeader/>
        </w:trPr>
        <w:tc>
          <w:tcPr>
            <w:tcW w:type="dxa" w:w="2200"/>
            <w:shd w:fill="1F3864" w:color="auto" w:val="clear"/>
            <w:tcMar>
              <w:top w:type="dxa" w:w="60"/>
              <w:left w:type="dxa" w:w="100"/>
              <w:bottom w:type="dxa" w:w="60"/>
              <w:right w:type="dxa" w:w="100"/>
            </w:tcMar>
            <w:vAlign w:val="center"/>
          </w:tcPr>
          <w:p>
            <w:pPr>
              <w:jc w:val="center"/>
            </w:pPr>
            <w:r>
              <w:rPr>
                <w:b/>
                <w:bCs/>
                <w:color w:val="FFFFFF"/>
                <w:sz w:val="19"/>
                <w:szCs w:val="19"/>
              </w:rPr>
              <w:t xml:space="preserve">Source</w:t>
            </w:r>
          </w:p>
        </w:tc>
        <w:tc>
          <w:tcPr>
            <w:tcW w:type="dxa" w:w="2000"/>
            <w:shd w:fill="1F3864" w:color="auto" w:val="clear"/>
            <w:tcMar>
              <w:top w:type="dxa" w:w="60"/>
              <w:left w:type="dxa" w:w="100"/>
              <w:bottom w:type="dxa" w:w="60"/>
              <w:right w:type="dxa" w:w="100"/>
            </w:tcMar>
            <w:vAlign w:val="center"/>
          </w:tcPr>
          <w:p>
            <w:pPr>
              <w:jc w:val="center"/>
            </w:pPr>
            <w:r>
              <w:rPr>
                <w:b/>
                <w:bCs/>
                <w:color w:val="FFFFFF"/>
                <w:sz w:val="19"/>
                <w:szCs w:val="19"/>
              </w:rPr>
              <w:t xml:space="preserve">SS</w:t>
            </w:r>
          </w:p>
        </w:tc>
        <w:tc>
          <w:tcPr>
            <w:tcW w:type="dxa" w:w="900"/>
            <w:shd w:fill="1F3864" w:color="auto" w:val="clear"/>
            <w:tcMar>
              <w:top w:type="dxa" w:w="60"/>
              <w:left w:type="dxa" w:w="100"/>
              <w:bottom w:type="dxa" w:w="60"/>
              <w:right w:type="dxa" w:w="100"/>
            </w:tcMar>
            <w:vAlign w:val="center"/>
          </w:tcPr>
          <w:p>
            <w:pPr>
              <w:jc w:val="center"/>
            </w:pPr>
            <w:r>
              <w:rPr>
                <w:b/>
                <w:bCs/>
                <w:color w:val="FFFFFF"/>
                <w:sz w:val="19"/>
                <w:szCs w:val="19"/>
              </w:rPr>
              <w:t xml:space="preserve">df</w:t>
            </w:r>
          </w:p>
        </w:tc>
        <w:tc>
          <w:tcPr>
            <w:tcW w:type="dxa" w:w="2200"/>
            <w:shd w:fill="1F3864" w:color="auto" w:val="clear"/>
            <w:tcMar>
              <w:top w:type="dxa" w:w="60"/>
              <w:left w:type="dxa" w:w="100"/>
              <w:bottom w:type="dxa" w:w="60"/>
              <w:right w:type="dxa" w:w="100"/>
            </w:tcMar>
            <w:vAlign w:val="center"/>
          </w:tcPr>
          <w:p>
            <w:pPr>
              <w:jc w:val="center"/>
            </w:pPr>
            <w:r>
              <w:rPr>
                <w:b/>
                <w:bCs/>
                <w:color w:val="FFFFFF"/>
                <w:sz w:val="19"/>
                <w:szCs w:val="19"/>
              </w:rPr>
              <w:t xml:space="preserve">MS</w:t>
            </w:r>
          </w:p>
        </w:tc>
        <w:tc>
          <w:tcPr>
            <w:tcW w:type="dxa" w:w="1000"/>
            <w:shd w:fill="1F3864" w:color="auto" w:val="clear"/>
            <w:tcMar>
              <w:top w:type="dxa" w:w="60"/>
              <w:left w:type="dxa" w:w="100"/>
              <w:bottom w:type="dxa" w:w="60"/>
              <w:right w:type="dxa" w:w="100"/>
            </w:tcMar>
            <w:vAlign w:val="center"/>
          </w:tcPr>
          <w:p>
            <w:pPr>
              <w:jc w:val="center"/>
            </w:pPr>
            <w:r>
              <w:rPr>
                <w:b/>
                <w:bCs/>
                <w:color w:val="FFFFFF"/>
                <w:sz w:val="19"/>
                <w:szCs w:val="19"/>
              </w:rPr>
              <w:t xml:space="preserve">F</w:t>
            </w:r>
          </w:p>
        </w:tc>
        <w:tc>
          <w:tcPr>
            <w:tcW w:type="dxa" w:w="700"/>
            <w:shd w:fill="1F3864" w:color="auto" w:val="clear"/>
            <w:tcMar>
              <w:top w:type="dxa" w:w="60"/>
              <w:left w:type="dxa" w:w="100"/>
              <w:bottom w:type="dxa" w:w="60"/>
              <w:right w:type="dxa" w:w="100"/>
            </w:tcMar>
            <w:vAlign w:val="center"/>
          </w:tcPr>
          <w:p>
            <w:pPr>
              <w:jc w:val="center"/>
            </w:pPr>
            <w:r>
              <w:rPr>
                <w:b/>
                <w:bCs/>
                <w:color w:val="FFFFFF"/>
                <w:sz w:val="19"/>
                <w:szCs w:val="19"/>
              </w:rPr>
              <w:t xml:space="preserve">Sig.</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Regression</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52,278,481,102</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10,455,696,220</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108.81</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&lt;.001</w:t>
            </w:r>
          </w:p>
        </w:tc>
      </w:tr>
      <w:tr>
        <w:tc>
          <w:tcPr>
            <w:tcW w:type="dxa" w:w="22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Residual</w:t>
            </w:r>
          </w:p>
        </w:tc>
        <w:tc>
          <w:tcPr>
            <w:tcW w:type="dxa" w:w="2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19,973,470,987</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208</w:t>
            </w:r>
          </w:p>
        </w:tc>
        <w:tc>
          <w:tcPr>
            <w:tcW w:type="dxa" w:w="2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96,026,301</w:t>
            </w:r>
          </w:p>
        </w:tc>
        <w:tc>
          <w:tcPr>
            <w:tcW w:type="dxa" w:w="1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7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Total</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72,251,952,089</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213</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
            </w:r>
          </w:p>
        </w:tc>
      </w:tr>
    </w:tbl>
    <w:p>
      <w:pPr>
        <w:spacing w:after="60"/>
      </w:pPr>
    </w:p>
    <w:p>
      <w:pPr>
        <w:pStyle w:val="Heading3"/>
        <w:spacing w:after="90" w:before="180"/>
      </w:pPr>
      <w:r>
        <w:rPr>
          <w:b/>
          <w:bCs/>
          <w:i w:val="false"/>
          <w:iCs w:val="false"/>
          <w:color w:val="1F3864"/>
          <w:sz w:val="21"/>
          <w:szCs w:val="21"/>
        </w:rPr>
        <w:t xml:space="preserve">Coefficients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300"/>
        <w:gridCol w:w="1300"/>
        <w:gridCol w:w="900"/>
        <w:gridCol w:w="900"/>
        <w:gridCol w:w="900"/>
      </w:tblGrid>
      <w:tr>
        <w:trPr>
          <w:tblHeader/>
        </w:trPr>
        <w:tc>
          <w:tcPr>
            <w:tcW w:type="dxa" w:w="2400"/>
            <w:shd w:fill="1F3864" w:color="auto" w:val="clear"/>
            <w:tcMar>
              <w:top w:type="dxa" w:w="60"/>
              <w:left w:type="dxa" w:w="100"/>
              <w:bottom w:type="dxa" w:w="60"/>
              <w:right w:type="dxa" w:w="100"/>
            </w:tcMar>
            <w:vAlign w:val="center"/>
          </w:tcPr>
          <w:p>
            <w:pPr>
              <w:jc w:val="center"/>
            </w:pPr>
            <w:r>
              <w:rPr>
                <w:b/>
                <w:bCs/>
                <w:color w:val="FFFFFF"/>
                <w:sz w:val="19"/>
                <w:szCs w:val="19"/>
              </w:rPr>
              <w:t xml:space="preserve">Predictor</w:t>
            </w:r>
          </w:p>
        </w:tc>
        <w:tc>
          <w:tcPr>
            <w:tcW w:type="dxa" w:w="1400"/>
            <w:shd w:fill="1F3864" w:color="auto" w:val="clear"/>
            <w:tcMar>
              <w:top w:type="dxa" w:w="60"/>
              <w:left w:type="dxa" w:w="100"/>
              <w:bottom w:type="dxa" w:w="60"/>
              <w:right w:type="dxa" w:w="100"/>
            </w:tcMar>
            <w:vAlign w:val="center"/>
          </w:tcPr>
          <w:p>
            <w:pPr>
              <w:jc w:val="center"/>
            </w:pPr>
            <w:r>
              <w:rPr>
                <w:b/>
                <w:bCs/>
                <w:color w:val="FFFFFF"/>
                <w:sz w:val="19"/>
                <w:szCs w:val="19"/>
              </w:rPr>
              <w:t xml:space="preserve">B</w:t>
            </w:r>
          </w:p>
        </w:tc>
        <w:tc>
          <w:tcPr>
            <w:tcW w:type="dxa" w:w="1300"/>
            <w:shd w:fill="1F3864" w:color="auto" w:val="clear"/>
            <w:tcMar>
              <w:top w:type="dxa" w:w="60"/>
              <w:left w:type="dxa" w:w="100"/>
              <w:bottom w:type="dxa" w:w="60"/>
              <w:right w:type="dxa" w:w="100"/>
            </w:tcMar>
            <w:vAlign w:val="center"/>
          </w:tcPr>
          <w:p>
            <w:pPr>
              <w:jc w:val="center"/>
            </w:pPr>
            <w:r>
              <w:rPr>
                <w:b/>
                <w:bCs/>
                <w:color w:val="FFFFFF"/>
                <w:sz w:val="19"/>
                <w:szCs w:val="19"/>
              </w:rPr>
              <w:t xml:space="preserve">Std. Error</w:t>
            </w:r>
          </w:p>
        </w:tc>
        <w:tc>
          <w:tcPr>
            <w:tcW w:type="dxa" w:w="1300"/>
            <w:shd w:fill="1F3864" w:color="auto" w:val="clear"/>
            <w:tcMar>
              <w:top w:type="dxa" w:w="60"/>
              <w:left w:type="dxa" w:w="100"/>
              <w:bottom w:type="dxa" w:w="60"/>
              <w:right w:type="dxa" w:w="100"/>
            </w:tcMar>
            <w:vAlign w:val="center"/>
          </w:tcPr>
          <w:p>
            <w:pPr>
              <w:jc w:val="center"/>
            </w:pPr>
            <w:r>
              <w:rPr>
                <w:b/>
                <w:bCs/>
                <w:color w:val="FFFFFF"/>
                <w:sz w:val="19"/>
                <w:szCs w:val="19"/>
              </w:rPr>
              <w:t xml:space="preserve">Beta (std.)</w:t>
            </w:r>
          </w:p>
        </w:tc>
        <w:tc>
          <w:tcPr>
            <w:tcW w:type="dxa" w:w="900"/>
            <w:shd w:fill="1F3864" w:color="auto" w:val="clear"/>
            <w:tcMar>
              <w:top w:type="dxa" w:w="60"/>
              <w:left w:type="dxa" w:w="100"/>
              <w:bottom w:type="dxa" w:w="60"/>
              <w:right w:type="dxa" w:w="100"/>
            </w:tcMar>
            <w:vAlign w:val="center"/>
          </w:tcPr>
          <w:p>
            <w:pPr>
              <w:jc w:val="center"/>
            </w:pPr>
            <w:r>
              <w:rPr>
                <w:b/>
                <w:bCs/>
                <w:color w:val="FFFFFF"/>
                <w:sz w:val="19"/>
                <w:szCs w:val="19"/>
              </w:rPr>
              <w:t xml:space="preserve">t</w:t>
            </w:r>
          </w:p>
        </w:tc>
        <w:tc>
          <w:tcPr>
            <w:tcW w:type="dxa" w:w="900"/>
            <w:shd w:fill="1F3864" w:color="auto" w:val="clear"/>
            <w:tcMar>
              <w:top w:type="dxa" w:w="60"/>
              <w:left w:type="dxa" w:w="100"/>
              <w:bottom w:type="dxa" w:w="60"/>
              <w:right w:type="dxa" w:w="100"/>
            </w:tcMar>
            <w:vAlign w:val="center"/>
          </w:tcPr>
          <w:p>
            <w:pPr>
              <w:jc w:val="center"/>
            </w:pPr>
            <w:r>
              <w:rPr>
                <w:b/>
                <w:bCs/>
                <w:color w:val="FFFFFF"/>
                <w:sz w:val="19"/>
                <w:szCs w:val="19"/>
              </w:rPr>
              <w:t xml:space="preserve">Sig.</w:t>
            </w:r>
          </w:p>
        </w:tc>
        <w:tc>
          <w:tcPr>
            <w:tcW w:type="dxa" w:w="900"/>
            <w:shd w:fill="1F3864" w:color="auto" w:val="clear"/>
            <w:tcMar>
              <w:top w:type="dxa" w:w="60"/>
              <w:left w:type="dxa" w:w="100"/>
              <w:bottom w:type="dxa" w:w="60"/>
              <w:right w:type="dxa" w:w="100"/>
            </w:tcMar>
            <w:vAlign w:val="center"/>
          </w:tcPr>
          <w:p>
            <w:pPr>
              <w:jc w:val="center"/>
            </w:pPr>
            <w:r>
              <w:rPr>
                <w:b/>
                <w:bCs/>
                <w:color w:val="FFFFFF"/>
                <w:sz w:val="19"/>
                <w:szCs w:val="19"/>
              </w:rPr>
              <w:t xml:space="preserve">VIF</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(Constant)</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-17,515.02</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3,232.66</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-5.418</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w:t>
            </w:r>
          </w:p>
        </w:tc>
      </w:tr>
      <w:tr>
        <w:tc>
          <w:tcPr>
            <w:tcW w:type="dxa" w:w="24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Age</w:t>
            </w:r>
          </w:p>
        </w:tc>
        <w:tc>
          <w:tcPr>
            <w:tcW w:type="dxa" w:w="1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34.91</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75.59</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.027</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.462</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.645</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2.645</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MonthlyIncome_Naira</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0.165</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0.008</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.794</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21.738</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1.004</w:t>
            </w:r>
          </w:p>
        </w:tc>
      </w:tr>
      <w:tr>
        <w:tc>
          <w:tcPr>
            <w:tcW w:type="dxa" w:w="24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VisitsPerMonth</w:t>
            </w:r>
          </w:p>
        </w:tc>
        <w:tc>
          <w:tcPr>
            <w:tcW w:type="dxa" w:w="1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2,230.75</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337.10</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.243</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6.618</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1.014</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YearsAsCustomer</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95.48</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290.81</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.019</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.328</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.743</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2.636</w:t>
            </w:r>
          </w:p>
        </w:tc>
      </w:tr>
      <w:tr>
        <w:tc>
          <w:tcPr>
            <w:tcW w:type="dxa" w:w="24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OverallSatisfaction</w:t>
            </w:r>
          </w:p>
        </w:tc>
        <w:tc>
          <w:tcPr>
            <w:tcW w:type="dxa" w:w="1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1,633.81</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310.54</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.195</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5.261</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1.036</w:t>
            </w:r>
          </w:p>
        </w:tc>
      </w:tr>
    </w:tbl>
    <w:p>
      <w:pPr>
        <w:spacing w:after="60" w:before="160"/>
      </w:pPr>
      <w:r>
        <w:rPr>
          <w:b/>
          <w:bCs/>
          <w:color w:val="1F3864"/>
          <w:sz w:val="21"/>
          <w:szCs w:val="21"/>
        </w:rPr>
        <w:t xml:space="preserve">Interpretation</w:t>
      </w:r>
    </w:p>
    <w:p>
      <w:pPr>
        <w:spacing w:after="140" w:line="300"/>
      </w:pPr>
      <w:r>
        <w:rPr>
          <w:sz w:val="21"/>
          <w:szCs w:val="21"/>
        </w:rPr>
        <w:t xml:space="preserve">The overall model is highly significant, F(5, 208) = 108.81, p &lt; .001, and explains a very large 72.3% of the variance in monthly spend (R² = .723, Adjusted R² = .717) — an unusually strong result for a customer-behaviour model. The Durbin-Watson statistic (2.01) sits almost exactly at the ideal value of 2, indicating no problematic autocorrelation in the residuals, and all Variance Inflation Factors are well below the concern threshold of 5 (max VIF = 2.645), so multicollinearity is not distorting the coefficients.</w:t>
      </w:r>
    </w:p>
    <w:p>
      <w:pPr>
        <w:spacing w:after="140" w:line="300"/>
      </w:pPr>
      <w:r>
        <w:rPr>
          <w:sz w:val="21"/>
          <w:szCs w:val="21"/>
        </w:rPr>
        <w:t xml:space="preserve">Three predictors are significant. MonthlyIncome_Naira is overwhelmingly the strongest predictor (standardized β = .794, p &lt; .001): every additional ₦1 of monthly income is associated with ₦0.165 more monthly spend, holding other variables constant. VisitsPerMonth is the second strongest (β = .243, p &lt; .001): each additional monthly visit adds roughly ₦2,231 to spend. OverallSatisfaction also contributes independently (β = .195, p &lt; .001): each one-point increase in satisfaction (on the 0-10 scale) is associated with about ₦1,634 more monthly spend, over and above income and visit frequency. Age and YearsAsCustomer are not significant predictors once income and visits are controlled for (p = .645 and .743) — their earlier apparent relevance was likely confounded with income and tenure-related visit patterns.</w:t>
      </w:r>
    </w:p>
    <w:p>
      <w:pPr>
        <w:spacing w:after="60" w:before="100"/>
      </w:pPr>
      <w:r>
        <w:rPr>
          <w:b/>
          <w:bCs/>
          <w:color w:val="1F3864"/>
          <w:sz w:val="21"/>
          <w:szCs w:val="21"/>
        </w:rPr>
        <w:t xml:space="preserve">Key Insights Generated</w:t>
      </w:r>
    </w:p>
    <w:p>
      <w:pPr>
        <w:pStyle w:val="ListParagraph"/>
        <w:numPr>
          <w:ilvl w:val="0"/>
          <w:numId w:val="1"/>
        </w:numPr>
        <w:spacing w:after="60" w:line="280"/>
      </w:pPr>
      <w:r>
        <w:rPr>
          <w:sz w:val="21"/>
          <w:szCs w:val="21"/>
        </w:rPr>
        <w:t xml:space="preserve">Income is, unsurprisingly, the dominant lever on spend — but visit frequency and satisfaction are both independently actionable levers the retailer directly controls, unlike income.</w:t>
      </w:r>
    </w:p>
    <w:p>
      <w:pPr>
        <w:pStyle w:val="ListParagraph"/>
        <w:numPr>
          <w:ilvl w:val="0"/>
          <w:numId w:val="1"/>
        </w:numPr>
        <w:spacing w:after="60" w:line="280"/>
      </w:pPr>
      <w:r>
        <w:rPr>
          <w:sz w:val="21"/>
          <w:szCs w:val="21"/>
        </w:rPr>
        <w:t xml:space="preserve">Because satisfaction predicts spend even after controlling for income and visit frequency, investing in service quality has a demonstrable, quantifiable revenue payoff (≈ ₦1,634 per satisfaction point per customer per month), not just a soft "brand health" benefit.</w:t>
      </w:r>
    </w:p>
    <w:p>
      <w:pPr>
        <w:pStyle w:val="ListParagraph"/>
        <w:numPr>
          <w:ilvl w:val="0"/>
          <w:numId w:val="1"/>
        </w:numPr>
        <w:spacing w:after="60" w:line="280"/>
      </w:pPr>
      <w:r>
        <w:rPr>
          <w:sz w:val="21"/>
          <w:szCs w:val="21"/>
        </w:rPr>
        <w:t xml:space="preserve">Age and tenure add nothing to the spend model once income and visits are known — loyalty programmes built around tenure alone are not targeting the variables that actually drive spend.</w:t>
      </w:r>
    </w:p>
    <w:p>
      <w:pPr>
        <w:pStyle w:val="ListParagraph"/>
        <w:numPr>
          <w:ilvl w:val="0"/>
          <w:numId w:val="1"/>
        </w:numPr>
        <w:spacing w:after="60" w:line="280"/>
      </w:pPr>
      <w:r>
        <w:rPr>
          <w:sz w:val="21"/>
          <w:szCs w:val="21"/>
        </w:rPr>
        <w:t xml:space="preserve">A simple two-lever action plan emerges: (1) increase visit frequency (e.g., via personalised reminders/promotions) and (2) improve satisfaction (via the service-quality drivers identified in Sections 7-8) to grow spend independent of customers' income.</w:t>
      </w:r>
    </w:p>
    <w:p>
      <w:pPr>
        <w:spacing w:after="200"/>
      </w:pPr>
    </w:p>
    <w:p>
      <w:r>
        <w:br w:type="page"/>
      </w:r>
    </w:p>
    <w:p>
      <w:pPr>
        <w:pStyle w:val="Heading1"/>
        <w:pBdr>
          <w:bottom w:val="single" w:color="1F3864" w:sz="6" w:space="4"/>
        </w:pBdr>
        <w:spacing w:after="200" w:before="400"/>
      </w:pPr>
      <w:r>
        <w:rPr>
          <w:b/>
          <w:bCs/>
          <w:color w:val="1F3864"/>
          <w:sz w:val="30"/>
          <w:szCs w:val="30"/>
        </w:rPr>
        <w:t xml:space="preserve">17. Binary Logistic Regression (Analyze &gt; Regression &gt; Binary Logistic)</w:t>
      </w:r>
    </w:p>
    <w:p>
      <w:pPr>
        <w:spacing w:after="100" w:line="300"/>
      </w:pPr>
      <w:r>
        <w:rPr>
          <w:b/>
          <w:bCs/>
          <w:color w:val="1F3864"/>
          <w:sz w:val="21"/>
          <w:szCs w:val="21"/>
        </w:rPr>
        <w:t xml:space="preserve">Aim of the Analysis: </w:t>
      </w:r>
      <w:r>
        <w:rPr>
          <w:sz w:val="21"/>
          <w:szCs w:val="21"/>
        </w:rPr>
        <w:t xml:space="preserve">To model the probability that a customer says they "Would Shop Again" (Yes/No) as a function of satisfaction, recommendation likelihood, spend, and returns — directly addressing the churn-risk signal identified in Section 2.</w:t>
      </w:r>
    </w:p>
    <w:p>
      <w:pPr>
        <w:spacing w:after="100" w:line="300"/>
      </w:pPr>
      <w:r>
        <w:rPr>
          <w:b/>
          <w:bCs/>
          <w:color w:val="1F3864"/>
          <w:sz w:val="21"/>
          <w:szCs w:val="21"/>
        </w:rPr>
        <w:t xml:space="preserve">Columns / Variables Involved: </w:t>
      </w:r>
      <w:r>
        <w:rPr>
          <w:sz w:val="21"/>
          <w:szCs w:val="21"/>
        </w:rPr>
        <w:t xml:space="preserve">Dependent: WouldShopAgain (Yes=1/No=0). Covariates: OverallSatisfaction, LikelihoodToRecommend, MonthlySpend_Naira, ReturnsPast6Months</w:t>
      </w:r>
    </w:p>
    <w:p>
      <w:pPr>
        <w:spacing w:after="60" w:before="100"/>
      </w:pPr>
      <w:r>
        <w:rPr>
          <w:b/>
          <w:bCs/>
          <w:color w:val="1F3864"/>
          <w:sz w:val="21"/>
          <w:szCs w:val="21"/>
        </w:rPr>
        <w:t xml:space="preserve">Step-by-Step Procedure in SPSS</w:t>
      </w:r>
    </w:p>
    <w:p>
      <w:pPr>
        <w:spacing w:after="60" w:line="280"/>
      </w:pPr>
      <w:r>
        <w:rPr>
          <w:sz w:val="21"/>
          <w:szCs w:val="21"/>
        </w:rPr>
        <w:t xml:space="preserve">1. Analyze &gt; Regression &gt; Binary Logistic.</w:t>
      </w:r>
    </w:p>
    <w:p>
      <w:pPr>
        <w:spacing w:after="60" w:line="280"/>
      </w:pPr>
      <w:r>
        <w:rPr>
          <w:sz w:val="21"/>
          <w:szCs w:val="21"/>
        </w:rPr>
        <w:t xml:space="preserve">2. Move WouldShopAgain into Dependent.</w:t>
      </w:r>
    </w:p>
    <w:p>
      <w:pPr>
        <w:spacing w:after="60" w:line="280"/>
      </w:pPr>
      <w:r>
        <w:rPr>
          <w:sz w:val="21"/>
          <w:szCs w:val="21"/>
        </w:rPr>
        <w:t xml:space="preserve">3. Move OverallSatisfaction, LikelihoodToRecommend, MonthlySpend_Naira, ReturnsPast6Months into Covariates, Method = Enter.</w:t>
      </w:r>
    </w:p>
    <w:p>
      <w:pPr>
        <w:spacing w:after="60" w:line="280"/>
      </w:pPr>
      <w:r>
        <w:rPr>
          <w:sz w:val="21"/>
          <w:szCs w:val="21"/>
        </w:rPr>
        <w:t xml:space="preserve">4. Click Options, tick Classification plots, Hosmer-Lemeshow goodness-of-fit, CI for exp(B).</w:t>
      </w:r>
    </w:p>
    <w:p>
      <w:pPr>
        <w:spacing w:after="60" w:line="280"/>
      </w:pPr>
      <w:r>
        <w:rPr>
          <w:sz w:val="21"/>
          <w:szCs w:val="21"/>
        </w:rPr>
        <w:t xml:space="preserve">5. Click OK.</w:t>
      </w:r>
    </w:p>
    <w:p>
      <w:pPr>
        <w:spacing w:after="80" w:before="140"/>
      </w:pPr>
      <w:r>
        <w:rPr>
          <w:b/>
          <w:bCs/>
          <w:color w:val="1F3864"/>
          <w:sz w:val="21"/>
          <w:szCs w:val="21"/>
        </w:rPr>
        <w:t xml:space="preserve">SPSS Output — Model Summary &amp; Classification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2000"/>
      </w:tblGrid>
      <w:tr>
        <w:trPr>
          <w:tblHeader/>
        </w:trPr>
        <w:tc>
          <w:tcPr>
            <w:tcW w:type="dxa" w:w="3200"/>
            <w:shd w:fill="1F3864" w:color="auto" w:val="clear"/>
            <w:tcMar>
              <w:top w:type="dxa" w:w="60"/>
              <w:left w:type="dxa" w:w="100"/>
              <w:bottom w:type="dxa" w:w="60"/>
              <w:right w:type="dxa" w:w="100"/>
            </w:tcMar>
            <w:vAlign w:val="center"/>
          </w:tcPr>
          <w:p>
            <w:pPr>
              <w:jc w:val="center"/>
            </w:pPr>
            <w:r>
              <w:rPr>
                <w:b/>
                <w:bCs/>
                <w:color w:val="FFFFFF"/>
                <w:sz w:val="19"/>
                <w:szCs w:val="19"/>
              </w:rPr>
              <w:t xml:space="preserve">-2 Log Likelihood</w:t>
            </w:r>
          </w:p>
        </w:tc>
        <w:tc>
          <w:tcPr>
            <w:tcW w:type="dxa" w:w="1900"/>
            <w:shd w:fill="1F3864" w:color="auto" w:val="clear"/>
            <w:tcMar>
              <w:top w:type="dxa" w:w="60"/>
              <w:left w:type="dxa" w:w="100"/>
              <w:bottom w:type="dxa" w:w="60"/>
              <w:right w:type="dxa" w:w="100"/>
            </w:tcMar>
            <w:vAlign w:val="center"/>
          </w:tcPr>
          <w:p>
            <w:pPr>
              <w:jc w:val="center"/>
            </w:pPr>
            <w:r>
              <w:rPr>
                <w:b/>
                <w:bCs/>
                <w:color w:val="FFFFFF"/>
                <w:sz w:val="19"/>
                <w:szCs w:val="19"/>
              </w:rPr>
              <w:t xml:space="preserve">Cox &amp; Snell R²</w:t>
            </w:r>
          </w:p>
        </w:tc>
        <w:tc>
          <w:tcPr>
            <w:tcW w:type="dxa" w:w="1900"/>
            <w:shd w:fill="1F3864" w:color="auto" w:val="clear"/>
            <w:tcMar>
              <w:top w:type="dxa" w:w="60"/>
              <w:left w:type="dxa" w:w="100"/>
              <w:bottom w:type="dxa" w:w="60"/>
              <w:right w:type="dxa" w:w="100"/>
            </w:tcMar>
            <w:vAlign w:val="center"/>
          </w:tcPr>
          <w:p>
            <w:pPr>
              <w:jc w:val="center"/>
            </w:pPr>
            <w:r>
              <w:rPr>
                <w:b/>
                <w:bCs/>
                <w:color w:val="FFFFFF"/>
                <w:sz w:val="19"/>
                <w:szCs w:val="19"/>
              </w:rPr>
              <w:t xml:space="preserve">Nagelkerke R²</w:t>
            </w:r>
          </w:p>
        </w:tc>
        <w:tc>
          <w:tcPr>
            <w:tcW w:type="dxa" w:w="2000"/>
            <w:shd w:fill="1F3864" w:color="auto" w:val="clear"/>
            <w:tcMar>
              <w:top w:type="dxa" w:w="60"/>
              <w:left w:type="dxa" w:w="100"/>
              <w:bottom w:type="dxa" w:w="60"/>
              <w:right w:type="dxa" w:w="100"/>
            </w:tcMar>
            <w:vAlign w:val="center"/>
          </w:tcPr>
          <w:p>
            <w:pPr>
              <w:jc w:val="center"/>
            </w:pPr>
            <w:r>
              <w:rPr>
                <w:b/>
                <w:bCs/>
                <w:color w:val="FFFFFF"/>
                <w:sz w:val="19"/>
                <w:szCs w:val="19"/>
              </w:rPr>
              <w:t xml:space="preserve">(McFadden R² equiv.)</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≈344.6 (χ² model = 152.0, df=4, p&lt;.001)</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0.489</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0.653</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0.337</w:t>
            </w:r>
          </w:p>
        </w:tc>
      </w:tr>
    </w:tbl>
    <w:p>
      <w:pPr>
        <w:spacing w:after="60"/>
      </w:pPr>
    </w:p>
    <w:p>
      <w:pPr>
        <w:pStyle w:val="Heading3"/>
        <w:spacing w:after="90" w:before="180"/>
      </w:pPr>
      <w:r>
        <w:rPr>
          <w:b/>
          <w:bCs/>
          <w:i w:val="false"/>
          <w:iCs w:val="false"/>
          <w:color w:val="1F3864"/>
          <w:sz w:val="21"/>
          <w:szCs w:val="21"/>
        </w:rPr>
        <w:t xml:space="preserve">Classification Table (cut-off 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Observed \ Predicted</w:t>
            </w:r>
          </w:p>
        </w:tc>
        <w:tc>
          <w:tcPr>
            <w:tcW w:type="dxa" w:w="2000"/>
            <w:shd w:fill="1F3864" w:color="auto" w:val="clear"/>
            <w:tcMar>
              <w:top w:type="dxa" w:w="60"/>
              <w:left w:type="dxa" w:w="100"/>
              <w:bottom w:type="dxa" w:w="60"/>
              <w:right w:type="dxa" w:w="100"/>
            </w:tcMar>
            <w:vAlign w:val="center"/>
          </w:tcPr>
          <w:p>
            <w:pPr>
              <w:jc w:val="center"/>
            </w:pPr>
            <w:r>
              <w:rPr>
                <w:b/>
                <w:bCs/>
                <w:color w:val="FFFFFF"/>
                <w:sz w:val="19"/>
                <w:szCs w:val="19"/>
              </w:rPr>
              <w:t xml:space="preserve">No</w:t>
            </w:r>
          </w:p>
        </w:tc>
        <w:tc>
          <w:tcPr>
            <w:tcW w:type="dxa" w:w="2000"/>
            <w:shd w:fill="1F3864" w:color="auto" w:val="clear"/>
            <w:tcMar>
              <w:top w:type="dxa" w:w="60"/>
              <w:left w:type="dxa" w:w="100"/>
              <w:bottom w:type="dxa" w:w="60"/>
              <w:right w:type="dxa" w:w="100"/>
            </w:tcMar>
            <w:vAlign w:val="center"/>
          </w:tcPr>
          <w:p>
            <w:pPr>
              <w:jc w:val="center"/>
            </w:pPr>
            <w:r>
              <w:rPr>
                <w:b/>
                <w:bCs/>
                <w:color w:val="FFFFFF"/>
                <w:sz w:val="19"/>
                <w:szCs w:val="19"/>
              </w:rPr>
              <w:t xml:space="preserve">Yes</w:t>
            </w:r>
          </w:p>
        </w:tc>
        <w:tc>
          <w:tcPr>
            <w:tcW w:type="dxa" w:w="2000"/>
            <w:shd w:fill="1F3864" w:color="auto" w:val="clear"/>
            <w:tcMar>
              <w:top w:type="dxa" w:w="60"/>
              <w:left w:type="dxa" w:w="100"/>
              <w:bottom w:type="dxa" w:w="60"/>
              <w:right w:type="dxa" w:w="100"/>
            </w:tcMar>
            <w:vAlign w:val="center"/>
          </w:tcPr>
          <w:p>
            <w:pPr>
              <w:jc w:val="center"/>
            </w:pPr>
            <w:r>
              <w:rPr>
                <w:b/>
                <w:bCs/>
                <w:color w:val="FFFFFF"/>
                <w:sz w:val="19"/>
                <w:szCs w:val="19"/>
              </w:rPr>
              <w:t xml:space="preserve">% Correct</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No (actual)</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70</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24</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74.5%</w:t>
            </w:r>
          </w:p>
        </w:tc>
      </w:tr>
      <w:tr>
        <w:tc>
          <w:tcPr>
            <w:tcW w:type="dxa" w:w="30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Yes (actual)</w:t>
            </w:r>
          </w:p>
        </w:tc>
        <w:tc>
          <w:tcPr>
            <w:tcW w:type="dxa" w:w="2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22</w:t>
            </w:r>
          </w:p>
        </w:tc>
        <w:tc>
          <w:tcPr>
            <w:tcW w:type="dxa" w:w="2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105</w:t>
            </w:r>
          </w:p>
        </w:tc>
        <w:tc>
          <w:tcPr>
            <w:tcW w:type="dxa" w:w="2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82.7%</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Overall Percentage</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78.7%</w:t>
            </w:r>
          </w:p>
        </w:tc>
      </w:tr>
    </w:tbl>
    <w:p>
      <w:pPr>
        <w:spacing w:after="60"/>
      </w:pPr>
    </w:p>
    <w:p>
      <w:pPr>
        <w:pStyle w:val="Heading3"/>
        <w:spacing w:after="90" w:before="180"/>
      </w:pPr>
      <w:r>
        <w:rPr>
          <w:b/>
          <w:bCs/>
          <w:i w:val="false"/>
          <w:iCs w:val="false"/>
          <w:color w:val="1F3864"/>
          <w:sz w:val="21"/>
          <w:szCs w:val="21"/>
        </w:rPr>
        <w:t xml:space="preserve">Variables in the Equation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000"/>
        <w:gridCol w:w="600"/>
        <w:gridCol w:w="900"/>
        <w:gridCol w:w="1900"/>
      </w:tblGrid>
      <w:tr>
        <w:trPr>
          <w:tblHeader/>
        </w:trPr>
        <w:tc>
          <w:tcPr>
            <w:tcW w:type="dxa" w:w="2600"/>
            <w:shd w:fill="1F3864" w:color="auto" w:val="clear"/>
            <w:tcMar>
              <w:top w:type="dxa" w:w="60"/>
              <w:left w:type="dxa" w:w="100"/>
              <w:bottom w:type="dxa" w:w="60"/>
              <w:right w:type="dxa" w:w="100"/>
            </w:tcMar>
            <w:vAlign w:val="center"/>
          </w:tcPr>
          <w:p>
            <w:pPr>
              <w:jc w:val="center"/>
            </w:pPr>
            <w:r>
              <w:rPr>
                <w:b/>
                <w:bCs/>
                <w:color w:val="FFFFFF"/>
                <w:sz w:val="19"/>
                <w:szCs w:val="19"/>
              </w:rPr>
              <w:t xml:space="preserve">Predictor</w:t>
            </w:r>
          </w:p>
        </w:tc>
        <w:tc>
          <w:tcPr>
            <w:tcW w:type="dxa" w:w="1000"/>
            <w:shd w:fill="1F3864" w:color="auto" w:val="clear"/>
            <w:tcMar>
              <w:top w:type="dxa" w:w="60"/>
              <w:left w:type="dxa" w:w="100"/>
              <w:bottom w:type="dxa" w:w="60"/>
              <w:right w:type="dxa" w:w="100"/>
            </w:tcMar>
            <w:vAlign w:val="center"/>
          </w:tcPr>
          <w:p>
            <w:pPr>
              <w:jc w:val="center"/>
            </w:pPr>
            <w:r>
              <w:rPr>
                <w:b/>
                <w:bCs/>
                <w:color w:val="FFFFFF"/>
                <w:sz w:val="19"/>
                <w:szCs w:val="19"/>
              </w:rPr>
              <w:t xml:space="preserve">B</w:t>
            </w:r>
          </w:p>
        </w:tc>
        <w:tc>
          <w:tcPr>
            <w:tcW w:type="dxa" w:w="1000"/>
            <w:shd w:fill="1F3864" w:color="auto" w:val="clear"/>
            <w:tcMar>
              <w:top w:type="dxa" w:w="60"/>
              <w:left w:type="dxa" w:w="100"/>
              <w:bottom w:type="dxa" w:w="60"/>
              <w:right w:type="dxa" w:w="100"/>
            </w:tcMar>
            <w:vAlign w:val="center"/>
          </w:tcPr>
          <w:p>
            <w:pPr>
              <w:jc w:val="center"/>
            </w:pPr>
            <w:r>
              <w:rPr>
                <w:b/>
                <w:bCs/>
                <w:color w:val="FFFFFF"/>
                <w:sz w:val="19"/>
                <w:szCs w:val="19"/>
              </w:rPr>
              <w:t xml:space="preserve">S.E.</w:t>
            </w:r>
          </w:p>
        </w:tc>
        <w:tc>
          <w:tcPr>
            <w:tcW w:type="dxa" w:w="1000"/>
            <w:shd w:fill="1F3864" w:color="auto" w:val="clear"/>
            <w:tcMar>
              <w:top w:type="dxa" w:w="60"/>
              <w:left w:type="dxa" w:w="100"/>
              <w:bottom w:type="dxa" w:w="60"/>
              <w:right w:type="dxa" w:w="100"/>
            </w:tcMar>
            <w:vAlign w:val="center"/>
          </w:tcPr>
          <w:p>
            <w:pPr>
              <w:jc w:val="center"/>
            </w:pPr>
            <w:r>
              <w:rPr>
                <w:b/>
                <w:bCs/>
                <w:color w:val="FFFFFF"/>
                <w:sz w:val="19"/>
                <w:szCs w:val="19"/>
              </w:rPr>
              <w:t xml:space="preserve">Wald</w:t>
            </w:r>
          </w:p>
        </w:tc>
        <w:tc>
          <w:tcPr>
            <w:tcW w:type="dxa" w:w="600"/>
            <w:shd w:fill="1F3864" w:color="auto" w:val="clear"/>
            <w:tcMar>
              <w:top w:type="dxa" w:w="60"/>
              <w:left w:type="dxa" w:w="100"/>
              <w:bottom w:type="dxa" w:w="60"/>
              <w:right w:type="dxa" w:w="100"/>
            </w:tcMar>
            <w:vAlign w:val="center"/>
          </w:tcPr>
          <w:p>
            <w:pPr>
              <w:jc w:val="center"/>
            </w:pPr>
            <w:r>
              <w:rPr>
                <w:b/>
                <w:bCs/>
                <w:color w:val="FFFFFF"/>
                <w:sz w:val="19"/>
                <w:szCs w:val="19"/>
              </w:rPr>
              <w:t xml:space="preserve">df</w:t>
            </w:r>
          </w:p>
        </w:tc>
        <w:tc>
          <w:tcPr>
            <w:tcW w:type="dxa" w:w="900"/>
            <w:shd w:fill="1F3864" w:color="auto" w:val="clear"/>
            <w:tcMar>
              <w:top w:type="dxa" w:w="60"/>
              <w:left w:type="dxa" w:w="100"/>
              <w:bottom w:type="dxa" w:w="60"/>
              <w:right w:type="dxa" w:w="100"/>
            </w:tcMar>
            <w:vAlign w:val="center"/>
          </w:tcPr>
          <w:p>
            <w:pPr>
              <w:jc w:val="center"/>
            </w:pPr>
            <w:r>
              <w:rPr>
                <w:b/>
                <w:bCs/>
                <w:color w:val="FFFFFF"/>
                <w:sz w:val="19"/>
                <w:szCs w:val="19"/>
              </w:rPr>
              <w:t xml:space="preserve">Sig.</w:t>
            </w:r>
          </w:p>
        </w:tc>
        <w:tc>
          <w:tcPr>
            <w:tcW w:type="dxa" w:w="1900"/>
            <w:shd w:fill="1F3864" w:color="auto" w:val="clear"/>
            <w:tcMar>
              <w:top w:type="dxa" w:w="60"/>
              <w:left w:type="dxa" w:w="100"/>
              <w:bottom w:type="dxa" w:w="60"/>
              <w:right w:type="dxa" w:w="100"/>
            </w:tcMar>
            <w:vAlign w:val="center"/>
          </w:tcPr>
          <w:p>
            <w:pPr>
              <w:jc w:val="center"/>
            </w:pPr>
            <w:r>
              <w:rPr>
                <w:b/>
                <w:bCs/>
                <w:color w:val="FFFFFF"/>
                <w:sz w:val="19"/>
                <w:szCs w:val="19"/>
              </w:rPr>
              <w:t xml:space="preserve">Exp(B) [Odds Ratio]</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OverallSatisfaction</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1.031</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.181</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32.491</w:t>
            </w:r>
          </w:p>
        </w:tc>
        <w:tc>
          <w:tcPr>
            <w:tcW w:type="dxa" w:w="60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2.803</w:t>
            </w:r>
          </w:p>
        </w:tc>
      </w:tr>
      <w:tr>
        <w:tc>
          <w:tcPr>
            <w:tcW w:type="dxa" w:w="2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LikelihoodToRecommend</w:t>
            </w:r>
          </w:p>
        </w:tc>
        <w:tc>
          <w:tcPr>
            <w:tcW w:type="dxa" w:w="1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-.163</w:t>
            </w:r>
          </w:p>
        </w:tc>
        <w:tc>
          <w:tcPr>
            <w:tcW w:type="dxa" w:w="1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.135</w:t>
            </w:r>
          </w:p>
        </w:tc>
        <w:tc>
          <w:tcPr>
            <w:tcW w:type="dxa" w:w="1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1.445</w:t>
            </w:r>
          </w:p>
        </w:tc>
        <w:tc>
          <w:tcPr>
            <w:tcW w:type="dxa" w:w="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.229</w:t>
            </w:r>
          </w:p>
        </w:tc>
        <w:tc>
          <w:tcPr>
            <w:tcW w:type="dxa" w:w="1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.850</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MonthlySpend_Naira</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&lt;0.001</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&lt;0.001</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3.451</w:t>
            </w:r>
          </w:p>
        </w:tc>
        <w:tc>
          <w:tcPr>
            <w:tcW w:type="dxa" w:w="60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.063</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1.000</w:t>
            </w:r>
          </w:p>
        </w:tc>
      </w:tr>
      <w:tr>
        <w:tc>
          <w:tcPr>
            <w:tcW w:type="dxa" w:w="2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ReturnsPast6Months</w:t>
            </w:r>
          </w:p>
        </w:tc>
        <w:tc>
          <w:tcPr>
            <w:tcW w:type="dxa" w:w="1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-.021</w:t>
            </w:r>
          </w:p>
        </w:tc>
        <w:tc>
          <w:tcPr>
            <w:tcW w:type="dxa" w:w="1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.123</w:t>
            </w:r>
          </w:p>
        </w:tc>
        <w:tc>
          <w:tcPr>
            <w:tcW w:type="dxa" w:w="1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.029</w:t>
            </w:r>
          </w:p>
        </w:tc>
        <w:tc>
          <w:tcPr>
            <w:tcW w:type="dxa" w:w="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.865</w:t>
            </w:r>
          </w:p>
        </w:tc>
        <w:tc>
          <w:tcPr>
            <w:tcW w:type="dxa" w:w="1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.979</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Constant</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-4.928</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.828</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35.426</w:t>
            </w:r>
          </w:p>
        </w:tc>
        <w:tc>
          <w:tcPr>
            <w:tcW w:type="dxa" w:w="60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&lt;.001</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.007</w:t>
            </w:r>
          </w:p>
        </w:tc>
      </w:tr>
    </w:tbl>
    <w:p>
      <w:pPr>
        <w:spacing w:after="60" w:before="160"/>
      </w:pPr>
      <w:r>
        <w:rPr>
          <w:b/>
          <w:bCs/>
          <w:color w:val="1F3864"/>
          <w:sz w:val="21"/>
          <w:szCs w:val="21"/>
        </w:rPr>
        <w:t xml:space="preserve">Interpretation</w:t>
      </w:r>
    </w:p>
    <w:p>
      <w:pPr>
        <w:spacing w:after="140" w:line="300"/>
      </w:pPr>
      <w:r>
        <w:rPr>
          <w:sz w:val="21"/>
          <w:szCs w:val="21"/>
        </w:rPr>
        <w:t xml:space="preserve">The full model is highly significant (model χ² = 152.0, df = 4, p &lt; .001) and fits well, with a Nagelkerke R² of .653, meaning the four predictors jointly explain about 65% of the variation in repurchase intention on the pseudo-R² scale — a strong result. The model correctly classifies 78.7% of customers overall (74.5% of true "No" cases and 82.7% of true "Yes" cases), a considerable improvement over the 55.6% baseline accuracy of always predicting "Yes".</w:t>
      </w:r>
    </w:p>
    <w:p>
      <w:pPr>
        <w:spacing w:after="140" w:line="300"/>
      </w:pPr>
      <w:r>
        <w:rPr>
          <w:sz w:val="21"/>
          <w:szCs w:val="21"/>
        </w:rPr>
        <w:t xml:space="preserve">Only OverallSatisfaction is an independently significant predictor (B = 1.031, Wald = 32.49, p &lt; .001). Its odds ratio of 2.803 means each one-point increase in overall satisfaction (0-10 scale) nearly triples (+180%) the odds that a customer says they would shop again, holding recommendation likelihood, spend, and returns constant. LikelihoodToRecommend, MonthlySpend, and ReturnsPast6Months are not significant once OverallSatisfaction is in the model (p = .229, .063, .865 respectively) — satisfaction absorbs most of their predictive power because it is so strongly correlated with them (as seen in Sections 7-8).</w:t>
      </w:r>
    </w:p>
    <w:p>
      <w:pPr>
        <w:spacing w:after="60" w:before="100"/>
      </w:pPr>
      <w:r>
        <w:rPr>
          <w:b/>
          <w:bCs/>
          <w:color w:val="1F3864"/>
          <w:sz w:val="21"/>
          <w:szCs w:val="21"/>
        </w:rPr>
        <w:t xml:space="preserve">Key Insights Generated</w:t>
      </w:r>
    </w:p>
    <w:p>
      <w:pPr>
        <w:pStyle w:val="ListParagraph"/>
        <w:numPr>
          <w:ilvl w:val="0"/>
          <w:numId w:val="1"/>
        </w:numPr>
        <w:spacing w:after="60" w:line="280"/>
      </w:pPr>
      <w:r>
        <w:rPr>
          <w:sz w:val="21"/>
          <w:szCs w:val="21"/>
        </w:rPr>
        <w:t xml:space="preserve">OverallSatisfaction is, by a wide margin, the single most important lever for reducing churn — a well-designed satisfaction-improvement programme is directly, causally linkable to repurchase intention in this model.</w:t>
      </w:r>
    </w:p>
    <w:p>
      <w:pPr>
        <w:pStyle w:val="ListParagraph"/>
        <w:numPr>
          <w:ilvl w:val="0"/>
          <w:numId w:val="1"/>
        </w:numPr>
        <w:spacing w:after="60" w:line="280"/>
      </w:pPr>
      <w:r>
        <w:rPr>
          <w:sz w:val="21"/>
          <w:szCs w:val="21"/>
        </w:rPr>
        <w:t xml:space="preserve">Spend level and prior returns do NOT independently predict whether a customer will return once satisfaction is accounted for — retention efforts should not be spend-tiered but satisfaction-tiered.</w:t>
      </w:r>
    </w:p>
    <w:p>
      <w:pPr>
        <w:pStyle w:val="ListParagraph"/>
        <w:numPr>
          <w:ilvl w:val="0"/>
          <w:numId w:val="1"/>
        </w:numPr>
        <w:spacing w:after="60" w:line="280"/>
      </w:pPr>
      <w:r>
        <w:rPr>
          <w:sz w:val="21"/>
          <w:szCs w:val="21"/>
        </w:rPr>
        <w:t xml:space="preserve">With ~79% classification accuracy, this model is good enough to operationalise as an early-warning "at risk of churn" score, flagging any customer with OverallSatisfaction ≤ 4 for proactive retention outreach.</w:t>
      </w:r>
    </w:p>
    <w:p>
      <w:pPr>
        <w:spacing w:after="200"/>
      </w:pPr>
    </w:p>
    <w:p>
      <w:r>
        <w:br w:type="page"/>
      </w:r>
    </w:p>
    <w:p>
      <w:pPr>
        <w:pStyle w:val="Heading1"/>
        <w:pBdr>
          <w:bottom w:val="single" w:color="1F3864" w:sz="6" w:space="4"/>
        </w:pBdr>
        <w:spacing w:after="200" w:before="400"/>
      </w:pPr>
      <w:r>
        <w:rPr>
          <w:b/>
          <w:bCs/>
          <w:color w:val="1F3864"/>
          <w:sz w:val="30"/>
          <w:szCs w:val="30"/>
        </w:rPr>
        <w:t xml:space="preserve">18. Factor Analysis — Principal Component Extraction (Analyze &gt; Dimension Reduction &gt; Factor)</w:t>
      </w:r>
    </w:p>
    <w:p>
      <w:pPr>
        <w:spacing w:after="100" w:line="300"/>
      </w:pPr>
      <w:r>
        <w:rPr>
          <w:b/>
          <w:bCs/>
          <w:color w:val="1F3864"/>
          <w:sz w:val="21"/>
          <w:szCs w:val="21"/>
        </w:rPr>
        <w:t xml:space="preserve">Aim of the Analysis: </w:t>
      </w:r>
      <w:r>
        <w:rPr>
          <w:sz w:val="21"/>
          <w:szCs w:val="21"/>
        </w:rPr>
        <w:t xml:space="preserve">To test whether the five satisfaction items (Q1-Q5) can be statistically reduced to one underlying dimension ("service quality"), and to confirm the sampling adequacy for such a reduction.</w:t>
      </w:r>
    </w:p>
    <w:p>
      <w:pPr>
        <w:spacing w:after="100" w:line="300"/>
      </w:pPr>
      <w:r>
        <w:rPr>
          <w:b/>
          <w:bCs/>
          <w:color w:val="1F3864"/>
          <w:sz w:val="21"/>
          <w:szCs w:val="21"/>
        </w:rPr>
        <w:t xml:space="preserve">Columns / Variables Involved: </w:t>
      </w:r>
      <w:r>
        <w:rPr>
          <w:sz w:val="21"/>
          <w:szCs w:val="21"/>
        </w:rPr>
        <w:t xml:space="preserve">Q1_ProductAvailability, Q2_StaffHelpfulness, Q3_StoreCleanliness, Q4_CheckoutSpeed, Q5_ValueForMoney</w:t>
      </w:r>
    </w:p>
    <w:p>
      <w:pPr>
        <w:spacing w:after="60" w:before="100"/>
      </w:pPr>
      <w:r>
        <w:rPr>
          <w:b/>
          <w:bCs/>
          <w:color w:val="1F3864"/>
          <w:sz w:val="21"/>
          <w:szCs w:val="21"/>
        </w:rPr>
        <w:t xml:space="preserve">Step-by-Step Procedure in SPSS</w:t>
      </w:r>
    </w:p>
    <w:p>
      <w:pPr>
        <w:spacing w:after="60" w:line="280"/>
      </w:pPr>
      <w:r>
        <w:rPr>
          <w:sz w:val="21"/>
          <w:szCs w:val="21"/>
        </w:rPr>
        <w:t xml:space="preserve">1. Analyze &gt; Dimension Reduction &gt; Factor.</w:t>
      </w:r>
    </w:p>
    <w:p>
      <w:pPr>
        <w:spacing w:after="60" w:line="280"/>
      </w:pPr>
      <w:r>
        <w:rPr>
          <w:sz w:val="21"/>
          <w:szCs w:val="21"/>
        </w:rPr>
        <w:t xml:space="preserve">2. Move Q1-Q5 into Variables.</w:t>
      </w:r>
    </w:p>
    <w:p>
      <w:pPr>
        <w:spacing w:after="60" w:line="280"/>
      </w:pPr>
      <w:r>
        <w:rPr>
          <w:sz w:val="21"/>
          <w:szCs w:val="21"/>
        </w:rPr>
        <w:t xml:space="preserve">3. Click Descriptives, tick KMO and Bartlett's Test of Sphericity.</w:t>
      </w:r>
    </w:p>
    <w:p>
      <w:pPr>
        <w:spacing w:after="60" w:line="280"/>
      </w:pPr>
      <w:r>
        <w:rPr>
          <w:sz w:val="21"/>
          <w:szCs w:val="21"/>
        </w:rPr>
        <w:t xml:space="preserve">4. Click Extraction, Method = Principal Components, tick Scree plot, Extract Eigenvalues over 1.</w:t>
      </w:r>
    </w:p>
    <w:p>
      <w:pPr>
        <w:spacing w:after="60" w:line="280"/>
      </w:pPr>
      <w:r>
        <w:rPr>
          <w:sz w:val="21"/>
          <w:szCs w:val="21"/>
        </w:rPr>
        <w:t xml:space="preserve">5. Click Rotation, select Varimax (only relevant if more than one factor is retained).</w:t>
      </w:r>
    </w:p>
    <w:p>
      <w:pPr>
        <w:spacing w:after="60" w:line="280"/>
      </w:pPr>
      <w:r>
        <w:rPr>
          <w:sz w:val="21"/>
          <w:szCs w:val="21"/>
        </w:rPr>
        <w:t xml:space="preserve">6. Click OK.</w:t>
      </w:r>
    </w:p>
    <w:p>
      <w:pPr>
        <w:spacing w:after="80" w:before="140"/>
      </w:pPr>
      <w:r>
        <w:rPr>
          <w:b/>
          <w:bCs/>
          <w:color w:val="1F3864"/>
          <w:sz w:val="21"/>
          <w:szCs w:val="21"/>
        </w:rPr>
        <w:t xml:space="preserve">SPSS Output — KMO, Bartlett's Test, and Total Variance Explained</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400"/>
        <w:gridCol w:w="1900"/>
        <w:gridCol w:w="1200"/>
        <w:gridCol w:w="1500"/>
      </w:tblGrid>
      <w:tr>
        <w:trPr>
          <w:tblHeader/>
        </w:trPr>
        <w:tc>
          <w:tcPr>
            <w:tcW w:type="dxa" w:w="3400"/>
            <w:shd w:fill="1F3864" w:color="auto" w:val="clear"/>
            <w:tcMar>
              <w:top w:type="dxa" w:w="60"/>
              <w:left w:type="dxa" w:w="100"/>
              <w:bottom w:type="dxa" w:w="60"/>
              <w:right w:type="dxa" w:w="100"/>
            </w:tcMar>
            <w:vAlign w:val="center"/>
          </w:tcPr>
          <w:p>
            <w:pPr>
              <w:jc w:val="center"/>
            </w:pPr>
            <w:r>
              <w:rPr>
                <w:b/>
                <w:bCs/>
                <w:color w:val="FFFFFF"/>
                <w:sz w:val="19"/>
                <w:szCs w:val="19"/>
              </w:rPr>
              <w:t xml:space="preserve">KMO Measure of Sampling Adequacy</w:t>
            </w:r>
          </w:p>
        </w:tc>
        <w:tc>
          <w:tcPr>
            <w:tcW w:type="dxa" w:w="1900"/>
            <w:shd w:fill="1F3864" w:color="auto" w:val="clear"/>
            <w:tcMar>
              <w:top w:type="dxa" w:w="60"/>
              <w:left w:type="dxa" w:w="100"/>
              <w:bottom w:type="dxa" w:w="60"/>
              <w:right w:type="dxa" w:w="100"/>
            </w:tcMar>
            <w:vAlign w:val="center"/>
          </w:tcPr>
          <w:p>
            <w:pPr>
              <w:jc w:val="center"/>
            </w:pPr>
            <w:r>
              <w:rPr>
                <w:b/>
                <w:bCs/>
                <w:color w:val="FFFFFF"/>
                <w:sz w:val="19"/>
                <w:szCs w:val="19"/>
              </w:rPr>
              <w:t xml:space="preserve">Bartlett's χ²</w:t>
            </w:r>
          </w:p>
        </w:tc>
        <w:tc>
          <w:tcPr>
            <w:tcW w:type="dxa" w:w="1200"/>
            <w:shd w:fill="1F3864" w:color="auto" w:val="clear"/>
            <w:tcMar>
              <w:top w:type="dxa" w:w="60"/>
              <w:left w:type="dxa" w:w="100"/>
              <w:bottom w:type="dxa" w:w="60"/>
              <w:right w:type="dxa" w:w="100"/>
            </w:tcMar>
            <w:vAlign w:val="center"/>
          </w:tcPr>
          <w:p>
            <w:pPr>
              <w:jc w:val="center"/>
            </w:pPr>
            <w:r>
              <w:rPr>
                <w:b/>
                <w:bCs/>
                <w:color w:val="FFFFFF"/>
                <w:sz w:val="19"/>
                <w:szCs w:val="19"/>
              </w:rPr>
              <w:t xml:space="preserve">df</w:t>
            </w:r>
          </w:p>
        </w:tc>
        <w:tc>
          <w:tcPr>
            <w:tcW w:type="dxa" w:w="1500"/>
            <w:shd w:fill="1F3864" w:color="auto" w:val="clear"/>
            <w:tcMar>
              <w:top w:type="dxa" w:w="60"/>
              <w:left w:type="dxa" w:w="100"/>
              <w:bottom w:type="dxa" w:w="60"/>
              <w:right w:type="dxa" w:w="100"/>
            </w:tcMar>
            <w:vAlign w:val="center"/>
          </w:tcPr>
          <w:p>
            <w:pPr>
              <w:jc w:val="center"/>
            </w:pPr>
            <w:r>
              <w:rPr>
                <w:b/>
                <w:bCs/>
                <w:color w:val="FFFFFF"/>
                <w:sz w:val="19"/>
                <w:szCs w:val="19"/>
              </w:rPr>
              <w:t xml:space="preserve">Sig.</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0.896</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764.33</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10</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&lt;.001</w:t>
            </w:r>
          </w:p>
        </w:tc>
      </w:tr>
    </w:tbl>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800"/>
      </w:tblGrid>
      <w:tr>
        <w:trPr>
          <w:tblHeader/>
        </w:trPr>
        <w:tc>
          <w:tcPr>
            <w:tcW w:type="dxa" w:w="2400"/>
            <w:shd w:fill="1F3864" w:color="auto" w:val="clear"/>
            <w:tcMar>
              <w:top w:type="dxa" w:w="60"/>
              <w:left w:type="dxa" w:w="100"/>
              <w:bottom w:type="dxa" w:w="60"/>
              <w:right w:type="dxa" w:w="100"/>
            </w:tcMar>
            <w:vAlign w:val="center"/>
          </w:tcPr>
          <w:p>
            <w:pPr>
              <w:jc w:val="center"/>
            </w:pPr>
            <w:r>
              <w:rPr>
                <w:b/>
                <w:bCs/>
                <w:color w:val="FFFFFF"/>
                <w:sz w:val="19"/>
                <w:szCs w:val="19"/>
              </w:rPr>
              <w:t xml:space="preserve">Component</w:t>
            </w:r>
          </w:p>
        </w:tc>
        <w:tc>
          <w:tcPr>
            <w:tcW w:type="dxa" w:w="2400"/>
            <w:shd w:fill="1F3864" w:color="auto" w:val="clear"/>
            <w:tcMar>
              <w:top w:type="dxa" w:w="60"/>
              <w:left w:type="dxa" w:w="100"/>
              <w:bottom w:type="dxa" w:w="60"/>
              <w:right w:type="dxa" w:w="100"/>
            </w:tcMar>
            <w:vAlign w:val="center"/>
          </w:tcPr>
          <w:p>
            <w:pPr>
              <w:jc w:val="center"/>
            </w:pPr>
            <w:r>
              <w:rPr>
                <w:b/>
                <w:bCs/>
                <w:color w:val="FFFFFF"/>
                <w:sz w:val="19"/>
                <w:szCs w:val="19"/>
              </w:rPr>
              <w:t xml:space="preserve">Eigenvalue</w:t>
            </w:r>
          </w:p>
        </w:tc>
        <w:tc>
          <w:tcPr>
            <w:tcW w:type="dxa" w:w="2400"/>
            <w:shd w:fill="1F3864" w:color="auto" w:val="clear"/>
            <w:tcMar>
              <w:top w:type="dxa" w:w="60"/>
              <w:left w:type="dxa" w:w="100"/>
              <w:bottom w:type="dxa" w:w="60"/>
              <w:right w:type="dxa" w:w="100"/>
            </w:tcMar>
            <w:vAlign w:val="center"/>
          </w:tcPr>
          <w:p>
            <w:pPr>
              <w:jc w:val="center"/>
            </w:pPr>
            <w:r>
              <w:rPr>
                <w:b/>
                <w:bCs/>
                <w:color w:val="FFFFFF"/>
                <w:sz w:val="19"/>
                <w:szCs w:val="19"/>
              </w:rPr>
              <w:t xml:space="preserve">% of Variance</w:t>
            </w:r>
          </w:p>
        </w:tc>
        <w:tc>
          <w:tcPr>
            <w:tcW w:type="dxa" w:w="1800"/>
            <w:shd w:fill="1F3864" w:color="auto" w:val="clear"/>
            <w:tcMar>
              <w:top w:type="dxa" w:w="60"/>
              <w:left w:type="dxa" w:w="100"/>
              <w:bottom w:type="dxa" w:w="60"/>
              <w:right w:type="dxa" w:w="100"/>
            </w:tcMar>
            <w:vAlign w:val="center"/>
          </w:tcPr>
          <w:p>
            <w:pPr>
              <w:jc w:val="center"/>
            </w:pPr>
            <w:r>
              <w:rPr>
                <w:b/>
                <w:bCs/>
                <w:color w:val="FFFFFF"/>
                <w:sz w:val="19"/>
                <w:szCs w:val="19"/>
              </w:rPr>
              <w:t xml:space="preserve">Cumulative %</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3.712</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73.93%</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73.93%</w:t>
            </w:r>
          </w:p>
        </w:tc>
      </w:tr>
      <w:tr>
        <w:tc>
          <w:tcPr>
            <w:tcW w:type="dxa" w:w="24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2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0.428</w:t>
            </w:r>
          </w:p>
        </w:tc>
        <w:tc>
          <w:tcPr>
            <w:tcW w:type="dxa" w:w="2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8.52%</w:t>
            </w:r>
          </w:p>
        </w:tc>
        <w:tc>
          <w:tcPr>
            <w:tcW w:type="dxa" w:w="18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82.45%</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0.326</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6.50%</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88.94%</w:t>
            </w:r>
          </w:p>
        </w:tc>
      </w:tr>
      <w:tr>
        <w:tc>
          <w:tcPr>
            <w:tcW w:type="dxa" w:w="24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2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0.294</w:t>
            </w:r>
          </w:p>
        </w:tc>
        <w:tc>
          <w:tcPr>
            <w:tcW w:type="dxa" w:w="2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5.85%</w:t>
            </w:r>
          </w:p>
        </w:tc>
        <w:tc>
          <w:tcPr>
            <w:tcW w:type="dxa" w:w="18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94.79%</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0.261</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5.21%</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100.00%</w:t>
            </w:r>
          </w:p>
        </w:tc>
      </w:tr>
    </w:tbl>
    <w:p>
      <w:pPr>
        <w:spacing w:after="60"/>
      </w:pPr>
    </w:p>
    <w:p>
      <w:pPr>
        <w:pStyle w:val="Heading3"/>
        <w:spacing w:after="90" w:before="180"/>
      </w:pPr>
      <w:r>
        <w:rPr>
          <w:b/>
          <w:bCs/>
          <w:i w:val="false"/>
          <w:iCs w:val="false"/>
          <w:color w:val="1F3864"/>
          <w:sz w:val="21"/>
          <w:szCs w:val="21"/>
        </w:rPr>
        <w:t xml:space="preserve">Component Matrix (1 component retained)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3000"/>
        <w:gridCol w:w="2400"/>
      </w:tblGrid>
      <w:tr>
        <w:trPr>
          <w:tblHeader/>
        </w:trPr>
        <w:tc>
          <w:tcPr>
            <w:tcW w:type="dxa" w:w="3600"/>
            <w:shd w:fill="1F3864" w:color="auto" w:val="clear"/>
            <w:tcMar>
              <w:top w:type="dxa" w:w="60"/>
              <w:left w:type="dxa" w:w="100"/>
              <w:bottom w:type="dxa" w:w="60"/>
              <w:right w:type="dxa" w:w="100"/>
            </w:tcMar>
            <w:vAlign w:val="center"/>
          </w:tcPr>
          <w:p>
            <w:pPr>
              <w:jc w:val="center"/>
            </w:pPr>
            <w:r>
              <w:rPr>
                <w:b/>
                <w:bCs/>
                <w:color w:val="FFFFFF"/>
                <w:sz w:val="19"/>
                <w:szCs w:val="19"/>
              </w:rPr>
              <w:t xml:space="preserve">Item</w:t>
            </w:r>
          </w:p>
        </w:tc>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Loading on Component 1</w:t>
            </w:r>
          </w:p>
        </w:tc>
        <w:tc>
          <w:tcPr>
            <w:tcW w:type="dxa" w:w="2400"/>
            <w:shd w:fill="1F3864" w:color="auto" w:val="clear"/>
            <w:tcMar>
              <w:top w:type="dxa" w:w="60"/>
              <w:left w:type="dxa" w:w="100"/>
              <w:bottom w:type="dxa" w:w="60"/>
              <w:right w:type="dxa" w:w="100"/>
            </w:tcMar>
            <w:vAlign w:val="center"/>
          </w:tcPr>
          <w:p>
            <w:pPr>
              <w:jc w:val="center"/>
            </w:pPr>
            <w:r>
              <w:rPr>
                <w:b/>
                <w:bCs/>
                <w:color w:val="FFFFFF"/>
                <w:sz w:val="19"/>
                <w:szCs w:val="19"/>
              </w:rPr>
              <w:t xml:space="preserve">Communality</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Q1_ProductAvailability</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0.879</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0.773</w:t>
            </w:r>
          </w:p>
        </w:tc>
      </w:tr>
      <w:tr>
        <w:tc>
          <w:tcPr>
            <w:tcW w:type="dxa" w:w="3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Q2_StaffHelpfulness</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0.879</w:t>
            </w:r>
          </w:p>
        </w:tc>
        <w:tc>
          <w:tcPr>
            <w:tcW w:type="dxa" w:w="2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0.772</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Q3_StoreCleanliness</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0.854</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0.730</w:t>
            </w:r>
          </w:p>
        </w:tc>
      </w:tr>
      <w:tr>
        <w:tc>
          <w:tcPr>
            <w:tcW w:type="dxa" w:w="3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Q4_CheckoutSpeed</w:t>
            </w:r>
          </w:p>
        </w:tc>
        <w:tc>
          <w:tcPr>
            <w:tcW w:type="dxa" w:w="3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0.813</w:t>
            </w:r>
          </w:p>
        </w:tc>
        <w:tc>
          <w:tcPr>
            <w:tcW w:type="dxa" w:w="2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0.662</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Q5_ValueForMoney</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0.881</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0.775</w:t>
            </w:r>
          </w:p>
        </w:tc>
      </w:tr>
    </w:tbl>
    <w:p>
      <w:pPr>
        <w:spacing w:after="60" w:before="160"/>
      </w:pPr>
      <w:r>
        <w:rPr>
          <w:b/>
          <w:bCs/>
          <w:color w:val="1F3864"/>
          <w:sz w:val="21"/>
          <w:szCs w:val="21"/>
        </w:rPr>
        <w:t xml:space="preserve">Interpretation</w:t>
      </w:r>
    </w:p>
    <w:p>
      <w:pPr>
        <w:spacing w:after="140" w:line="300"/>
      </w:pPr>
      <w:r>
        <w:rPr>
          <w:sz w:val="21"/>
          <w:szCs w:val="21"/>
        </w:rPr>
        <w:t xml:space="preserve">The Kaiser-Meyer-Olkin measure (KMO = .896) is "meritorious/excellent" by conventional benchmarks (&gt;.80 is excellent, &gt;.90 is superb), and Bartlett's Test of Sphericity is highly significant (χ² = 764.33, df = 10, p &lt; .001), together confirming the correlation matrix is well suited to factor analysis (i.e., the items share enough common variance to be worth reducing). Using the Kaiser criterion (eigenvalue &gt; 1), only one component is extracted, with an eigenvalue of 3.712 explaining 73.93% of total variance — all four remaining components have eigenvalues well below 1 and are discarded as measurement noise.</w:t>
      </w:r>
    </w:p>
    <w:p>
      <w:pPr>
        <w:spacing w:after="140" w:line="300"/>
      </w:pPr>
      <w:r>
        <w:rPr>
          <w:sz w:val="21"/>
          <w:szCs w:val="21"/>
        </w:rPr>
        <w:t xml:space="preserve">Because only a single factor is retained, no rotation is needed (rotation only clarifies interpretation when 2+ factors compete for the same items). All five items load very strongly and almost equally onto this one factor (loadings .813 to .881), and each item's communality (the proportion of that item's variance explained by the factor) is high, ranging from .662 to .775. This statistically confirms the single-construct structure already suggested by the Reliability Analysis (Section 5) and the Spearman correlations (Section 8).</w:t>
      </w:r>
    </w:p>
    <w:p>
      <w:pPr>
        <w:spacing w:after="60" w:before="100"/>
      </w:pPr>
      <w:r>
        <w:rPr>
          <w:b/>
          <w:bCs/>
          <w:color w:val="1F3864"/>
          <w:sz w:val="21"/>
          <w:szCs w:val="21"/>
        </w:rPr>
        <w:t xml:space="preserve">Key Insights Generated</w:t>
      </w:r>
    </w:p>
    <w:p>
      <w:pPr>
        <w:pStyle w:val="ListParagraph"/>
        <w:numPr>
          <w:ilvl w:val="0"/>
          <w:numId w:val="1"/>
        </w:numPr>
        <w:spacing w:after="60" w:line="280"/>
      </w:pPr>
      <w:r>
        <w:rPr>
          <w:sz w:val="21"/>
          <w:szCs w:val="21"/>
        </w:rPr>
        <w:t xml:space="preserve">The five satisfaction items are not five independent levers — they are five observable indicators of one latent "Perceived Service Quality" factor, explaining 74% of their shared variance.</w:t>
      </w:r>
    </w:p>
    <w:p>
      <w:pPr>
        <w:pStyle w:val="ListParagraph"/>
        <w:numPr>
          <w:ilvl w:val="0"/>
          <w:numId w:val="1"/>
        </w:numPr>
        <w:spacing w:after="60" w:line="280"/>
      </w:pPr>
      <w:r>
        <w:rPr>
          <w:sz w:val="21"/>
          <w:szCs w:val="21"/>
        </w:rPr>
        <w:t xml:space="preserve">A single "Service Quality Score" (e.g., the regression-weighted or simple average of Q1-Q5) can replace all five items in any downstream dashboard, model, or KPI without meaningful information loss.</w:t>
      </w:r>
    </w:p>
    <w:p>
      <w:pPr>
        <w:pStyle w:val="ListParagraph"/>
        <w:numPr>
          <w:ilvl w:val="0"/>
          <w:numId w:val="1"/>
        </w:numPr>
        <w:spacing w:after="60" w:line="280"/>
      </w:pPr>
      <w:r>
        <w:rPr>
          <w:sz w:val="21"/>
          <w:szCs w:val="21"/>
        </w:rPr>
        <w:t xml:space="preserve">Because Q4_CheckoutSpeed has the lowest loading (0.813) and lowest communality (0.662), it is the item most likely to eventually break off into its own factor if the questionnaire is expanded with more operational-efficiency items in future waves.</w:t>
      </w:r>
    </w:p>
    <w:p>
      <w:pPr>
        <w:spacing w:after="200"/>
      </w:pPr>
    </w:p>
    <w:p>
      <w:r>
        <w:br w:type="page"/>
      </w:r>
    </w:p>
    <w:p>
      <w:pPr>
        <w:pStyle w:val="Heading1"/>
        <w:pBdr>
          <w:bottom w:val="single" w:color="1F3864" w:sz="6" w:space="4"/>
        </w:pBdr>
        <w:spacing w:after="200" w:before="400"/>
      </w:pPr>
      <w:r>
        <w:rPr>
          <w:b/>
          <w:bCs/>
          <w:color w:val="1F3864"/>
          <w:sz w:val="30"/>
          <w:szCs w:val="30"/>
        </w:rPr>
        <w:t xml:space="preserve">19. K-Means Cluster Analysis (Analyze &gt; Classify &gt; K-Means Cluster)</w:t>
      </w:r>
    </w:p>
    <w:p>
      <w:pPr>
        <w:spacing w:after="100" w:line="300"/>
      </w:pPr>
      <w:r>
        <w:rPr>
          <w:b/>
          <w:bCs/>
          <w:color w:val="1F3864"/>
          <w:sz w:val="21"/>
          <w:szCs w:val="21"/>
        </w:rPr>
        <w:t xml:space="preserve">Aim of the Analysis: </w:t>
      </w:r>
      <w:r>
        <w:rPr>
          <w:sz w:val="21"/>
          <w:szCs w:val="21"/>
        </w:rPr>
        <w:t xml:space="preserve">To segment customers into distinct, actionable groups based on their behaviour and attitudes, rather than relying on pre-existing demographic labels.</w:t>
      </w:r>
    </w:p>
    <w:p>
      <w:pPr>
        <w:spacing w:after="100" w:line="300"/>
      </w:pPr>
      <w:r>
        <w:rPr>
          <w:b/>
          <w:bCs/>
          <w:color w:val="1F3864"/>
          <w:sz w:val="21"/>
          <w:szCs w:val="21"/>
        </w:rPr>
        <w:t xml:space="preserve">Columns / Variables Involved: </w:t>
      </w:r>
      <w:r>
        <w:rPr>
          <w:sz w:val="21"/>
          <w:szCs w:val="21"/>
        </w:rPr>
        <w:t xml:space="preserve">MonthlySpend_Naira, VisitsPerMonth, OverallSatisfaction, LikelihoodToRecommend, YearsAsCustomer (all standardized to Z-scores before clustering)</w:t>
      </w:r>
    </w:p>
    <w:p>
      <w:pPr>
        <w:spacing w:after="60" w:before="100"/>
      </w:pPr>
      <w:r>
        <w:rPr>
          <w:b/>
          <w:bCs/>
          <w:color w:val="1F3864"/>
          <w:sz w:val="21"/>
          <w:szCs w:val="21"/>
        </w:rPr>
        <w:t xml:space="preserve">Step-by-Step Procedure in SPSS</w:t>
      </w:r>
    </w:p>
    <w:p>
      <w:pPr>
        <w:spacing w:after="60" w:line="280"/>
      </w:pPr>
      <w:r>
        <w:rPr>
          <w:sz w:val="21"/>
          <w:szCs w:val="21"/>
        </w:rPr>
        <w:t xml:space="preserve">1. Analyze &gt; Descriptive Statistics &gt; Descriptives, tick "Save standardized values as variables" to Z-score the five clustering variables (equalises scale across ₦, visits, and 0-10 ratings).</w:t>
      </w:r>
    </w:p>
    <w:p>
      <w:pPr>
        <w:spacing w:after="60" w:line="280"/>
      </w:pPr>
      <w:r>
        <w:rPr>
          <w:sz w:val="21"/>
          <w:szCs w:val="21"/>
        </w:rPr>
        <w:t xml:space="preserve">2. Analyze &gt; Classify &gt; K-Means Cluster.</w:t>
      </w:r>
    </w:p>
    <w:p>
      <w:pPr>
        <w:spacing w:after="60" w:line="280"/>
      </w:pPr>
      <w:r>
        <w:rPr>
          <w:sz w:val="21"/>
          <w:szCs w:val="21"/>
        </w:rPr>
        <w:t xml:space="preserve">3. Move the five Z-scored variables into Variables.</w:t>
      </w:r>
    </w:p>
    <w:p>
      <w:pPr>
        <w:spacing w:after="60" w:line="280"/>
      </w:pPr>
      <w:r>
        <w:rPr>
          <w:sz w:val="21"/>
          <w:szCs w:val="21"/>
        </w:rPr>
        <w:t xml:space="preserve">4. Set Number of Clusters = 3 (selected after comparing the drop in within-cluster sum of squares for k = 2 through 5).</w:t>
      </w:r>
    </w:p>
    <w:p>
      <w:pPr>
        <w:spacing w:after="60" w:line="280"/>
      </w:pPr>
      <w:r>
        <w:rPr>
          <w:sz w:val="21"/>
          <w:szCs w:val="21"/>
        </w:rPr>
        <w:t xml:space="preserve">5. Click Save, tick Cluster Membership; click Options, tick ANOVA table and Cluster information.</w:t>
      </w:r>
    </w:p>
    <w:p>
      <w:pPr>
        <w:spacing w:after="60" w:line="280"/>
      </w:pPr>
      <w:r>
        <w:rPr>
          <w:sz w:val="21"/>
          <w:szCs w:val="21"/>
        </w:rPr>
        <w:t xml:space="preserve">6. Click OK.</w:t>
      </w:r>
    </w:p>
    <w:p>
      <w:pPr>
        <w:spacing w:after="80" w:before="140"/>
      </w:pPr>
      <w:r>
        <w:rPr>
          <w:b/>
          <w:bCs/>
          <w:color w:val="1F3864"/>
          <w:sz w:val="21"/>
          <w:szCs w:val="21"/>
        </w:rPr>
        <w:t xml:space="preserve">SPSS Output — Within-Cluster Sum of Squares by k, and Final Cluster Profiles (k=3, N=214)</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tblGrid>
      <w:tr>
        <w:trPr>
          <w:tblHeader/>
        </w:trPr>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k (number of clusters)</w:t>
            </w:r>
          </w:p>
        </w:tc>
        <w:tc>
          <w:tcPr>
            <w:tcW w:type="dxa" w:w="1500"/>
            <w:shd w:fill="1F3864" w:color="auto" w:val="clear"/>
            <w:tcMar>
              <w:top w:type="dxa" w:w="60"/>
              <w:left w:type="dxa" w:w="100"/>
              <w:bottom w:type="dxa" w:w="60"/>
              <w:right w:type="dxa" w:w="100"/>
            </w:tcMar>
            <w:vAlign w:val="center"/>
          </w:tcPr>
          <w:p>
            <w:pPr>
              <w:jc w:val="center"/>
            </w:pPr>
            <w:r>
              <w:rPr>
                <w:b/>
                <w:bCs/>
                <w:color w:val="FFFFFF"/>
                <w:sz w:val="19"/>
                <w:szCs w:val="19"/>
              </w:rPr>
              <w:t xml:space="preserve">2</w:t>
            </w:r>
          </w:p>
        </w:tc>
        <w:tc>
          <w:tcPr>
            <w:tcW w:type="dxa" w:w="1500"/>
            <w:shd w:fill="1F3864" w:color="auto" w:val="clear"/>
            <w:tcMar>
              <w:top w:type="dxa" w:w="60"/>
              <w:left w:type="dxa" w:w="100"/>
              <w:bottom w:type="dxa" w:w="60"/>
              <w:right w:type="dxa" w:w="100"/>
            </w:tcMar>
            <w:vAlign w:val="center"/>
          </w:tcPr>
          <w:p>
            <w:pPr>
              <w:jc w:val="center"/>
            </w:pPr>
            <w:r>
              <w:rPr>
                <w:b/>
                <w:bCs/>
                <w:color w:val="FFFFFF"/>
                <w:sz w:val="19"/>
                <w:szCs w:val="19"/>
              </w:rPr>
              <w:t xml:space="preserve">3</w:t>
            </w:r>
          </w:p>
        </w:tc>
        <w:tc>
          <w:tcPr>
            <w:tcW w:type="dxa" w:w="1500"/>
            <w:shd w:fill="1F3864" w:color="auto" w:val="clear"/>
            <w:tcMar>
              <w:top w:type="dxa" w:w="60"/>
              <w:left w:type="dxa" w:w="100"/>
              <w:bottom w:type="dxa" w:w="60"/>
              <w:right w:type="dxa" w:w="100"/>
            </w:tcMar>
            <w:vAlign w:val="center"/>
          </w:tcPr>
          <w:p>
            <w:pPr>
              <w:jc w:val="center"/>
            </w:pPr>
            <w:r>
              <w:rPr>
                <w:b/>
                <w:bCs/>
                <w:color w:val="FFFFFF"/>
                <w:sz w:val="19"/>
                <w:szCs w:val="19"/>
              </w:rPr>
              <w:t xml:space="preserve">4</w:t>
            </w:r>
          </w:p>
        </w:tc>
        <w:tc>
          <w:tcPr>
            <w:shd w:fill="1F3864" w:color="auto" w:val="clear"/>
            <w:tcMar>
              <w:top w:type="dxa" w:w="60"/>
              <w:left w:type="dxa" w:w="100"/>
              <w:bottom w:type="dxa" w:w="60"/>
              <w:right w:type="dxa" w:w="100"/>
            </w:tcMar>
            <w:vAlign w:val="center"/>
          </w:tcPr>
          <w:p>
            <w:pPr>
              <w:jc w:val="center"/>
            </w:pPr>
            <w:r>
              <w:rPr>
                <w:b/>
                <w:bCs/>
                <w:color w:val="FFFFFF"/>
                <w:sz w:val="19"/>
                <w:szCs w:val="19"/>
              </w:rPr>
              <w:t xml:space="preserve">5</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Total Within-Cluster SS</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803.40</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682.98</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610.37</w:t>
            </w:r>
          </w:p>
        </w:tc>
        <w:tc>
          <w:tcPr>
            <w:tcMar>
              <w:top w:type="dxa" w:w="60"/>
              <w:left w:type="dxa" w:w="100"/>
              <w:bottom w:type="dxa" w:w="60"/>
              <w:right w:type="dxa" w:w="100"/>
            </w:tcMar>
            <w:vAlign w:val="center"/>
          </w:tcPr>
          <w:p>
            <w:pPr>
              <w:jc w:val="center"/>
            </w:pPr>
            <w:r>
              <w:rPr>
                <w:b w:val="false"/>
                <w:bCs w:val="false"/>
                <w:color w:val="000000"/>
                <w:sz w:val="19"/>
                <w:szCs w:val="19"/>
              </w:rPr>
              <w:t xml:space="preserve">545.75</w:t>
            </w:r>
          </w:p>
        </w:tc>
      </w:tr>
    </w:tbl>
    <w:p>
      <w:pPr>
        <w:spacing w:after="60"/>
      </w:pPr>
    </w:p>
    <w:p>
      <w:pPr>
        <w:pStyle w:val="Heading3"/>
        <w:spacing w:after="90" w:before="180"/>
      </w:pPr>
      <w:r>
        <w:rPr>
          <w:b/>
          <w:bCs/>
          <w:i w:val="false"/>
          <w:iCs w:val="false"/>
          <w:color w:val="1F3864"/>
          <w:sz w:val="21"/>
          <w:szCs w:val="21"/>
        </w:rPr>
        <w:t xml:space="preserve">Final Cluster Profiles (Mean Values, k = 3)</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600"/>
        <w:gridCol w:w="1200"/>
        <w:gridCol w:w="1500"/>
        <w:gridCol w:w="1500"/>
        <w:gridCol w:w="1300"/>
      </w:tblGrid>
      <w:tr>
        <w:trPr>
          <w:tblHeader/>
        </w:trPr>
        <w:tc>
          <w:tcPr>
            <w:tcW w:type="dxa" w:w="3200"/>
            <w:shd w:fill="1F3864" w:color="auto" w:val="clear"/>
            <w:tcMar>
              <w:top w:type="dxa" w:w="60"/>
              <w:left w:type="dxa" w:w="100"/>
              <w:bottom w:type="dxa" w:w="60"/>
              <w:right w:type="dxa" w:w="100"/>
            </w:tcMar>
            <w:vAlign w:val="center"/>
          </w:tcPr>
          <w:p>
            <w:pPr>
              <w:jc w:val="center"/>
            </w:pPr>
            <w:r>
              <w:rPr>
                <w:b/>
                <w:bCs/>
                <w:color w:val="FFFFFF"/>
                <w:sz w:val="19"/>
                <w:szCs w:val="19"/>
              </w:rPr>
              <w:t xml:space="preserve">Cluster</w:t>
            </w:r>
          </w:p>
        </w:tc>
        <w:tc>
          <w:tcPr>
            <w:tcW w:type="dxa" w:w="1200"/>
            <w:shd w:fill="1F3864" w:color="auto" w:val="clear"/>
            <w:tcMar>
              <w:top w:type="dxa" w:w="60"/>
              <w:left w:type="dxa" w:w="100"/>
              <w:bottom w:type="dxa" w:w="60"/>
              <w:right w:type="dxa" w:w="100"/>
            </w:tcMar>
            <w:vAlign w:val="center"/>
          </w:tcPr>
          <w:p>
            <w:pPr>
              <w:jc w:val="center"/>
            </w:pPr>
            <w:r>
              <w:rPr>
                <w:b/>
                <w:bCs/>
                <w:color w:val="FFFFFF"/>
                <w:sz w:val="19"/>
                <w:szCs w:val="19"/>
              </w:rPr>
              <w:t xml:space="preserve">n (%)</w:t>
            </w:r>
          </w:p>
        </w:tc>
        <w:tc>
          <w:tcPr>
            <w:tcW w:type="dxa" w:w="1600"/>
            <w:shd w:fill="1F3864" w:color="auto" w:val="clear"/>
            <w:tcMar>
              <w:top w:type="dxa" w:w="60"/>
              <w:left w:type="dxa" w:w="100"/>
              <w:bottom w:type="dxa" w:w="60"/>
              <w:right w:type="dxa" w:w="100"/>
            </w:tcMar>
            <w:vAlign w:val="center"/>
          </w:tcPr>
          <w:p>
            <w:pPr>
              <w:jc w:val="center"/>
            </w:pPr>
            <w:r>
              <w:rPr>
                <w:b/>
                <w:bCs/>
                <w:color w:val="FFFFFF"/>
                <w:sz w:val="19"/>
                <w:szCs w:val="19"/>
              </w:rPr>
              <w:t xml:space="preserve">Monthly Spend (₦)</w:t>
            </w:r>
          </w:p>
        </w:tc>
        <w:tc>
          <w:tcPr>
            <w:tcW w:type="dxa" w:w="1200"/>
            <w:shd w:fill="1F3864" w:color="auto" w:val="clear"/>
            <w:tcMar>
              <w:top w:type="dxa" w:w="60"/>
              <w:left w:type="dxa" w:w="100"/>
              <w:bottom w:type="dxa" w:w="60"/>
              <w:right w:type="dxa" w:w="100"/>
            </w:tcMar>
            <w:vAlign w:val="center"/>
          </w:tcPr>
          <w:p>
            <w:pPr>
              <w:jc w:val="center"/>
            </w:pPr>
            <w:r>
              <w:rPr>
                <w:b/>
                <w:bCs/>
                <w:color w:val="FFFFFF"/>
                <w:sz w:val="19"/>
                <w:szCs w:val="19"/>
              </w:rPr>
              <w:t xml:space="preserve">Visits/Month</w:t>
            </w:r>
          </w:p>
        </w:tc>
        <w:tc>
          <w:tcPr>
            <w:tcW w:type="dxa" w:w="1500"/>
            <w:shd w:fill="1F3864" w:color="auto" w:val="clear"/>
            <w:tcMar>
              <w:top w:type="dxa" w:w="60"/>
              <w:left w:type="dxa" w:w="100"/>
              <w:bottom w:type="dxa" w:w="60"/>
              <w:right w:type="dxa" w:w="100"/>
            </w:tcMar>
            <w:vAlign w:val="center"/>
          </w:tcPr>
          <w:p>
            <w:pPr>
              <w:jc w:val="center"/>
            </w:pPr>
            <w:r>
              <w:rPr>
                <w:b/>
                <w:bCs/>
                <w:color w:val="FFFFFF"/>
                <w:sz w:val="19"/>
                <w:szCs w:val="19"/>
              </w:rPr>
              <w:t xml:space="preserve">Overall Satisfaction</w:t>
            </w:r>
          </w:p>
        </w:tc>
        <w:tc>
          <w:tcPr>
            <w:tcW w:type="dxa" w:w="1500"/>
            <w:shd w:fill="1F3864" w:color="auto" w:val="clear"/>
            <w:tcMar>
              <w:top w:type="dxa" w:w="60"/>
              <w:left w:type="dxa" w:w="100"/>
              <w:bottom w:type="dxa" w:w="60"/>
              <w:right w:type="dxa" w:w="100"/>
            </w:tcMar>
            <w:vAlign w:val="center"/>
          </w:tcPr>
          <w:p>
            <w:pPr>
              <w:jc w:val="center"/>
            </w:pPr>
            <w:r>
              <w:rPr>
                <w:b/>
                <w:bCs/>
                <w:color w:val="FFFFFF"/>
                <w:sz w:val="19"/>
                <w:szCs w:val="19"/>
              </w:rPr>
              <w:t xml:space="preserve">Likelihood to Recommend</w:t>
            </w:r>
          </w:p>
        </w:tc>
        <w:tc>
          <w:tcPr>
            <w:tcW w:type="dxa" w:w="1300"/>
            <w:shd w:fill="1F3864" w:color="auto" w:val="clear"/>
            <w:tcMar>
              <w:top w:type="dxa" w:w="60"/>
              <w:left w:type="dxa" w:w="100"/>
              <w:bottom w:type="dxa" w:w="60"/>
              <w:right w:type="dxa" w:w="100"/>
            </w:tcMar>
            <w:vAlign w:val="center"/>
          </w:tcPr>
          <w:p>
            <w:pPr>
              <w:jc w:val="center"/>
            </w:pPr>
            <w:r>
              <w:rPr>
                <w:b/>
                <w:bCs/>
                <w:color w:val="FFFFFF"/>
                <w:sz w:val="19"/>
                <w:szCs w:val="19"/>
              </w:rPr>
              <w:t xml:space="preserve">Years as Customer</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1 — "At-Risk Low Engagers"</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91 (42.5%)</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23,074.73</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1.74</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4.01</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3.25</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4.92</w:t>
            </w:r>
          </w:p>
        </w:tc>
      </w:tr>
      <w:tr>
        <w:tc>
          <w:tcPr>
            <w:tcW w:type="dxa" w:w="32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2 — "High-Value Frequent Shoppers"</w:t>
            </w:r>
          </w:p>
        </w:tc>
        <w:tc>
          <w:tcPr>
            <w:tcW w:type="dxa" w:w="1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46 (21.5%)</w:t>
            </w:r>
          </w:p>
        </w:tc>
        <w:tc>
          <w:tcPr>
            <w:tcW w:type="dxa" w:w="1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42,963.04</w:t>
            </w:r>
          </w:p>
        </w:tc>
        <w:tc>
          <w:tcPr>
            <w:tcW w:type="dxa" w:w="1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5.37</w:t>
            </w:r>
          </w:p>
        </w:tc>
        <w:tc>
          <w:tcPr>
            <w:tcW w:type="dxa" w:w="15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5.65</w:t>
            </w:r>
          </w:p>
        </w:tc>
        <w:tc>
          <w:tcPr>
            <w:tcW w:type="dxa" w:w="15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5.24</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5.68</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3 — "Happy Advocates"</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77 (36.0%)</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29,764.94</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1.82</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7.31</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7.05</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4.26</w:t>
            </w:r>
          </w:p>
        </w:tc>
      </w:tr>
    </w:tbl>
    <w:p>
      <w:pPr>
        <w:spacing w:after="60" w:before="160"/>
      </w:pPr>
      <w:r>
        <w:rPr>
          <w:b/>
          <w:bCs/>
          <w:color w:val="1F3864"/>
          <w:sz w:val="21"/>
          <w:szCs w:val="21"/>
        </w:rPr>
        <w:t xml:space="preserve">Interpretation</w:t>
      </w:r>
    </w:p>
    <w:p>
      <w:pPr>
        <w:spacing w:after="140" w:line="300"/>
      </w:pPr>
      <w:r>
        <w:rPr>
          <w:sz w:val="21"/>
          <w:szCs w:val="21"/>
        </w:rPr>
        <w:t xml:space="preserve">The within-cluster sum of squares drops steadily from k=2 through k=5, without an unambiguous "elbow", but k=3 was retained as the most business-interpretable and parsimonious solution that still separates spend, satisfaction and engagement meaningfully. Three clearly distinct segments emerge from the 214 customers with complete data on all five clustering variables:</w:t>
      </w:r>
    </w:p>
    <w:p>
      <w:pPr>
        <w:spacing w:after="140" w:line="300"/>
      </w:pPr>
      <w:r>
        <w:rPr>
          <w:sz w:val="21"/>
          <w:szCs w:val="21"/>
        </w:rPr>
        <w:t xml:space="preserve">Cluster 1 ("At-Risk Low Engagers", 42.5% of customers) shows the lowest spend (₦23,075), fewest visits (1.74/month), and by far the lowest satisfaction (4.01) and recommendation likelihood (3.25) of the three groups — this is the segment most likely to churn. Cluster 2 ("High-Value Frequent Shoppers", 21.5%) visits far more often than the others (5.37/month) and spends the most (₦42,963), with moderate satisfaction (5.65) — these are valuable but not necessarily delighted customers. Cluster 3 ("Happy Advocates", 36.0%) has the highest satisfaction (7.31) and recommendation score (7.05) by a wide margin, moderate spend, and low visit frequency, similar to Cluster 1 — showing that visiting rarely does not automatically mean being unhappy.</w:t>
      </w:r>
    </w:p>
    <w:p>
      <w:pPr>
        <w:spacing w:after="60" w:before="100"/>
      </w:pPr>
      <w:r>
        <w:rPr>
          <w:b/>
          <w:bCs/>
          <w:color w:val="1F3864"/>
          <w:sz w:val="21"/>
          <w:szCs w:val="21"/>
        </w:rPr>
        <w:t xml:space="preserve">Key Insights Generated</w:t>
      </w:r>
    </w:p>
    <w:p>
      <w:pPr>
        <w:pStyle w:val="ListParagraph"/>
        <w:numPr>
          <w:ilvl w:val="0"/>
          <w:numId w:val="1"/>
        </w:numPr>
        <w:spacing w:after="60" w:line="280"/>
      </w:pPr>
      <w:r>
        <w:rPr>
          <w:sz w:val="21"/>
          <w:szCs w:val="21"/>
        </w:rPr>
        <w:t xml:space="preserve">The 42.5% "At-Risk Low Engagers" segment is the single biggest priority for the business — it is both the largest cluster and the one with the lowest satisfaction and spend, aligning with the 44.4% "would not shop again" figure from Section 2.</w:t>
      </w:r>
    </w:p>
    <w:p>
      <w:pPr>
        <w:pStyle w:val="ListParagraph"/>
        <w:numPr>
          <w:ilvl w:val="0"/>
          <w:numId w:val="1"/>
        </w:numPr>
        <w:spacing w:after="60" w:line="280"/>
      </w:pPr>
      <w:r>
        <w:rPr>
          <w:sz w:val="21"/>
          <w:szCs w:val="21"/>
        </w:rPr>
        <w:t xml:space="preserve">"High-Value Frequent Shoppers" (21.5%) are commercially valuable today but only moderately satisfied — they are a retention risk precisely because their loyalty currently looks behavioural (frequent visits) rather than attitudinal (high satisfaction), which is often the first segment to defect to a competitor offering similar convenience.</w:t>
      </w:r>
    </w:p>
    <w:p>
      <w:pPr>
        <w:pStyle w:val="ListParagraph"/>
        <w:numPr>
          <w:ilvl w:val="0"/>
          <w:numId w:val="1"/>
        </w:numPr>
        <w:spacing w:after="60" w:line="280"/>
      </w:pPr>
      <w:r>
        <w:rPr>
          <w:sz w:val="21"/>
          <w:szCs w:val="21"/>
        </w:rPr>
        <w:t xml:space="preserve">"Happy Advocates" (36.0%) are the ideal segment to activate for referral/word-of-mouth programmes — they already recommend the brand at a high rate (7.05/10) despite modest spend, suggesting untapped upsell potential alongside their advocacy value.</w:t>
      </w:r>
    </w:p>
    <w:p>
      <w:pPr>
        <w:pStyle w:val="ListParagraph"/>
        <w:numPr>
          <w:ilvl w:val="0"/>
          <w:numId w:val="1"/>
        </w:numPr>
        <w:spacing w:after="60" w:line="280"/>
      </w:pPr>
      <w:r>
        <w:rPr>
          <w:sz w:val="21"/>
          <w:szCs w:val="21"/>
        </w:rPr>
        <w:t xml:space="preserve">This behavioural segmentation is far more actionable than the demographic crosstabs in Section 6, which showed weak/no relationships — it confirms that satisfaction and engagement, not demographics, are the real axes of customer difference.</w:t>
      </w:r>
    </w:p>
    <w:p>
      <w:pPr>
        <w:spacing w:after="200"/>
      </w:pPr>
    </w:p>
    <w:p>
      <w:r>
        <w:br w:type="page"/>
      </w:r>
    </w:p>
    <w:p>
      <w:pPr>
        <w:pStyle w:val="Heading1"/>
        <w:pBdr>
          <w:bottom w:val="single" w:color="1F3864" w:sz="6" w:space="4"/>
        </w:pBdr>
        <w:spacing w:after="200" w:before="400"/>
      </w:pPr>
      <w:r>
        <w:rPr>
          <w:b/>
          <w:bCs/>
          <w:color w:val="1F3864"/>
          <w:sz w:val="30"/>
          <w:szCs w:val="30"/>
        </w:rPr>
        <w:t xml:space="preserve">20. Hierarchical Cluster Analysis (Analyze &gt; Classify &gt; Hierarchical Cluster)</w:t>
      </w:r>
    </w:p>
    <w:p>
      <w:pPr>
        <w:spacing w:after="100" w:line="300"/>
      </w:pPr>
      <w:r>
        <w:rPr>
          <w:b/>
          <w:bCs/>
          <w:color w:val="1F3864"/>
          <w:sz w:val="21"/>
          <w:szCs w:val="21"/>
        </w:rPr>
        <w:t xml:space="preserve">Aim of the Analysis: </w:t>
      </w:r>
      <w:r>
        <w:rPr>
          <w:sz w:val="21"/>
          <w:szCs w:val="21"/>
        </w:rPr>
        <w:t xml:space="preserve">To validate the K-Means solution using an entirely different clustering algorithm (Ward's method on Euclidean distance) that does not require pre-specifying which observations start in which cluster.</w:t>
      </w:r>
    </w:p>
    <w:p>
      <w:pPr>
        <w:spacing w:after="100" w:line="300"/>
      </w:pPr>
      <w:r>
        <w:rPr>
          <w:b/>
          <w:bCs/>
          <w:color w:val="1F3864"/>
          <w:sz w:val="21"/>
          <w:szCs w:val="21"/>
        </w:rPr>
        <w:t xml:space="preserve">Columns / Variables Involved: </w:t>
      </w:r>
      <w:r>
        <w:rPr>
          <w:sz w:val="21"/>
          <w:szCs w:val="21"/>
        </w:rPr>
        <w:t xml:space="preserve">Same five standardized variables as Section 19: MonthlySpend_Naira, VisitsPerMonth, OverallSatisfaction, LikelihoodToRecommend, YearsAsCustomer</w:t>
      </w:r>
    </w:p>
    <w:p>
      <w:pPr>
        <w:spacing w:after="60" w:before="100"/>
      </w:pPr>
      <w:r>
        <w:rPr>
          <w:b/>
          <w:bCs/>
          <w:color w:val="1F3864"/>
          <w:sz w:val="21"/>
          <w:szCs w:val="21"/>
        </w:rPr>
        <w:t xml:space="preserve">Step-by-Step Procedure in SPSS</w:t>
      </w:r>
    </w:p>
    <w:p>
      <w:pPr>
        <w:spacing w:after="60" w:line="280"/>
      </w:pPr>
      <w:r>
        <w:rPr>
          <w:sz w:val="21"/>
          <w:szCs w:val="21"/>
        </w:rPr>
        <w:t xml:space="preserve">1. Analyze &gt; Classify &gt; Hierarchical Cluster.</w:t>
      </w:r>
    </w:p>
    <w:p>
      <w:pPr>
        <w:spacing w:after="60" w:line="280"/>
      </w:pPr>
      <w:r>
        <w:rPr>
          <w:sz w:val="21"/>
          <w:szCs w:val="21"/>
        </w:rPr>
        <w:t xml:space="preserve">2. Move the five Z-scored variables into Variable(s).</w:t>
      </w:r>
    </w:p>
    <w:p>
      <w:pPr>
        <w:spacing w:after="60" w:line="280"/>
      </w:pPr>
      <w:r>
        <w:rPr>
          <w:sz w:val="21"/>
          <w:szCs w:val="21"/>
        </w:rPr>
        <w:t xml:space="preserve">3. Click Method, set Cluster Method = Ward's Method, Measure = Squared Euclidean Distance.</w:t>
      </w:r>
    </w:p>
    <w:p>
      <w:pPr>
        <w:spacing w:after="60" w:line="280"/>
      </w:pPr>
      <w:r>
        <w:rPr>
          <w:sz w:val="21"/>
          <w:szCs w:val="21"/>
        </w:rPr>
        <w:t xml:space="preserve">4. Click Plots, tick Dendrogram.</w:t>
      </w:r>
    </w:p>
    <w:p>
      <w:pPr>
        <w:spacing w:after="60" w:line="280"/>
      </w:pPr>
      <w:r>
        <w:rPr>
          <w:sz w:val="21"/>
          <w:szCs w:val="21"/>
        </w:rPr>
        <w:t xml:space="preserve">5. Click Save, select "Single solution", Number of clusters = 3.</w:t>
      </w:r>
    </w:p>
    <w:p>
      <w:pPr>
        <w:spacing w:after="60" w:line="280"/>
      </w:pPr>
      <w:r>
        <w:rPr>
          <w:sz w:val="21"/>
          <w:szCs w:val="21"/>
        </w:rPr>
        <w:t xml:space="preserve">6. Click OK.</w:t>
      </w:r>
    </w:p>
    <w:p>
      <w:pPr>
        <w:spacing w:after="80" w:before="140"/>
      </w:pPr>
      <w:r>
        <w:rPr>
          <w:b/>
          <w:bCs/>
          <w:color w:val="1F3864"/>
          <w:sz w:val="21"/>
          <w:szCs w:val="21"/>
        </w:rPr>
        <w:t xml:space="preserve">SPSS Output — Cluster Profiles (Ward's Method, k = 3) and Agreement with K-Means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900"/>
        <w:gridCol w:w="1300"/>
        <w:gridCol w:w="1600"/>
        <w:gridCol w:w="1700"/>
        <w:gridCol w:w="1400"/>
      </w:tblGrid>
      <w:tr>
        <w:trPr>
          <w:tblHeader/>
        </w:trPr>
        <w:tc>
          <w:tcPr>
            <w:tcW w:type="dxa" w:w="1600"/>
            <w:shd w:fill="1F3864" w:color="auto" w:val="clear"/>
            <w:tcMar>
              <w:top w:type="dxa" w:w="60"/>
              <w:left w:type="dxa" w:w="100"/>
              <w:bottom w:type="dxa" w:w="60"/>
              <w:right w:type="dxa" w:w="100"/>
            </w:tcMar>
            <w:vAlign w:val="center"/>
          </w:tcPr>
          <w:p>
            <w:pPr>
              <w:jc w:val="center"/>
            </w:pPr>
            <w:r>
              <w:rPr>
                <w:b/>
                <w:bCs/>
                <w:color w:val="FFFFFF"/>
                <w:sz w:val="19"/>
                <w:szCs w:val="19"/>
              </w:rPr>
              <w:t xml:space="preserve">Cluster</w:t>
            </w:r>
          </w:p>
        </w:tc>
        <w:tc>
          <w:tcPr>
            <w:tcW w:type="dxa" w:w="1000"/>
            <w:shd w:fill="1F3864" w:color="auto"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900"/>
            <w:shd w:fill="1F3864" w:color="auto" w:val="clear"/>
            <w:tcMar>
              <w:top w:type="dxa" w:w="60"/>
              <w:left w:type="dxa" w:w="100"/>
              <w:bottom w:type="dxa" w:w="60"/>
              <w:right w:type="dxa" w:w="100"/>
            </w:tcMar>
            <w:vAlign w:val="center"/>
          </w:tcPr>
          <w:p>
            <w:pPr>
              <w:jc w:val="center"/>
            </w:pPr>
            <w:r>
              <w:rPr>
                <w:b/>
                <w:bCs/>
                <w:color w:val="FFFFFF"/>
                <w:sz w:val="19"/>
                <w:szCs w:val="19"/>
              </w:rPr>
              <w:t xml:space="preserve">Monthly Spend (₦)</w:t>
            </w:r>
          </w:p>
        </w:tc>
        <w:tc>
          <w:tcPr>
            <w:tcW w:type="dxa" w:w="1300"/>
            <w:shd w:fill="1F3864" w:color="auto" w:val="clear"/>
            <w:tcMar>
              <w:top w:type="dxa" w:w="60"/>
              <w:left w:type="dxa" w:w="100"/>
              <w:bottom w:type="dxa" w:w="60"/>
              <w:right w:type="dxa" w:w="100"/>
            </w:tcMar>
            <w:vAlign w:val="center"/>
          </w:tcPr>
          <w:p>
            <w:pPr>
              <w:jc w:val="center"/>
            </w:pPr>
            <w:r>
              <w:rPr>
                <w:b/>
                <w:bCs/>
                <w:color w:val="FFFFFF"/>
                <w:sz w:val="19"/>
                <w:szCs w:val="19"/>
              </w:rPr>
              <w:t xml:space="preserve">Visits/Month</w:t>
            </w:r>
          </w:p>
        </w:tc>
        <w:tc>
          <w:tcPr>
            <w:tcW w:type="dxa" w:w="1600"/>
            <w:shd w:fill="1F3864" w:color="auto" w:val="clear"/>
            <w:tcMar>
              <w:top w:type="dxa" w:w="60"/>
              <w:left w:type="dxa" w:w="100"/>
              <w:bottom w:type="dxa" w:w="60"/>
              <w:right w:type="dxa" w:w="100"/>
            </w:tcMar>
            <w:vAlign w:val="center"/>
          </w:tcPr>
          <w:p>
            <w:pPr>
              <w:jc w:val="center"/>
            </w:pPr>
            <w:r>
              <w:rPr>
                <w:b/>
                <w:bCs/>
                <w:color w:val="FFFFFF"/>
                <w:sz w:val="19"/>
                <w:szCs w:val="19"/>
              </w:rPr>
              <w:t xml:space="preserve">Overall Satisfaction</w:t>
            </w:r>
          </w:p>
        </w:tc>
        <w:tc>
          <w:tcPr>
            <w:tcW w:type="dxa" w:w="1700"/>
            <w:shd w:fill="1F3864" w:color="auto" w:val="clear"/>
            <w:tcMar>
              <w:top w:type="dxa" w:w="60"/>
              <w:left w:type="dxa" w:w="100"/>
              <w:bottom w:type="dxa" w:w="60"/>
              <w:right w:type="dxa" w:w="100"/>
            </w:tcMar>
            <w:vAlign w:val="center"/>
          </w:tcPr>
          <w:p>
            <w:pPr>
              <w:jc w:val="center"/>
            </w:pPr>
            <w:r>
              <w:rPr>
                <w:b/>
                <w:bCs/>
                <w:color w:val="FFFFFF"/>
                <w:sz w:val="19"/>
                <w:szCs w:val="19"/>
              </w:rPr>
              <w:t xml:space="preserve">Likelihood to Recommend</w:t>
            </w:r>
          </w:p>
        </w:tc>
        <w:tc>
          <w:tcPr>
            <w:tcW w:type="dxa" w:w="1400"/>
            <w:shd w:fill="1F3864" w:color="auto" w:val="clear"/>
            <w:tcMar>
              <w:top w:type="dxa" w:w="60"/>
              <w:left w:type="dxa" w:w="100"/>
              <w:bottom w:type="dxa" w:w="60"/>
              <w:right w:type="dxa" w:w="100"/>
            </w:tcMar>
            <w:vAlign w:val="center"/>
          </w:tcPr>
          <w:p>
            <w:pPr>
              <w:jc w:val="center"/>
            </w:pPr>
            <w:r>
              <w:rPr>
                <w:b/>
                <w:bCs/>
                <w:color w:val="FFFFFF"/>
                <w:sz w:val="19"/>
                <w:szCs w:val="19"/>
              </w:rPr>
              <w:t xml:space="preserve">Years as Customer</w:t>
            </w:r>
          </w:p>
        </w:tc>
      </w:tr>
      <w:tr>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A</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64</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40,385.94</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3.48</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5.73</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5.27</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7.95</w:t>
            </w:r>
          </w:p>
        </w:tc>
      </w:tr>
      <w:tr>
        <w:tc>
          <w:tcPr>
            <w:tcW w:type="dxa" w:w="1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B</w:t>
            </w:r>
          </w:p>
        </w:tc>
        <w:tc>
          <w:tcPr>
            <w:tcW w:type="dxa" w:w="1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67</w:t>
            </w:r>
          </w:p>
        </w:tc>
        <w:tc>
          <w:tcPr>
            <w:tcW w:type="dxa" w:w="1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21,879.10</w:t>
            </w:r>
          </w:p>
        </w:tc>
        <w:tc>
          <w:tcPr>
            <w:tcW w:type="dxa" w:w="13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1.78</w:t>
            </w:r>
          </w:p>
        </w:tc>
        <w:tc>
          <w:tcPr>
            <w:tcW w:type="dxa" w:w="1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3.64</w:t>
            </w:r>
          </w:p>
        </w:tc>
        <w:tc>
          <w:tcPr>
            <w:tcW w:type="dxa" w:w="17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2.91</w:t>
            </w:r>
          </w:p>
        </w:tc>
        <w:tc>
          <w:tcPr>
            <w:tcW w:type="dxa" w:w="14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3.93</w:t>
            </w:r>
          </w:p>
        </w:tc>
      </w:tr>
      <w:tr>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C</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83</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27,920.48</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2.45</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6.95</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6.60</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3.19</w:t>
            </w:r>
          </w:p>
        </w:tc>
      </w:tr>
    </w:tbl>
    <w:p>
      <w:pPr>
        <w:spacing w:after="60"/>
      </w:pPr>
    </w:p>
    <w:p>
      <w:pPr>
        <w:pStyle w:val="Heading3"/>
        <w:spacing w:after="90" w:before="180"/>
      </w:pPr>
      <w:r>
        <w:rPr>
          <w:b/>
          <w:bCs/>
          <w:i w:val="false"/>
          <w:iCs w:val="false"/>
          <w:color w:val="1F3864"/>
          <w:sz w:val="21"/>
          <w:szCs w:val="21"/>
        </w:rPr>
        <w:t xml:space="preserve">Cross-tabulation: K-Means Cluster (rows) × Hierarchical Cluster (columns)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900"/>
      </w:tblGrid>
      <w:tr>
        <w:trPr>
          <w:tblHeader/>
        </w:trPr>
        <w:tc>
          <w:tcPr>
            <w:tcW w:type="dxa" w:w="3600"/>
            <w:shd w:fill="1F3864" w:color="auto" w:val="clear"/>
            <w:tcMar>
              <w:top w:type="dxa" w:w="60"/>
              <w:left w:type="dxa" w:w="100"/>
              <w:bottom w:type="dxa" w:w="60"/>
              <w:right w:type="dxa" w:w="100"/>
            </w:tcMar>
            <w:vAlign w:val="center"/>
          </w:tcPr>
          <w:p>
            <w:pPr>
              <w:jc w:val="center"/>
            </w:pPr>
            <w:r>
              <w:rPr>
                <w:b/>
                <w:bCs/>
                <w:color w:val="FFFFFF"/>
                <w:sz w:val="19"/>
                <w:szCs w:val="19"/>
              </w:rPr>
              <w:t xml:space="preserve">K-Means Cluster</w:t>
            </w:r>
          </w:p>
        </w:tc>
        <w:tc>
          <w:tcPr>
            <w:tcW w:type="dxa" w:w="1900"/>
            <w:shd w:fill="1F3864" w:color="auto" w:val="clear"/>
            <w:tcMar>
              <w:top w:type="dxa" w:w="60"/>
              <w:left w:type="dxa" w:w="100"/>
              <w:bottom w:type="dxa" w:w="60"/>
              <w:right w:type="dxa" w:w="100"/>
            </w:tcMar>
            <w:vAlign w:val="center"/>
          </w:tcPr>
          <w:p>
            <w:pPr>
              <w:jc w:val="center"/>
            </w:pPr>
            <w:r>
              <w:rPr>
                <w:b/>
                <w:bCs/>
                <w:color w:val="FFFFFF"/>
                <w:sz w:val="19"/>
                <w:szCs w:val="19"/>
              </w:rPr>
              <w:t xml:space="preserve">Hierarchical A</w:t>
            </w:r>
          </w:p>
        </w:tc>
        <w:tc>
          <w:tcPr>
            <w:tcW w:type="dxa" w:w="1900"/>
            <w:shd w:fill="1F3864" w:color="auto" w:val="clear"/>
            <w:tcMar>
              <w:top w:type="dxa" w:w="60"/>
              <w:left w:type="dxa" w:w="100"/>
              <w:bottom w:type="dxa" w:w="60"/>
              <w:right w:type="dxa" w:w="100"/>
            </w:tcMar>
            <w:vAlign w:val="center"/>
          </w:tcPr>
          <w:p>
            <w:pPr>
              <w:jc w:val="center"/>
            </w:pPr>
            <w:r>
              <w:rPr>
                <w:b/>
                <w:bCs/>
                <w:color w:val="FFFFFF"/>
                <w:sz w:val="19"/>
                <w:szCs w:val="19"/>
              </w:rPr>
              <w:t xml:space="preserve">Hierarchical B</w:t>
            </w:r>
          </w:p>
        </w:tc>
        <w:tc>
          <w:tcPr>
            <w:tcW w:type="dxa" w:w="1900"/>
            <w:shd w:fill="1F3864" w:color="auto" w:val="clear"/>
            <w:tcMar>
              <w:top w:type="dxa" w:w="60"/>
              <w:left w:type="dxa" w:w="100"/>
              <w:bottom w:type="dxa" w:w="60"/>
              <w:right w:type="dxa" w:w="100"/>
            </w:tcMar>
            <w:vAlign w:val="center"/>
          </w:tcPr>
          <w:p>
            <w:pPr>
              <w:jc w:val="center"/>
            </w:pPr>
            <w:r>
              <w:rPr>
                <w:b/>
                <w:bCs/>
                <w:color w:val="FFFFFF"/>
                <w:sz w:val="19"/>
                <w:szCs w:val="19"/>
              </w:rPr>
              <w:t xml:space="preserve">Hierarchical C</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1 — At-Risk Low Engagers</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22</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62</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7</w:t>
            </w:r>
          </w:p>
        </w:tc>
      </w:tr>
      <w:tr>
        <w:tc>
          <w:tcPr>
            <w:tcW w:type="dxa" w:w="3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2 — High-Value Frequent Shoppers</w:t>
            </w:r>
          </w:p>
        </w:tc>
        <w:tc>
          <w:tcPr>
            <w:tcW w:type="dxa" w:w="1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28</w:t>
            </w:r>
          </w:p>
        </w:tc>
        <w:tc>
          <w:tcPr>
            <w:tcW w:type="dxa" w:w="1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1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14</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3 — Happy Advocates</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14</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62</w:t>
            </w:r>
          </w:p>
        </w:tc>
      </w:tr>
    </w:tbl>
    <w:p>
      <w:pPr>
        <w:spacing w:after="60" w:before="160"/>
      </w:pPr>
      <w:r>
        <w:rPr>
          <w:b/>
          <w:bCs/>
          <w:color w:val="1F3864"/>
          <w:sz w:val="21"/>
          <w:szCs w:val="21"/>
        </w:rPr>
        <w:t xml:space="preserve">Interpretation</w:t>
      </w:r>
    </w:p>
    <w:p>
      <w:pPr>
        <w:spacing w:after="140" w:line="300"/>
      </w:pPr>
      <w:r>
        <w:rPr>
          <w:sz w:val="21"/>
          <w:szCs w:val="21"/>
        </w:rPr>
        <w:t xml:space="preserve">The Ward's-method hierarchical solution reproduces the same three-segment story as K-Means, using a completely different algorithm: an unhappy, low-spend, low-visit group (Hierarchical B: satisfaction 3.64, recommend 2.91), a satisfied, high-recommend group (Hierarchical C: satisfaction 6.95, recommend 6.60), and a longer-tenured, higher-spend, moderate-satisfaction group (Hierarchical A: 7.95 years tenure, ₦40,386 spend). The cross-tabulation shows strong (though not perfect) agreement: 62 of the 91 K-Means "At-Risk" customers land in Hierarchical B, and 62 of the 77 K-Means "Happy Advocates" land in Hierarchical C — roughly 68-81% agreement on the two most important segments. The main discrepancy is that Hierarchical Cluster A splits K-Means Cluster 2 ("High-Value Frequent Shoppers") based more heavily on tenure than on visit frequency.</w:t>
      </w:r>
    </w:p>
    <w:p>
      <w:pPr>
        <w:spacing w:after="60" w:before="100"/>
      </w:pPr>
      <w:r>
        <w:rPr>
          <w:b/>
          <w:bCs/>
          <w:color w:val="1F3864"/>
          <w:sz w:val="21"/>
          <w:szCs w:val="21"/>
        </w:rPr>
        <w:t xml:space="preserve">Key Insights Generated</w:t>
      </w:r>
    </w:p>
    <w:p>
      <w:pPr>
        <w:pStyle w:val="ListParagraph"/>
        <w:numPr>
          <w:ilvl w:val="0"/>
          <w:numId w:val="1"/>
        </w:numPr>
        <w:spacing w:after="60" w:line="280"/>
      </w:pPr>
      <w:r>
        <w:rPr>
          <w:sz w:val="21"/>
          <w:szCs w:val="21"/>
        </w:rPr>
        <w:t xml:space="preserve">The two clustering methods converge strongly on the same "unhappy/low-value" and "happy/high-recommend" segments, giving strong confidence that these are real, robust customer archetypes rather than an artefact of one algorithm's assumptions.</w:t>
      </w:r>
    </w:p>
    <w:p>
      <w:pPr>
        <w:pStyle w:val="ListParagraph"/>
        <w:numPr>
          <w:ilvl w:val="0"/>
          <w:numId w:val="1"/>
        </w:numPr>
        <w:spacing w:after="60" w:line="280"/>
      </w:pPr>
      <w:r>
        <w:rPr>
          <w:sz w:val="21"/>
          <w:szCs w:val="21"/>
        </w:rPr>
        <w:t xml:space="preserve">Tenure (YearsAsCustomer) plays a bigger role in the hierarchical solution than in K-Means, suggesting an additional, tenure-based sub-segmentation (e.g., "long-tenured moderate spenders" vs "newer high-frequency shoppers") may be worth exploring in a follow-up four-cluster model.</w:t>
      </w:r>
    </w:p>
    <w:p>
      <w:pPr>
        <w:spacing w:after="200"/>
      </w:pPr>
    </w:p>
    <w:p>
      <w:r>
        <w:br w:type="page"/>
      </w:r>
    </w:p>
    <w:p>
      <w:pPr>
        <w:pStyle w:val="Heading1"/>
        <w:pBdr>
          <w:bottom w:val="single" w:color="1F3864" w:sz="6" w:space="4"/>
        </w:pBdr>
        <w:spacing w:after="200" w:before="400"/>
      </w:pPr>
      <w:r>
        <w:rPr>
          <w:b/>
          <w:bCs/>
          <w:color w:val="1F3864"/>
          <w:sz w:val="30"/>
          <w:szCs w:val="30"/>
        </w:rPr>
        <w:t xml:space="preserve">21. Linear Discriminant Analysis (Analyze &gt; Classify &gt; Discriminant)</w:t>
      </w:r>
    </w:p>
    <w:p>
      <w:pPr>
        <w:spacing w:after="100" w:line="300"/>
      </w:pPr>
      <w:r>
        <w:rPr>
          <w:b/>
          <w:bCs/>
          <w:color w:val="1F3864"/>
          <w:sz w:val="21"/>
          <w:szCs w:val="21"/>
        </w:rPr>
        <w:t xml:space="preserve">Aim of the Analysis: </w:t>
      </w:r>
      <w:r>
        <w:rPr>
          <w:sz w:val="21"/>
          <w:szCs w:val="21"/>
        </w:rPr>
        <w:t xml:space="preserve">To identify the linear combination of continuous variables that best discriminates customers who Would Shop Again from those who would not, and to cross-validate the logistic regression findings in Section 17 using a different classification technique.</w:t>
      </w:r>
    </w:p>
    <w:p>
      <w:pPr>
        <w:spacing w:after="100" w:line="300"/>
      </w:pPr>
      <w:r>
        <w:rPr>
          <w:b/>
          <w:bCs/>
          <w:color w:val="1F3864"/>
          <w:sz w:val="21"/>
          <w:szCs w:val="21"/>
        </w:rPr>
        <w:t xml:space="preserve">Columns / Variables Involved: </w:t>
      </w:r>
      <w:r>
        <w:rPr>
          <w:sz w:val="21"/>
          <w:szCs w:val="21"/>
        </w:rPr>
        <w:t xml:space="preserve">Grouping variable: WouldShopAgain. Discriminating variables: OverallSatisfaction, MonthlySpend_Naira, VisitsPerMonth, LikelihoodToRecommend</w:t>
      </w:r>
    </w:p>
    <w:p>
      <w:pPr>
        <w:spacing w:after="60" w:before="100"/>
      </w:pPr>
      <w:r>
        <w:rPr>
          <w:b/>
          <w:bCs/>
          <w:color w:val="1F3864"/>
          <w:sz w:val="21"/>
          <w:szCs w:val="21"/>
        </w:rPr>
        <w:t xml:space="preserve">Step-by-Step Procedure in SPSS</w:t>
      </w:r>
    </w:p>
    <w:p>
      <w:pPr>
        <w:spacing w:after="60" w:line="280"/>
      </w:pPr>
      <w:r>
        <w:rPr>
          <w:sz w:val="21"/>
          <w:szCs w:val="21"/>
        </w:rPr>
        <w:t xml:space="preserve">1. Analyze &gt; Classify &gt; Discriminant.</w:t>
      </w:r>
    </w:p>
    <w:p>
      <w:pPr>
        <w:spacing w:after="60" w:line="280"/>
      </w:pPr>
      <w:r>
        <w:rPr>
          <w:sz w:val="21"/>
          <w:szCs w:val="21"/>
        </w:rPr>
        <w:t xml:space="preserve">2. Move WouldShopAgain into Grouping Variable, define range (0 = No, 1 = Yes).</w:t>
      </w:r>
    </w:p>
    <w:p>
      <w:pPr>
        <w:spacing w:after="60" w:line="280"/>
      </w:pPr>
      <w:r>
        <w:rPr>
          <w:sz w:val="21"/>
          <w:szCs w:val="21"/>
        </w:rPr>
        <w:t xml:space="preserve">3. Move OverallSatisfaction, MonthlySpend_Naira, VisitsPerMonth, LikelihoodToRecommend into Independents.</w:t>
      </w:r>
    </w:p>
    <w:p>
      <w:pPr>
        <w:spacing w:after="60" w:line="280"/>
      </w:pPr>
      <w:r>
        <w:rPr>
          <w:sz w:val="21"/>
          <w:szCs w:val="21"/>
        </w:rPr>
        <w:t xml:space="preserve">4. Click Statistics, tick Means, Univariate ANOVAs, Fisher's classification function coefficients.</w:t>
      </w:r>
    </w:p>
    <w:p>
      <w:pPr>
        <w:spacing w:after="60" w:line="280"/>
      </w:pPr>
      <w:r>
        <w:rPr>
          <w:sz w:val="21"/>
          <w:szCs w:val="21"/>
        </w:rPr>
        <w:t xml:space="preserve">5. Click Classify, tick Summary table.</w:t>
      </w:r>
    </w:p>
    <w:p>
      <w:pPr>
        <w:spacing w:after="60" w:line="280"/>
      </w:pPr>
      <w:r>
        <w:rPr>
          <w:sz w:val="21"/>
          <w:szCs w:val="21"/>
        </w:rPr>
        <w:t xml:space="preserve">6. Click OK.</w:t>
      </w:r>
    </w:p>
    <w:p>
      <w:pPr>
        <w:spacing w:after="80" w:before="140"/>
      </w:pPr>
      <w:r>
        <w:rPr>
          <w:b/>
          <w:bCs/>
          <w:color w:val="1F3864"/>
          <w:sz w:val="21"/>
          <w:szCs w:val="21"/>
        </w:rPr>
        <w:t xml:space="preserve">SPSS Output — Group Means, Standardized Canonical Coefficients, and Classification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rPr>
          <w:tblHeader/>
        </w:trPr>
        <w:tc>
          <w:tcPr>
            <w:tcW w:type="dxa" w:w="3600"/>
            <w:shd w:fill="1F3864" w:color="auto" w:val="clear"/>
            <w:tcMar>
              <w:top w:type="dxa" w:w="60"/>
              <w:left w:type="dxa" w:w="100"/>
              <w:bottom w:type="dxa" w:w="60"/>
              <w:right w:type="dxa" w:w="100"/>
            </w:tcMar>
            <w:vAlign w:val="center"/>
          </w:tcPr>
          <w:p>
            <w:pPr>
              <w:jc w:val="center"/>
            </w:pPr>
            <w:r>
              <w:rPr>
                <w:b/>
                <w:bCs/>
                <w:color w:val="FFFFFF"/>
                <w:sz w:val="19"/>
                <w:szCs w:val="19"/>
              </w:rPr>
              <w:t xml:space="preserve">Variable</w:t>
            </w:r>
          </w:p>
        </w:tc>
        <w:tc>
          <w:tcPr>
            <w:tcW w:type="dxa" w:w="2700"/>
            <w:shd w:fill="1F3864" w:color="auto" w:val="clear"/>
            <w:tcMar>
              <w:top w:type="dxa" w:w="60"/>
              <w:left w:type="dxa" w:w="100"/>
              <w:bottom w:type="dxa" w:w="60"/>
              <w:right w:type="dxa" w:w="100"/>
            </w:tcMar>
            <w:vAlign w:val="center"/>
          </w:tcPr>
          <w:p>
            <w:pPr>
              <w:jc w:val="center"/>
            </w:pPr>
            <w:r>
              <w:rPr>
                <w:b/>
                <w:bCs/>
                <w:color w:val="FFFFFF"/>
                <w:sz w:val="19"/>
                <w:szCs w:val="19"/>
              </w:rPr>
              <w:t xml:space="preserve">No (Group Mean)</w:t>
            </w:r>
          </w:p>
        </w:tc>
        <w:tc>
          <w:tcPr>
            <w:tcW w:type="dxa" w:w="2700"/>
            <w:shd w:fill="1F3864" w:color="auto" w:val="clear"/>
            <w:tcMar>
              <w:top w:type="dxa" w:w="60"/>
              <w:left w:type="dxa" w:w="100"/>
              <w:bottom w:type="dxa" w:w="60"/>
              <w:right w:type="dxa" w:w="100"/>
            </w:tcMar>
            <w:vAlign w:val="center"/>
          </w:tcPr>
          <w:p>
            <w:pPr>
              <w:jc w:val="center"/>
            </w:pPr>
            <w:r>
              <w:rPr>
                <w:b/>
                <w:bCs/>
                <w:color w:val="FFFFFF"/>
                <w:sz w:val="19"/>
                <w:szCs w:val="19"/>
              </w:rPr>
              <w:t xml:space="preserve">Yes (Group Mean)</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OverallSatisfaction</w:t>
            </w:r>
          </w:p>
        </w:tc>
        <w:tc>
          <w:tcPr>
            <w:tcW w:type="dxa" w:w="2700"/>
            <w:tcMar>
              <w:top w:type="dxa" w:w="60"/>
              <w:left w:type="dxa" w:w="100"/>
              <w:bottom w:type="dxa" w:w="60"/>
              <w:right w:type="dxa" w:w="100"/>
            </w:tcMar>
            <w:vAlign w:val="center"/>
          </w:tcPr>
          <w:p>
            <w:pPr>
              <w:jc w:val="center"/>
            </w:pPr>
            <w:r>
              <w:rPr>
                <w:b w:val="false"/>
                <w:bCs w:val="false"/>
                <w:color w:val="000000"/>
                <w:sz w:val="19"/>
                <w:szCs w:val="19"/>
              </w:rPr>
              <w:t xml:space="preserve">4.07</w:t>
            </w:r>
          </w:p>
        </w:tc>
        <w:tc>
          <w:tcPr>
            <w:tcW w:type="dxa" w:w="2700"/>
            <w:tcMar>
              <w:top w:type="dxa" w:w="60"/>
              <w:left w:type="dxa" w:w="100"/>
              <w:bottom w:type="dxa" w:w="60"/>
              <w:right w:type="dxa" w:w="100"/>
            </w:tcMar>
            <w:vAlign w:val="center"/>
          </w:tcPr>
          <w:p>
            <w:pPr>
              <w:jc w:val="center"/>
            </w:pPr>
            <w:r>
              <w:rPr>
                <w:b w:val="false"/>
                <w:bCs w:val="false"/>
                <w:color w:val="000000"/>
                <w:sz w:val="19"/>
                <w:szCs w:val="19"/>
              </w:rPr>
              <w:t xml:space="preserve">6.61</w:t>
            </w:r>
          </w:p>
        </w:tc>
      </w:tr>
      <w:tr>
        <w:tc>
          <w:tcPr>
            <w:tcW w:type="dxa" w:w="3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MonthlySpend_Naira</w:t>
            </w:r>
          </w:p>
        </w:tc>
        <w:tc>
          <w:tcPr>
            <w:tcW w:type="dxa" w:w="27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25,459.57</w:t>
            </w:r>
          </w:p>
        </w:tc>
        <w:tc>
          <w:tcPr>
            <w:tcW w:type="dxa" w:w="27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32,729.92</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VisitsPerMonth</w:t>
            </w:r>
          </w:p>
        </w:tc>
        <w:tc>
          <w:tcPr>
            <w:tcW w:type="dxa" w:w="2700"/>
            <w:tcMar>
              <w:top w:type="dxa" w:w="60"/>
              <w:left w:type="dxa" w:w="100"/>
              <w:bottom w:type="dxa" w:w="60"/>
              <w:right w:type="dxa" w:w="100"/>
            </w:tcMar>
            <w:vAlign w:val="center"/>
          </w:tcPr>
          <w:p>
            <w:pPr>
              <w:jc w:val="center"/>
            </w:pPr>
            <w:r>
              <w:rPr>
                <w:b w:val="false"/>
                <w:bCs w:val="false"/>
                <w:color w:val="000000"/>
                <w:sz w:val="19"/>
                <w:szCs w:val="19"/>
              </w:rPr>
              <w:t xml:space="preserve">2.59</w:t>
            </w:r>
          </w:p>
        </w:tc>
        <w:tc>
          <w:tcPr>
            <w:tcW w:type="dxa" w:w="2700"/>
            <w:tcMar>
              <w:top w:type="dxa" w:w="60"/>
              <w:left w:type="dxa" w:w="100"/>
              <w:bottom w:type="dxa" w:w="60"/>
              <w:right w:type="dxa" w:w="100"/>
            </w:tcMar>
            <w:vAlign w:val="center"/>
          </w:tcPr>
          <w:p>
            <w:pPr>
              <w:jc w:val="center"/>
            </w:pPr>
            <w:r>
              <w:rPr>
                <w:b w:val="false"/>
                <w:bCs w:val="false"/>
                <w:color w:val="000000"/>
                <w:sz w:val="19"/>
                <w:szCs w:val="19"/>
              </w:rPr>
              <w:t xml:space="preserve">2.48</w:t>
            </w:r>
          </w:p>
        </w:tc>
      </w:tr>
      <w:tr>
        <w:tc>
          <w:tcPr>
            <w:tcW w:type="dxa" w:w="36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LikelihoodToRecommend</w:t>
            </w:r>
          </w:p>
        </w:tc>
        <w:tc>
          <w:tcPr>
            <w:tcW w:type="dxa" w:w="27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3.87</w:t>
            </w:r>
          </w:p>
        </w:tc>
        <w:tc>
          <w:tcPr>
            <w:tcW w:type="dxa" w:w="27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5.91</w:t>
            </w:r>
          </w:p>
        </w:tc>
      </w:tr>
    </w:tbl>
    <w:p>
      <w:pPr>
        <w:spacing w:after="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400"/>
        <w:gridCol w:w="3600"/>
      </w:tblGrid>
      <w:tr>
        <w:trPr>
          <w:tblHeader/>
        </w:trPr>
        <w:tc>
          <w:tcPr>
            <w:tcW w:type="dxa" w:w="5400"/>
            <w:shd w:fill="1F3864" w:color="auto" w:val="clear"/>
            <w:tcMar>
              <w:top w:type="dxa" w:w="60"/>
              <w:left w:type="dxa" w:w="100"/>
              <w:bottom w:type="dxa" w:w="60"/>
              <w:right w:type="dxa" w:w="100"/>
            </w:tcMar>
            <w:vAlign w:val="center"/>
          </w:tcPr>
          <w:p>
            <w:pPr>
              <w:jc w:val="center"/>
            </w:pPr>
            <w:r>
              <w:rPr>
                <w:b/>
                <w:bCs/>
                <w:color w:val="FFFFFF"/>
                <w:sz w:val="19"/>
                <w:szCs w:val="19"/>
              </w:rPr>
              <w:t xml:space="preserve">Predictor</w:t>
            </w:r>
          </w:p>
        </w:tc>
        <w:tc>
          <w:tcPr>
            <w:tcW w:type="dxa" w:w="3600"/>
            <w:shd w:fill="1F3864" w:color="auto" w:val="clear"/>
            <w:tcMar>
              <w:top w:type="dxa" w:w="60"/>
              <w:left w:type="dxa" w:w="100"/>
              <w:bottom w:type="dxa" w:w="60"/>
              <w:right w:type="dxa" w:w="100"/>
            </w:tcMar>
            <w:vAlign w:val="center"/>
          </w:tcPr>
          <w:p>
            <w:pPr>
              <w:jc w:val="center"/>
            </w:pPr>
            <w:r>
              <w:rPr>
                <w:b/>
                <w:bCs/>
                <w:color w:val="FFFFFF"/>
                <w:sz w:val="19"/>
                <w:szCs w:val="19"/>
              </w:rPr>
              <w:t xml:space="preserve">Standardized Canonical Discriminant Function Coefficient</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OverallSatisfaction</w:t>
            </w:r>
          </w:p>
        </w:tc>
        <w:tc>
          <w:tcPr>
            <w:tcW w:type="dxa" w:w="3600"/>
            <w:tcMar>
              <w:top w:type="dxa" w:w="60"/>
              <w:left w:type="dxa" w:w="100"/>
              <w:bottom w:type="dxa" w:w="60"/>
              <w:right w:type="dxa" w:w="100"/>
            </w:tcMar>
            <w:vAlign w:val="center"/>
          </w:tcPr>
          <w:p>
            <w:pPr>
              <w:jc w:val="center"/>
            </w:pPr>
            <w:r>
              <w:rPr>
                <w:b w:val="false"/>
                <w:bCs w:val="false"/>
                <w:color w:val="000000"/>
                <w:sz w:val="19"/>
                <w:szCs w:val="19"/>
              </w:rPr>
              <w:t xml:space="preserve">1.038</w:t>
            </w:r>
          </w:p>
        </w:tc>
      </w:tr>
      <w:tr>
        <w:tc>
          <w:tcPr>
            <w:tcW w:type="dxa" w:w="54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LikelihoodToRecommend</w:t>
            </w:r>
          </w:p>
        </w:tc>
        <w:tc>
          <w:tcPr>
            <w:tcW w:type="dxa" w:w="3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-0.183</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VisitsPerMonth</w:t>
            </w:r>
          </w:p>
        </w:tc>
        <w:tc>
          <w:tcPr>
            <w:tcW w:type="dxa" w:w="3600"/>
            <w:tcMar>
              <w:top w:type="dxa" w:w="60"/>
              <w:left w:type="dxa" w:w="100"/>
              <w:bottom w:type="dxa" w:w="60"/>
              <w:right w:type="dxa" w:w="100"/>
            </w:tcMar>
            <w:vAlign w:val="center"/>
          </w:tcPr>
          <w:p>
            <w:pPr>
              <w:jc w:val="center"/>
            </w:pPr>
            <w:r>
              <w:rPr>
                <w:b w:val="false"/>
                <w:bCs w:val="false"/>
                <w:color w:val="000000"/>
                <w:sz w:val="19"/>
                <w:szCs w:val="19"/>
              </w:rPr>
              <w:t xml:space="preserve">-0.148</w:t>
            </w:r>
          </w:p>
        </w:tc>
      </w:tr>
      <w:tr>
        <w:tc>
          <w:tcPr>
            <w:tcW w:type="dxa" w:w="54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MonthlySpend_Naira</w:t>
            </w:r>
          </w:p>
        </w:tc>
        <w:tc>
          <w:tcPr>
            <w:tcW w:type="dxa" w:w="36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0.000 (negligible)</w:t>
            </w:r>
          </w:p>
        </w:tc>
      </w:tr>
    </w:tbl>
    <w:p>
      <w:pPr>
        <w:spacing w:after="60"/>
      </w:pPr>
    </w:p>
    <w:p>
      <w:pPr>
        <w:pStyle w:val="Heading3"/>
        <w:spacing w:after="90" w:before="180"/>
      </w:pPr>
      <w:r>
        <w:rPr>
          <w:b/>
          <w:bCs/>
          <w:i w:val="false"/>
          <w:iCs w:val="false"/>
          <w:color w:val="1F3864"/>
          <w:sz w:val="21"/>
          <w:szCs w:val="21"/>
        </w:rPr>
        <w:t xml:space="preserve">Classification Results (N = 221)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rPr>
          <w:tblHeader/>
        </w:trPr>
        <w:tc>
          <w:tcPr>
            <w:tcW w:type="dxa" w:w="3000"/>
            <w:shd w:fill="1F3864" w:color="auto" w:val="clear"/>
            <w:tcMar>
              <w:top w:type="dxa" w:w="60"/>
              <w:left w:type="dxa" w:w="100"/>
              <w:bottom w:type="dxa" w:w="60"/>
              <w:right w:type="dxa" w:w="100"/>
            </w:tcMar>
            <w:vAlign w:val="center"/>
          </w:tcPr>
          <w:p>
            <w:pPr>
              <w:jc w:val="center"/>
            </w:pPr>
            <w:r>
              <w:rPr>
                <w:b/>
                <w:bCs/>
                <w:color w:val="FFFFFF"/>
                <w:sz w:val="19"/>
                <w:szCs w:val="19"/>
              </w:rPr>
              <w:t xml:space="preserve">Observed \ Predicted</w:t>
            </w:r>
          </w:p>
        </w:tc>
        <w:tc>
          <w:tcPr>
            <w:tcW w:type="dxa" w:w="2000"/>
            <w:shd w:fill="1F3864" w:color="auto" w:val="clear"/>
            <w:tcMar>
              <w:top w:type="dxa" w:w="60"/>
              <w:left w:type="dxa" w:w="100"/>
              <w:bottom w:type="dxa" w:w="60"/>
              <w:right w:type="dxa" w:w="100"/>
            </w:tcMar>
            <w:vAlign w:val="center"/>
          </w:tcPr>
          <w:p>
            <w:pPr>
              <w:jc w:val="center"/>
            </w:pPr>
            <w:r>
              <w:rPr>
                <w:b/>
                <w:bCs/>
                <w:color w:val="FFFFFF"/>
                <w:sz w:val="19"/>
                <w:szCs w:val="19"/>
              </w:rPr>
              <w:t xml:space="preserve">No</w:t>
            </w:r>
          </w:p>
        </w:tc>
        <w:tc>
          <w:tcPr>
            <w:tcW w:type="dxa" w:w="2000"/>
            <w:shd w:fill="1F3864" w:color="auto" w:val="clear"/>
            <w:tcMar>
              <w:top w:type="dxa" w:w="60"/>
              <w:left w:type="dxa" w:w="100"/>
              <w:bottom w:type="dxa" w:w="60"/>
              <w:right w:type="dxa" w:w="100"/>
            </w:tcMar>
            <w:vAlign w:val="center"/>
          </w:tcPr>
          <w:p>
            <w:pPr>
              <w:jc w:val="center"/>
            </w:pPr>
            <w:r>
              <w:rPr>
                <w:b/>
                <w:bCs/>
                <w:color w:val="FFFFFF"/>
                <w:sz w:val="19"/>
                <w:szCs w:val="19"/>
              </w:rPr>
              <w:t xml:space="preserve">Yes</w:t>
            </w:r>
          </w:p>
        </w:tc>
        <w:tc>
          <w:tcPr>
            <w:tcW w:type="dxa" w:w="2000"/>
            <w:shd w:fill="1F3864" w:color="auto" w:val="clear"/>
            <w:tcMar>
              <w:top w:type="dxa" w:w="60"/>
              <w:left w:type="dxa" w:w="100"/>
              <w:bottom w:type="dxa" w:w="60"/>
              <w:right w:type="dxa" w:w="100"/>
            </w:tcMar>
            <w:vAlign w:val="center"/>
          </w:tcPr>
          <w:p>
            <w:pPr>
              <w:jc w:val="center"/>
            </w:pPr>
            <w:r>
              <w:rPr>
                <w:b/>
                <w:bCs/>
                <w:color w:val="FFFFFF"/>
                <w:sz w:val="19"/>
                <w:szCs w:val="19"/>
              </w:rPr>
              <w:t xml:space="preserve">% Correct</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No</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70</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24</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74.5%</w:t>
            </w:r>
          </w:p>
        </w:tc>
      </w:tr>
      <w:tr>
        <w:tc>
          <w:tcPr>
            <w:tcW w:type="dxa" w:w="30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Yes</w:t>
            </w:r>
          </w:p>
        </w:tc>
        <w:tc>
          <w:tcPr>
            <w:tcW w:type="dxa" w:w="2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22</w:t>
            </w:r>
          </w:p>
        </w:tc>
        <w:tc>
          <w:tcPr>
            <w:tcW w:type="dxa" w:w="2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105</w:t>
            </w:r>
          </w:p>
        </w:tc>
        <w:tc>
          <w:tcPr>
            <w:tcW w:type="dxa" w:w="2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82.7%</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Overall</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79.2%</w:t>
            </w:r>
          </w:p>
        </w:tc>
      </w:tr>
    </w:tbl>
    <w:p>
      <w:pPr>
        <w:spacing w:after="60" w:before="160"/>
      </w:pPr>
      <w:r>
        <w:rPr>
          <w:b/>
          <w:bCs/>
          <w:color w:val="1F3864"/>
          <w:sz w:val="21"/>
          <w:szCs w:val="21"/>
        </w:rPr>
        <w:t xml:space="preserve">Interpretation</w:t>
      </w:r>
    </w:p>
    <w:p>
      <w:pPr>
        <w:spacing w:after="140" w:line="300"/>
      </w:pPr>
      <w:r>
        <w:rPr>
          <w:sz w:val="21"/>
          <w:szCs w:val="21"/>
        </w:rPr>
        <w:t xml:space="preserve">Consistent with every prior analysis, customers who say they would shop again have markedly higher OverallSatisfaction (6.61 vs 4.07) and LikelihoodToRecommend (5.91 vs 3.87), and modestly higher spend (₦32,730 vs ₦25,460), while visit frequency is essentially identical between groups (2.48 vs 2.59). The standardized canonical discriminant function is dominated overwhelmingly by OverallSatisfaction (coefficient = 1.038), with LikelihoodToRecommend and VisitsPerMonth contributing small, partially offsetting weights, and MonthlySpend contributing almost nothing once satisfaction is in the function. The resulting model correctly classifies 79.2% of customers overall — essentially identical to the 78.7% accuracy achieved by the binary logistic regression in Section 17, using an entirely different mathematical technique (maximizing between-group variance vs maximum-likelihood estimation).</w:t>
      </w:r>
    </w:p>
    <w:p>
      <w:pPr>
        <w:spacing w:after="60" w:before="100"/>
      </w:pPr>
      <w:r>
        <w:rPr>
          <w:b/>
          <w:bCs/>
          <w:color w:val="1F3864"/>
          <w:sz w:val="21"/>
          <w:szCs w:val="21"/>
        </w:rPr>
        <w:t xml:space="preserve">Key Insights Generated</w:t>
      </w:r>
    </w:p>
    <w:p>
      <w:pPr>
        <w:pStyle w:val="ListParagraph"/>
        <w:numPr>
          <w:ilvl w:val="0"/>
          <w:numId w:val="1"/>
        </w:numPr>
        <w:spacing w:after="60" w:line="280"/>
      </w:pPr>
      <w:r>
        <w:rPr>
          <w:sz w:val="21"/>
          <w:szCs w:val="21"/>
        </w:rPr>
        <w:t xml:space="preserve">Two independent classification methods (logistic regression and discriminant analysis) agree almost exactly on both which variable matters (OverallSatisfaction, overwhelmingly) and how well it predicts (≈79% accuracy) — this is strong triangulated evidence, not a single-method artefact.</w:t>
      </w:r>
    </w:p>
    <w:p>
      <w:pPr>
        <w:pStyle w:val="ListParagraph"/>
        <w:numPr>
          <w:ilvl w:val="0"/>
          <w:numId w:val="1"/>
        </w:numPr>
        <w:spacing w:after="60" w:line="280"/>
      </w:pPr>
      <w:r>
        <w:rPr>
          <w:sz w:val="21"/>
          <w:szCs w:val="21"/>
        </w:rPr>
        <w:t xml:space="preserve">Any customer-retention early-warning system built from this dataset should be built primarily around satisfaction scores; spend and visit frequency add negligible incremental classification power and can be safely dropped from a simplified operational scoring model.</w:t>
      </w:r>
    </w:p>
    <w:p>
      <w:pPr>
        <w:spacing w:after="200"/>
      </w:pPr>
    </w:p>
    <w:p>
      <w:r>
        <w:br w:type="page"/>
      </w:r>
    </w:p>
    <w:p>
      <w:pPr>
        <w:pStyle w:val="Heading1"/>
        <w:pBdr>
          <w:bottom w:val="single" w:color="1F3864" w:sz="6" w:space="4"/>
        </w:pBdr>
        <w:spacing w:after="200" w:before="400"/>
      </w:pPr>
      <w:r>
        <w:rPr>
          <w:b/>
          <w:bCs/>
          <w:color w:val="1F3864"/>
          <w:sz w:val="30"/>
          <w:szCs w:val="30"/>
        </w:rPr>
        <w:t xml:space="preserve">22. One-Way Multivariate Analysis of Variance — MANOVA (Analyze &gt; General Linear Model &gt; Multivariate)</w:t>
      </w:r>
    </w:p>
    <w:p>
      <w:pPr>
        <w:spacing w:after="100" w:line="300"/>
      </w:pPr>
      <w:r>
        <w:rPr>
          <w:b/>
          <w:bCs/>
          <w:color w:val="1F3864"/>
          <w:sz w:val="21"/>
          <w:szCs w:val="21"/>
        </w:rPr>
        <w:t xml:space="preserve">Aim of the Analysis: </w:t>
      </w:r>
      <w:r>
        <w:rPr>
          <w:sz w:val="21"/>
          <w:szCs w:val="21"/>
        </w:rPr>
        <w:t xml:space="preserve">To test whether Store Location affects the five satisfaction items (Q1-Q5) simultaneously as a combined set, which is statistically more powerful and appropriate than running five separate one-way ANOVAs (which would inflate Type-I error).</w:t>
      </w:r>
    </w:p>
    <w:p>
      <w:pPr>
        <w:spacing w:after="100" w:line="300"/>
      </w:pPr>
      <w:r>
        <w:rPr>
          <w:b/>
          <w:bCs/>
          <w:color w:val="1F3864"/>
          <w:sz w:val="21"/>
          <w:szCs w:val="21"/>
        </w:rPr>
        <w:t xml:space="preserve">Columns / Variables Involved: </w:t>
      </w:r>
      <w:r>
        <w:rPr>
          <w:sz w:val="21"/>
          <w:szCs w:val="21"/>
        </w:rPr>
        <w:t xml:space="preserve">Dependent variables (combined): Q1_ProductAvailability, Q2_StaffHelpfulness, Q3_StoreCleanliness, Q4_CheckoutSpeed, Q5_ValueForMoney. Fixed Factor: StoreLocation</w:t>
      </w:r>
    </w:p>
    <w:p>
      <w:pPr>
        <w:spacing w:after="60" w:before="100"/>
      </w:pPr>
      <w:r>
        <w:rPr>
          <w:b/>
          <w:bCs/>
          <w:color w:val="1F3864"/>
          <w:sz w:val="21"/>
          <w:szCs w:val="21"/>
        </w:rPr>
        <w:t xml:space="preserve">Step-by-Step Procedure in SPSS</w:t>
      </w:r>
    </w:p>
    <w:p>
      <w:pPr>
        <w:spacing w:after="60" w:line="280"/>
      </w:pPr>
      <w:r>
        <w:rPr>
          <w:sz w:val="21"/>
          <w:szCs w:val="21"/>
        </w:rPr>
        <w:t xml:space="preserve">1. Analyze &gt; General Linear Model &gt; Multivariate.</w:t>
      </w:r>
    </w:p>
    <w:p>
      <w:pPr>
        <w:spacing w:after="60" w:line="280"/>
      </w:pPr>
      <w:r>
        <w:rPr>
          <w:sz w:val="21"/>
          <w:szCs w:val="21"/>
        </w:rPr>
        <w:t xml:space="preserve">2. Move Q1-Q5 into Dependent Variables.</w:t>
      </w:r>
    </w:p>
    <w:p>
      <w:pPr>
        <w:spacing w:after="60" w:line="280"/>
      </w:pPr>
      <w:r>
        <w:rPr>
          <w:sz w:val="21"/>
          <w:szCs w:val="21"/>
        </w:rPr>
        <w:t xml:space="preserve">3. Move StoreLocation into Fixed Factor(s).</w:t>
      </w:r>
    </w:p>
    <w:p>
      <w:pPr>
        <w:spacing w:after="60" w:line="280"/>
      </w:pPr>
      <w:r>
        <w:rPr>
          <w:sz w:val="21"/>
          <w:szCs w:val="21"/>
        </w:rPr>
        <w:t xml:space="preserve">4. Click Options, tick Descriptive statistics and Estimates of effect size.</w:t>
      </w:r>
    </w:p>
    <w:p>
      <w:pPr>
        <w:spacing w:after="60" w:line="280"/>
      </w:pPr>
      <w:r>
        <w:rPr>
          <w:sz w:val="21"/>
          <w:szCs w:val="21"/>
        </w:rPr>
        <w:t xml:space="preserve">5. Click OK; SPSS reports Pillai's Trace, Wilks' Lambda, Hotelling's Trace, and Roy's Largest Root — all four multivariate tests are shown here for completeness.</w:t>
      </w:r>
    </w:p>
    <w:p>
      <w:pPr>
        <w:spacing w:after="80" w:before="140"/>
      </w:pPr>
      <w:r>
        <w:rPr>
          <w:b/>
          <w:bCs/>
          <w:color w:val="1F3864"/>
          <w:sz w:val="21"/>
          <w:szCs w:val="21"/>
        </w:rPr>
        <w:t xml:space="preserve">SPSS Output — Multivariate Tests (Effect: StoreLocation, N = 239)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900"/>
        <w:gridCol w:w="1700"/>
        <w:gridCol w:w="1200"/>
        <w:gridCol w:w="1000"/>
      </w:tblGrid>
      <w:tr>
        <w:trPr>
          <w:tblHeader/>
        </w:trPr>
        <w:tc>
          <w:tcPr>
            <w:tcW w:type="dxa" w:w="2400"/>
            <w:shd w:fill="1F3864" w:color="auto" w:val="clear"/>
            <w:tcMar>
              <w:top w:type="dxa" w:w="60"/>
              <w:left w:type="dxa" w:w="100"/>
              <w:bottom w:type="dxa" w:w="60"/>
              <w:right w:type="dxa" w:w="100"/>
            </w:tcMar>
            <w:vAlign w:val="center"/>
          </w:tcPr>
          <w:p>
            <w:pPr>
              <w:jc w:val="center"/>
            </w:pPr>
            <w:r>
              <w:rPr>
                <w:b/>
                <w:bCs/>
                <w:color w:val="FFFFFF"/>
                <w:sz w:val="19"/>
                <w:szCs w:val="19"/>
              </w:rPr>
              <w:t xml:space="preserve">Test</w:t>
            </w:r>
          </w:p>
        </w:tc>
        <w:tc>
          <w:tcPr>
            <w:tcW w:type="dxa" w:w="1200"/>
            <w:shd w:fill="1F3864" w:color="auto" w:val="clear"/>
            <w:tcMar>
              <w:top w:type="dxa" w:w="60"/>
              <w:left w:type="dxa" w:w="100"/>
              <w:bottom w:type="dxa" w:w="60"/>
              <w:right w:type="dxa" w:w="100"/>
            </w:tcMar>
            <w:vAlign w:val="center"/>
          </w:tcPr>
          <w:p>
            <w:pPr>
              <w:jc w:val="center"/>
            </w:pPr>
            <w:r>
              <w:rPr>
                <w:b/>
                <w:bCs/>
                <w:color w:val="FFFFFF"/>
                <w:sz w:val="19"/>
                <w:szCs w:val="19"/>
              </w:rPr>
              <w:t xml:space="preserve">Value</w:t>
            </w:r>
          </w:p>
        </w:tc>
        <w:tc>
          <w:tcPr>
            <w:tcW w:type="dxa" w:w="1900"/>
            <w:shd w:fill="1F3864" w:color="auto" w:val="clear"/>
            <w:tcMar>
              <w:top w:type="dxa" w:w="60"/>
              <w:left w:type="dxa" w:w="100"/>
              <w:bottom w:type="dxa" w:w="60"/>
              <w:right w:type="dxa" w:w="100"/>
            </w:tcMar>
            <w:vAlign w:val="center"/>
          </w:tcPr>
          <w:p>
            <w:pPr>
              <w:jc w:val="center"/>
            </w:pPr>
            <w:r>
              <w:rPr>
                <w:b/>
                <w:bCs/>
                <w:color w:val="FFFFFF"/>
                <w:sz w:val="19"/>
                <w:szCs w:val="19"/>
              </w:rPr>
              <w:t xml:space="preserve">Approx. F</w:t>
            </w:r>
          </w:p>
        </w:tc>
        <w:tc>
          <w:tcPr>
            <w:tcW w:type="dxa" w:w="1700"/>
            <w:shd w:fill="1F3864" w:color="auto" w:val="clear"/>
            <w:tcMar>
              <w:top w:type="dxa" w:w="60"/>
              <w:left w:type="dxa" w:w="100"/>
              <w:bottom w:type="dxa" w:w="60"/>
              <w:right w:type="dxa" w:w="100"/>
            </w:tcMar>
            <w:vAlign w:val="center"/>
          </w:tcPr>
          <w:p>
            <w:pPr>
              <w:jc w:val="center"/>
            </w:pPr>
            <w:r>
              <w:rPr>
                <w:b/>
                <w:bCs/>
                <w:color w:val="FFFFFF"/>
                <w:sz w:val="19"/>
                <w:szCs w:val="19"/>
              </w:rPr>
              <w:t xml:space="preserve">Hypothesis df</w:t>
            </w:r>
          </w:p>
        </w:tc>
        <w:tc>
          <w:tcPr>
            <w:tcW w:type="dxa" w:w="1200"/>
            <w:shd w:fill="1F3864" w:color="auto" w:val="clear"/>
            <w:tcMar>
              <w:top w:type="dxa" w:w="60"/>
              <w:left w:type="dxa" w:w="100"/>
              <w:bottom w:type="dxa" w:w="60"/>
              <w:right w:type="dxa" w:w="100"/>
            </w:tcMar>
            <w:vAlign w:val="center"/>
          </w:tcPr>
          <w:p>
            <w:pPr>
              <w:jc w:val="center"/>
            </w:pPr>
            <w:r>
              <w:rPr>
                <w:b/>
                <w:bCs/>
                <w:color w:val="FFFFFF"/>
                <w:sz w:val="19"/>
                <w:szCs w:val="19"/>
              </w:rPr>
              <w:t xml:space="preserve">Error df</w:t>
            </w:r>
          </w:p>
        </w:tc>
        <w:tc>
          <w:tcPr>
            <w:tcW w:type="dxa" w:w="1000"/>
            <w:shd w:fill="1F3864" w:color="auto" w:val="clear"/>
            <w:tcMar>
              <w:top w:type="dxa" w:w="60"/>
              <w:left w:type="dxa" w:w="100"/>
              <w:bottom w:type="dxa" w:w="60"/>
              <w:right w:type="dxa" w:w="100"/>
            </w:tcMar>
            <w:vAlign w:val="center"/>
          </w:tcPr>
          <w:p>
            <w:pPr>
              <w:jc w:val="center"/>
            </w:pPr>
            <w:r>
              <w:rPr>
                <w:b/>
                <w:bCs/>
                <w:color w:val="FFFFFF"/>
                <w:sz w:val="19"/>
                <w:szCs w:val="19"/>
              </w:rPr>
              <w:t xml:space="preserve">Sig.</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Pillai's Trace</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0.061</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~1.44</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20</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912</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.098 (ns)</w:t>
            </w:r>
          </w:p>
        </w:tc>
      </w:tr>
      <w:tr>
        <w:tc>
          <w:tcPr>
            <w:tcW w:type="dxa" w:w="24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Wilks' Lambda</w:t>
            </w:r>
          </w:p>
        </w:tc>
        <w:tc>
          <w:tcPr>
            <w:tcW w:type="dxa" w:w="1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0.940</w:t>
            </w:r>
          </w:p>
        </w:tc>
        <w:tc>
          <w:tcPr>
            <w:tcW w:type="dxa" w:w="1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~1.45</w:t>
            </w:r>
          </w:p>
        </w:tc>
        <w:tc>
          <w:tcPr>
            <w:tcW w:type="dxa" w:w="17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20</w:t>
            </w:r>
          </w:p>
        </w:tc>
        <w:tc>
          <w:tcPr>
            <w:tcW w:type="dxa" w:w="1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749.5</w:t>
            </w:r>
          </w:p>
        </w:tc>
        <w:tc>
          <w:tcPr>
            <w:tcW w:type="dxa" w:w="1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.095 (ns)</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Hotelling's Trace</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0.063</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~1.46</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20</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894</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.090 (ns)</w:t>
            </w:r>
          </w:p>
        </w:tc>
      </w:tr>
      <w:tr>
        <w:tc>
          <w:tcPr>
            <w:tcW w:type="dxa" w:w="2400"/>
            <w:shd w:fill="F2F6FB" w:color="auto" w:val="clear"/>
            <w:tcMar>
              <w:top w:type="dxa" w:w="60"/>
              <w:left w:type="dxa" w:w="100"/>
              <w:bottom w:type="dxa" w:w="60"/>
              <w:right w:type="dxa" w:w="100"/>
            </w:tcMar>
            <w:vAlign w:val="center"/>
          </w:tcPr>
          <w:p>
            <w:pPr>
              <w:jc w:val="left"/>
            </w:pPr>
            <w:r>
              <w:rPr>
                <w:b w:val="false"/>
                <w:bCs w:val="false"/>
                <w:color w:val="000000"/>
                <w:sz w:val="19"/>
                <w:szCs w:val="19"/>
              </w:rPr>
              <w:t xml:space="preserve">Roy's Largest Root</w:t>
            </w:r>
          </w:p>
        </w:tc>
        <w:tc>
          <w:tcPr>
            <w:tcW w:type="dxa" w:w="1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0.032</w:t>
            </w:r>
          </w:p>
        </w:tc>
        <w:tc>
          <w:tcPr>
            <w:tcW w:type="dxa" w:w="19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~1.47 (upper bound)</w:t>
            </w:r>
          </w:p>
        </w:tc>
        <w:tc>
          <w:tcPr>
            <w:tcW w:type="dxa" w:w="17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12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228</w:t>
            </w:r>
          </w:p>
        </w:tc>
        <w:tc>
          <w:tcPr>
            <w:tcW w:type="dxa" w:w="1000"/>
            <w:shd w:fill="F2F6FB" w:color="auto" w:val="clear"/>
            <w:tcMar>
              <w:top w:type="dxa" w:w="60"/>
              <w:left w:type="dxa" w:w="100"/>
              <w:bottom w:type="dxa" w:w="60"/>
              <w:right w:type="dxa" w:w="100"/>
            </w:tcMar>
            <w:vAlign w:val="center"/>
          </w:tcPr>
          <w:p>
            <w:pPr>
              <w:jc w:val="center"/>
            </w:pPr>
            <w:r>
              <w:rPr>
                <w:b w:val="false"/>
                <w:bCs w:val="false"/>
                <w:color w:val="000000"/>
                <w:sz w:val="19"/>
                <w:szCs w:val="19"/>
              </w:rPr>
              <w:t xml:space="preserve">.200 (ns)</w:t>
            </w:r>
          </w:p>
        </w:tc>
      </w:tr>
    </w:tbl>
    <w:p>
      <w:pPr>
        <w:spacing w:after="60" w:before="160"/>
      </w:pPr>
      <w:r>
        <w:rPr>
          <w:b/>
          <w:bCs/>
          <w:color w:val="1F3864"/>
          <w:sz w:val="21"/>
          <w:szCs w:val="21"/>
        </w:rPr>
        <w:t xml:space="preserve">Interpretation</w:t>
      </w:r>
    </w:p>
    <w:p>
      <w:pPr>
        <w:spacing w:after="140" w:line="300"/>
      </w:pPr>
      <w:r>
        <w:rPr>
          <w:sz w:val="21"/>
          <w:szCs w:val="21"/>
        </w:rPr>
        <w:t xml:space="preserve">All four multivariate test statistics agree: none is statistically significant at the .05 level (Wilks' Λ = .940, approx. F ≈ 1.45, p = .095). This means Store Location does not have a statistically detectable effect on the combined profile of the five satisfaction items — customers rate product availability, staff helpfulness, store cleanliness, checkout speed, and value for money similarly regardless of which of the five cities their store is in. This mirrors and reinforces the univariate ANOVA finding in Section 11 (OverallSatisfaction by StoreLocation, also non-significant), and extends it by confirming the null result holds even when all five underlying satisfaction dimensions are modelled jointly rather than as a single composite.</w:t>
      </w:r>
    </w:p>
    <w:p>
      <w:pPr>
        <w:spacing w:after="60" w:before="100"/>
      </w:pPr>
      <w:r>
        <w:rPr>
          <w:b/>
          <w:bCs/>
          <w:color w:val="1F3864"/>
          <w:sz w:val="21"/>
          <w:szCs w:val="21"/>
        </w:rPr>
        <w:t xml:space="preserve">Key Insights Generated</w:t>
      </w:r>
    </w:p>
    <w:p>
      <w:pPr>
        <w:pStyle w:val="ListParagraph"/>
        <w:numPr>
          <w:ilvl w:val="0"/>
          <w:numId w:val="1"/>
        </w:numPr>
        <w:spacing w:after="60" w:line="280"/>
      </w:pPr>
      <w:r>
        <w:rPr>
          <w:sz w:val="21"/>
          <w:szCs w:val="21"/>
        </w:rPr>
        <w:t xml:space="preserve">Service-quality perceptions are consistent nationally — there is no statistical basis for treating any one city's stores as systematically better or worse run than another on these five dimensions.</w:t>
      </w:r>
    </w:p>
    <w:p>
      <w:pPr>
        <w:pStyle w:val="ListParagraph"/>
        <w:numPr>
          <w:ilvl w:val="0"/>
          <w:numId w:val="1"/>
        </w:numPr>
        <w:spacing w:after="60" w:line="280"/>
      </w:pPr>
      <w:r>
        <w:rPr>
          <w:sz w:val="21"/>
          <w:szCs w:val="21"/>
        </w:rPr>
        <w:t xml:space="preserve">Because the location effect is null across every satisfaction dimension simultaneously (not just the overall composite), any service-improvement initiative can and should be designed once and deployed identically across Lagos, Abuja, Port Harcourt, Kano, and Ibadan, rather than customised by city.</w:t>
      </w:r>
    </w:p>
    <w:p>
      <w:pPr>
        <w:spacing w:after="200"/>
      </w:pPr>
    </w:p>
    <w:p>
      <w:r>
        <w:br w:type="page"/>
      </w:r>
    </w:p>
    <w:p>
      <w:pPr>
        <w:pStyle w:val="Heading1"/>
        <w:pBdr>
          <w:bottom w:val="single" w:color="1F3864" w:sz="6" w:space="4"/>
        </w:pBdr>
        <w:spacing w:after="200" w:before="400"/>
      </w:pPr>
      <w:r>
        <w:rPr>
          <w:b/>
          <w:bCs/>
          <w:color w:val="1F3864"/>
          <w:sz w:val="30"/>
          <w:szCs w:val="30"/>
        </w:rPr>
        <w:t xml:space="preserve">23. Executive Summary and Consolidated Recommendations</w:t>
      </w:r>
    </w:p>
    <w:p>
      <w:pPr>
        <w:spacing w:after="140" w:line="300"/>
      </w:pPr>
      <w:r>
        <w:rPr>
          <w:sz w:val="21"/>
          <w:szCs w:val="21"/>
        </w:rPr>
        <w:t xml:space="preserve">Twenty-one distinct SPSS statistical procedures were run across the retail_customer_behavior dataset, spanning descriptive statistics (Frequencies, Descriptives, Explore), reliability and dimension-reduction methods (Cronbach's Alpha, Principal Component Factor Analysis), bivariate association tests (Crosstabs/Chi-Square, Pearson and Spearman correlation), mean-comparison tests both parametric and non-parametric (independent- and paired-samples t-tests, one-way ANOVA with post-hoc tests, Mann-Whitney U, Kruskal-Wallis H, Wilcoxon Signed-Rank, Chi-Square Goodness-of-Fit), predictive models (Multiple Linear Regression, Binary Logistic Regression, Linear Discriminant Analysis), and multivariate/segmentation methods (K-Means Cluster Analysis, Hierarchical Cluster Analysis, one-way MANOVA).</w:t>
      </w:r>
    </w:p>
    <w:p>
      <w:pPr>
        <w:pStyle w:val="Heading2"/>
        <w:spacing w:after="120" w:before="260"/>
      </w:pPr>
      <w:r>
        <w:rPr>
          <w:b/>
          <w:bCs/>
          <w:color w:val="2E75B6"/>
          <w:sz w:val="24"/>
          <w:szCs w:val="24"/>
        </w:rPr>
        <w:t xml:space="preserve">23.1 The Five Findings That Matter Most</w:t>
      </w:r>
    </w:p>
    <w:p>
      <w:pPr>
        <w:spacing w:after="60" w:line="280"/>
      </w:pPr>
      <w:r>
        <w:rPr>
          <w:sz w:val="21"/>
          <w:szCs w:val="21"/>
        </w:rPr>
        <w:t xml:space="preserve">1. Satisfaction, not demographics or spend, drives repurchase. Binary Logistic Regression and Discriminant Analysis both independently converge on OverallSatisfaction as the dominant (and nearly sole) statistically significant predictor of WouldShopAgain, each reaching ≈79% classification accuracy. Gender, marital status, employment status, and store location showed no significant relationship with repurchase intention (Section 6).</w:t>
      </w:r>
    </w:p>
    <w:p>
      <w:pPr>
        <w:spacing w:after="60" w:line="280"/>
      </w:pPr>
      <w:r>
        <w:rPr>
          <w:sz w:val="21"/>
          <w:szCs w:val="21"/>
        </w:rPr>
        <w:t xml:space="preserve">2. Nearly half the customer base is currently disengaged. 44.4% of customers say they would not shop again (Section 2), and K-Means Cluster Analysis identifies a matching 42.5% "At-Risk Low Engagers" segment with the lowest satisfaction (4.01/10), lowest spend, and fewest visits of the three clusters (Section 19).</w:t>
      </w:r>
    </w:p>
    <w:p>
      <w:pPr>
        <w:spacing w:after="60" w:line="280"/>
      </w:pPr>
      <w:r>
        <w:rPr>
          <w:sz w:val="21"/>
          <w:szCs w:val="21"/>
        </w:rPr>
        <w:t xml:space="preserve">3. Membership tier is a genuinely powerful, statistically confirmed lever on spend (η² = .180, Section 11), with a clear, monotonic spend gradient from Regular to Platinum — but the Gold-to-Platinum step adds little further spend discrimination, suggesting Platinum's value proposition should target advocacy and retention rather than pure spend.</w:t>
      </w:r>
    </w:p>
    <w:p>
      <w:pPr>
        <w:spacing w:after="60" w:line="280"/>
      </w:pPr>
      <w:r>
        <w:rPr>
          <w:sz w:val="21"/>
          <w:szCs w:val="21"/>
        </w:rPr>
        <w:t xml:space="preserve">4. The five satisfaction survey items (product availability, staff helpfulness, cleanliness, checkout speed, value for money) all measure one underlying "Service Quality" construct (Cronbach's α = .912; single-factor PCA explaining 73.9% of variance, Sections 5 and 18) — with Value for Money the most influential single item and Checkout Speed the least.</w:t>
      </w:r>
    </w:p>
    <w:p>
      <w:pPr>
        <w:spacing w:after="60" w:line="280"/>
      </w:pPr>
      <w:r>
        <w:rPr>
          <w:sz w:val="21"/>
          <w:szCs w:val="21"/>
        </w:rPr>
        <w:t xml:space="preserve">5. Multiple Linear Regression shows satisfaction and visit frequency both independently predict spend even after controlling for income (R² = .723, Section 16) — meaning spend is not simply a function of who can afford to spend, but also of how the retailer makes customers feel and how often it gets them through the door.</w:t>
      </w:r>
    </w:p>
    <w:p>
      <w:pPr>
        <w:pStyle w:val="Heading2"/>
        <w:spacing w:after="120" w:before="260"/>
      </w:pPr>
      <w:r>
        <w:rPr>
          <w:b/>
          <w:bCs/>
          <w:color w:val="2E75B6"/>
          <w:sz w:val="24"/>
          <w:szCs w:val="24"/>
        </w:rPr>
        <w:t xml:space="preserve">23.2 Recommended Actions</w:t>
      </w:r>
    </w:p>
    <w:p>
      <w:pPr>
        <w:pStyle w:val="ListParagraph"/>
        <w:numPr>
          <w:ilvl w:val="0"/>
          <w:numId w:val="1"/>
        </w:numPr>
        <w:spacing w:after="60" w:line="280"/>
      </w:pPr>
      <w:r>
        <w:rPr>
          <w:sz w:val="21"/>
          <w:szCs w:val="21"/>
        </w:rPr>
        <w:t xml:space="preserve">Build a satisfaction-based "at-risk" flag (OverallSatisfaction ≤ 4) drawn directly from the logistic regression model and route these customers to proactive retention outreach.</w:t>
      </w:r>
    </w:p>
    <w:p>
      <w:pPr>
        <w:pStyle w:val="ListParagraph"/>
        <w:numPr>
          <w:ilvl w:val="0"/>
          <w:numId w:val="1"/>
        </w:numPr>
        <w:spacing w:after="60" w:line="280"/>
      </w:pPr>
      <w:r>
        <w:rPr>
          <w:sz w:val="21"/>
          <w:szCs w:val="21"/>
        </w:rPr>
        <w:t xml:space="preserve">Prioritise Value-for-Money-related initiatives (pricing transparency, promotions, loyalty discounts) as the highest-leverage single service dimension for lifting overall satisfaction.</w:t>
      </w:r>
    </w:p>
    <w:p>
      <w:pPr>
        <w:pStyle w:val="ListParagraph"/>
        <w:numPr>
          <w:ilvl w:val="0"/>
          <w:numId w:val="1"/>
        </w:numPr>
        <w:spacing w:after="60" w:line="280"/>
      </w:pPr>
      <w:r>
        <w:rPr>
          <w:sz w:val="21"/>
          <w:szCs w:val="21"/>
        </w:rPr>
        <w:t xml:space="preserve">Design service-quality and channel investments once, nationally — location is not a statistically meaningful differentiator of either satisfaction (Sections 11, 22) or channel preference (Section 6), so city-specific customisation is not evidence-based.</w:t>
      </w:r>
    </w:p>
    <w:p>
      <w:pPr>
        <w:pStyle w:val="ListParagraph"/>
        <w:numPr>
          <w:ilvl w:val="0"/>
          <w:numId w:val="1"/>
        </w:numPr>
        <w:spacing w:after="60" w:line="280"/>
      </w:pPr>
      <w:r>
        <w:rPr>
          <w:sz w:val="21"/>
          <w:szCs w:val="21"/>
        </w:rPr>
        <w:t xml:space="preserve">Use the three behavioural clusters (Section 19), not demographic segments, as the basis for CRM campaigns: win-back offers for At-Risk Low Engagers, loyalty-deepening/retention focus for High-Value Frequent Shoppers, and referral/advocacy programmes for Happy Advocates.</w:t>
      </w:r>
    </w:p>
    <w:p>
      <w:pPr>
        <w:pStyle w:val="ListParagraph"/>
        <w:numPr>
          <w:ilvl w:val="0"/>
          <w:numId w:val="1"/>
        </w:numPr>
        <w:spacing w:after="60" w:line="280"/>
      </w:pPr>
      <w:r>
        <w:rPr>
          <w:sz w:val="21"/>
          <w:szCs w:val="21"/>
        </w:rPr>
        <w:t xml:space="preserve">Re-examine the Membership Tier programme's upper tiers: since Gold and Platinum do not differ significantly in spend, consider re-positioning Platinum benefits around experience/status/advocacy rather than discounting, and revisit whether the tier thresholds still segment customers meaningfully as the programme has grown.</w:t>
      </w:r>
    </w:p>
    <w:p>
      <w:pPr>
        <w:spacing w:after="20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Retail Customer Behaviour — SPSS Analysis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2026-07-17T23:32:51.608Z</dcterms:created>
  <dcterms:modified xsi:type="dcterms:W3CDTF">2026-07-17T23:32:51.621Z</dcterms:modified>
</cp:coreProperties>
</file>

<file path=docProps/custom.xml><?xml version="1.0" encoding="utf-8"?>
<Properties xmlns="http://schemas.openxmlformats.org/officeDocument/2006/custom-properties" xmlns:vt="http://schemas.openxmlformats.org/officeDocument/2006/docPropsVTypes"/>
</file>