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8"/>
          <w:szCs w:val="48"/>
        </w:rPr>
        <w:t xml:space="preserve">UAC FOODS CONSUMER SURVEY</w:t>
      </w:r>
    </w:p>
    <w:p>
      <w:pPr>
        <w:spacing w:after="600"/>
        <w:jc w:val="center"/>
      </w:pPr>
      <w:r>
        <w:rPr>
          <w:b/>
          <w:bCs/>
          <w:i/>
          <w:iCs/>
          <w:color w:val="B8860B"/>
          <w:sz w:val="30"/>
          <w:szCs w:val="30"/>
        </w:rPr>
        <w:t xml:space="preserve">A Comprehensive SPSS Statistical Analysis and Interpretation Report</w:t>
      </w:r>
    </w:p>
    <w:p>
      <w:pPr>
        <w:spacing w:after="100"/>
        <w:jc w:val="center"/>
      </w:pPr>
      <w:r>
        <w:rPr>
          <w:sz w:val="22"/>
          <w:szCs w:val="22"/>
        </w:rPr>
        <w:t xml:space="preserve">Dataset: UAC_Foods_Survey.csv / .xlsx</w:t>
      </w:r>
    </w:p>
    <w:p>
      <w:pPr>
        <w:spacing w:after="100"/>
        <w:jc w:val="center"/>
      </w:pPr>
      <w:r>
        <w:rPr>
          <w:sz w:val="22"/>
          <w:szCs w:val="22"/>
        </w:rPr>
        <w:t xml:space="preserve">Sample Size: N = 250 Respondents</w:t>
      </w:r>
    </w:p>
    <w:p>
      <w:pPr>
        <w:spacing w:after="100"/>
        <w:jc w:val="center"/>
      </w:pPr>
      <w:r>
        <w:rPr>
          <w:sz w:val="22"/>
          <w:szCs w:val="22"/>
        </w:rPr>
        <w:t xml:space="preserve">Prepared for: UAC Foods Nigeria PLC — Product &amp; Consumer Insights Study</w:t>
      </w:r>
    </w:p>
    <w:p>
      <w:pPr>
        <w:spacing w:after="900"/>
        <w:jc w:val="center"/>
      </w:pPr>
      <w:r>
        <w:rPr>
          <w:sz w:val="22"/>
          <w:szCs w:val="22"/>
        </w:rPr>
        <w:t xml:space="preserve">Date: July 2026</w:t>
      </w:r>
    </w:p>
    <w:p>
      <w:pPr>
        <w:jc w:val="center"/>
      </w:pPr>
      <w:r>
        <w:rPr>
          <w:i/>
          <w:iCs/>
          <w:color w:val="555555"/>
          <w:sz w:val="18"/>
          <w:szCs w:val="18"/>
        </w:rPr>
        <w:t xml:space="preserve">Note: All statistical procedures listed follow standard IBM SPSS Statistics menu routes (Analyze &gt; ...). Every output presented below was computed directly from the uploaded dataset using the equivalent statistical algorithms SPSS uses, so the figures reflect this exact dataset rather than illustrative placeholders.</w:t>
      </w:r>
    </w:p>
    <w:p>
      <w:r>
        <w:br w:type="page"/>
      </w:r>
    </w:p>
    <w:p>
      <w:pPr>
        <w:pStyle w:val="Heading1"/>
        <w:pBdr>
          <w:bottom w:val="single" w:color="1F3864" w:sz="8" w:space="4"/>
        </w:pBdr>
        <w:spacing w:after="200" w:before="400"/>
      </w:pPr>
      <w:r>
        <w:rPr>
          <w:b/>
          <w:bCs/>
          <w:color w:val="1F3864"/>
          <w:sz w:val="30"/>
          <w:szCs w:val="30"/>
        </w:rPr>
        <w:t xml:space="preserve">0. Introduction and Dataset Overview</w:t>
      </w:r>
    </w:p>
    <w:p>
      <w:pPr>
        <w:spacing w:after="140" w:line="276"/>
        <w:jc w:val="both"/>
      </w:pPr>
      <w:r>
        <w:rPr>
          <w:sz w:val="21"/>
          <w:szCs w:val="21"/>
        </w:rPr>
        <w:t xml:space="preserve">This report presents a full statistical analysis of the UAC Foods consumer survey dataset, comprising 250 respondents across five product lines (Grand Malt, Supreme Ice Cream, Swan Water, Gala, and Mr Chips) sold in five regions of Nigeria (Lagos, Abuja, Port Harcourt, Ibadan, and Kano). The dataset captures demographic information (Region, Gender, Age, Education, Monthly Income), consumption behaviour (Purchase Frequency, Loyalty Years, Monthly Spend), product-perception ratings on a 5-point Likert scale (Taste, Price, Packaging, Availability, Overall Satisfaction), and a binary outcome (Would Recommend: Yes/No).</w:t>
      </w:r>
    </w:p>
    <w:p>
      <w:pPr>
        <w:spacing w:after="140" w:line="276"/>
        <w:jc w:val="both"/>
      </w:pPr>
      <w:r>
        <w:rPr>
          <w:sz w:val="21"/>
          <w:szCs w:val="21"/>
        </w:rPr>
        <w:t xml:space="preserve">The objective of this report is to reproduce, in full, the suite of statistical analyses available in IBM SPSS Statistics that are applicable to this dataset — covering descriptive, comparative, associative, predictive, and classificatory/data-reduction techniques — and to interpret every output line-by-line so that the findings can directly inform UAC Foods' marketing, pricing, distribution, and product-development decisions.</w:t>
      </w:r>
    </w:p>
    <w:p>
      <w:pPr>
        <w:pStyle w:val="Heading2"/>
        <w:spacing w:after="120" w:before="260"/>
      </w:pPr>
      <w:r>
        <w:rPr>
          <w:b/>
          <w:bCs/>
          <w:color w:val="B8860B"/>
          <w:sz w:val="24"/>
          <w:szCs w:val="24"/>
        </w:rPr>
        <w:t xml:space="preserve">Variables in the Dataset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2200"/>
        <w:gridCol w:w="36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9"/>
                <w:szCs w:val="19"/>
              </w:rPr>
              <w:t xml:space="preserve">#</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Variable Name</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Type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Measurement Level</w:t>
            </w:r>
          </w:p>
        </w:tc>
        <w:tc>
          <w:tcPr>
            <w:tcW w:type="dxa" w:w="3600"/>
            <w:shd w:fill="1F3864" w:val="clear"/>
            <w:tcMar>
              <w:top w:type="dxa" w:w="60"/>
              <w:left w:type="dxa" w:w="100"/>
              <w:bottom w:type="dxa" w:w="60"/>
              <w:right w:type="dxa" w:w="100"/>
            </w:tcMar>
            <w:vAlign w:val="center"/>
          </w:tcPr>
          <w:p>
            <w:pPr>
              <w:jc w:val="center"/>
            </w:pPr>
            <w:r>
              <w:rPr>
                <w:b/>
                <w:bCs/>
                <w:color w:val="FFFFFF"/>
                <w:sz w:val="19"/>
                <w:szCs w:val="19"/>
              </w:rPr>
              <w:t xml:space="preserve">Description</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RespondentID</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 (ID)</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Unique respondent identifier</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Region</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City/region of respondent (5 categories)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Gender</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Male / Female</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Age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Age of respondent in years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Education</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Secondary, OND/HND, Bachelor's, Postgraduate</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Product</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UAC product consumed (5 categories)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MonthlyIncome_NGN000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Monthly income in thousands of Naira</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PurchaseFrequency</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Number of purchases per month</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LoyaltyYears</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Years of brand loyalty</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10</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Taste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Taste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Price</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Price satisfaction rating</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12</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Packaging</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Packaging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Availability</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Availability rating</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OverallSatisfaction</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Ordinal (Likert 1-5)</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Overall satisfaction rating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15</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MonthlySpend_NGN</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Numeric</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Monthly spend on the product in Naira</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16</w:t>
            </w:r>
          </w:p>
        </w:tc>
        <w:tc>
          <w:tcPr>
            <w:tcW w:type="dxa" w:w="2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WouldRecommend</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String</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Nominal (binary)</w:t>
            </w:r>
          </w:p>
        </w:tc>
        <w:tc>
          <w:tcPr>
            <w:tcW w:type="dxa" w:w="3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Yes / No</w:t>
            </w:r>
          </w:p>
        </w:tc>
      </w:tr>
    </w:tbl>
    <w:p>
      <w:pPr>
        <w:spacing w:after="160" w:before="100"/>
      </w:pPr>
      <w:r>
        <w:rPr>
          <w:i/>
          <w:iCs/>
          <w:color w:val="555555"/>
          <w:sz w:val="19"/>
          <w:szCs w:val="19"/>
        </w:rPr>
        <w:t xml:space="preserve">Table 0.1 — Variable dictionary for the UAC Foods survey dataset.</w:t>
      </w:r>
    </w:p>
    <w:p>
      <w:pPr>
        <w:pStyle w:val="Heading2"/>
        <w:spacing w:after="120" w:before="260"/>
      </w:pPr>
      <w:r>
        <w:rPr>
          <w:b/>
          <w:bCs/>
          <w:color w:val="B8860B"/>
          <w:sz w:val="24"/>
          <w:szCs w:val="24"/>
        </w:rPr>
        <w:t xml:space="preserve">How This Report Is Organised</w:t>
      </w:r>
    </w:p>
    <w:p>
      <w:pPr>
        <w:spacing w:after="140" w:line="276"/>
        <w:jc w:val="both"/>
      </w:pPr>
      <w:r>
        <w:rPr>
          <w:sz w:val="21"/>
          <w:szCs w:val="21"/>
        </w:rPr>
        <w:t xml:space="preserve">Each analysis below follows a consistent six-part structure: (1) the Title of the analysis, (2) its Aim/purpose, (3) the Columns/Variables involved, (4) the Step-by-Step SPSS procedure, (5) the actual Output generated from the data, and (6) the line-by-line Interpretation together with the practical Insights generated for UAC Foods.</w:t>
      </w:r>
    </w:p>
    <w:p>
      <w:pPr>
        <w:spacing w:after="140" w:line="276"/>
        <w:jc w:val="both"/>
      </w:pPr>
      <w:r>
        <w:rPr>
          <w:sz w:val="21"/>
          <w:szCs w:val="21"/>
        </w:rPr>
        <w:t xml:space="preserve">The analyses are grouped into five families, mirroring the SPSS 'Analyze' menu: (A) Descriptive Statistics, (B) Comparative/Mean-Difference Tests, (C) Associative/Correlational Tests, (D) Predictive Models (Regression), and (E) Data Reduction &amp; Classification (Factor, Cluster, Discriminant Analysis). Non-parametric equivalents are included alongside their parametric counterparts because several variables (the 5-point Likert items) are ordinal and violate normality, as demonstrated formally in Section 3.</w:t>
      </w:r>
    </w:p>
    <w:p>
      <w:r>
        <w:br w:type="page"/>
      </w:r>
    </w:p>
    <w:p>
      <w:pPr>
        <w:pStyle w:val="Heading1"/>
        <w:pBdr>
          <w:bottom w:val="single" w:color="1F3864" w:sz="8" w:space="4"/>
        </w:pBdr>
        <w:spacing w:after="200" w:before="400"/>
      </w:pPr>
      <w:r>
        <w:rPr>
          <w:b/>
          <w:bCs/>
          <w:color w:val="1F3864"/>
          <w:sz w:val="30"/>
          <w:szCs w:val="30"/>
        </w:rPr>
        <w:t xml:space="preserve">1. Data Screening and Missing Value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assess data quality prior to substantive analysis by identifying missing values, verifying data types, and confirming the sample size available for each variable. This step corresponds to SPSS's Analyze &gt; Missing Value Analysis and Analyze &gt; Descriptive Statistics &gt; Frequencies (used diagnostically).</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All 16 variables, with particular attention to Age and MonthlyIncome_NGN000, which contain missing entries.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Import the CSV/XLSX file via File &gt; Open &gt; Data, ensuring variable types are correctly read (String vs Numeric).</w:t>
      </w:r>
    </w:p>
    <w:p>
      <w:pPr>
        <w:pStyle w:val="ListParagraph"/>
        <w:numPr>
          <w:ilvl w:val="0"/>
          <w:numId w:val="2"/>
        </w:numPr>
        <w:spacing w:after="80" w:line="270"/>
      </w:pPr>
      <w:r>
        <w:rPr>
          <w:sz w:val="21"/>
          <w:szCs w:val="21"/>
        </w:rPr>
        <w:t xml:space="preserve">Go to Analyze &gt; Missing Value Analysis. Move all variables into the 'Quantitative Variables' or 'Categorical Variables' box as appropriate.</w:t>
      </w:r>
    </w:p>
    <w:p>
      <w:pPr>
        <w:pStyle w:val="ListParagraph"/>
        <w:numPr>
          <w:ilvl w:val="0"/>
          <w:numId w:val="2"/>
        </w:numPr>
        <w:spacing w:after="80" w:line="270"/>
      </w:pPr>
      <w:r>
        <w:rPr>
          <w:sz w:val="21"/>
          <w:szCs w:val="21"/>
        </w:rPr>
        <w:t xml:space="preserve">Under 'Patterns', request a missing-value summary table.</w:t>
      </w:r>
    </w:p>
    <w:p>
      <w:pPr>
        <w:pStyle w:val="ListParagraph"/>
        <w:numPr>
          <w:ilvl w:val="0"/>
          <w:numId w:val="2"/>
        </w:numPr>
        <w:spacing w:after="80" w:line="270"/>
      </w:pPr>
      <w:r>
        <w:rPr>
          <w:sz w:val="21"/>
          <w:szCs w:val="21"/>
        </w:rPr>
        <w:t xml:space="preserve">Alternatively, run Analyze &gt; Descriptive Statistics &gt; Frequencies on all variables and note the 'Missing' row in each frequency table.</w:t>
      </w:r>
    </w:p>
    <w:p>
      <w:pPr>
        <w:pStyle w:val="ListParagraph"/>
        <w:numPr>
          <w:ilvl w:val="0"/>
          <w:numId w:val="2"/>
        </w:numPr>
        <w:spacing w:after="80" w:line="270"/>
      </w:pPr>
      <w:r>
        <w:rPr>
          <w:sz w:val="21"/>
          <w:szCs w:val="21"/>
        </w:rPr>
        <w:t xml:space="preserve">Decide on a treatment strategy (listwise deletion, mean/median imputation, or pairwise deletion) for subsequent tests.</w:t>
      </w:r>
    </w:p>
    <w:p>
      <w:pPr>
        <w:pStyle w:val="Heading2"/>
        <w:spacing w:after="120" w:before="260"/>
      </w:pPr>
      <w:r>
        <w:rPr>
          <w:b/>
          <w:bCs/>
          <w:color w:val="B8860B"/>
          <w:sz w:val="24"/>
          <w:szCs w:val="24"/>
        </w:rPr>
        <w:t xml:space="preserve">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9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N (Valid)</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N (Missing)</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 Missing</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244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MonthlyIncome_NGN000</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r>
    </w:tbl>
    <w:p>
      <w:pPr>
        <w:spacing w:after="160" w:before="100"/>
      </w:pPr>
      <w:r>
        <w:rPr>
          <w:i/>
          <w:iCs/>
          <w:color w:val="555555"/>
          <w:sz w:val="19"/>
          <w:szCs w:val="19"/>
        </w:rPr>
        <w:t xml:space="preserve">Table 1.1 — Missing value summary for variables with incomplete data. All other variables have 0 missing cases (N = 250 valid for each).</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Age has 6 missing cases (2.4% of the sample) and MonthlyIncome_NGN000 has 5 missing cases (2.0%). Both figures fall below the 5% threshold conventionally used as a rule of thumb, below which missingness is unlikely to bias results materially regardless of the handling method chosen (Tabachnick &amp; Fidell). No other variable — including all Likert-scale ratings, purchase behaviour variables, and the outcome variables — has any missing data, indicating the survey instrument was completed diligently for those items.</w:t>
      </w:r>
    </w:p>
    <w:p>
      <w:pPr>
        <w:spacing w:after="140" w:line="276"/>
        <w:jc w:val="both"/>
      </w:pPr>
      <w:r>
        <w:rPr>
          <w:sz w:val="21"/>
          <w:szCs w:val="21"/>
        </w:rPr>
        <w:t xml:space="preserve">Because missingness is minimal and appears unrelated to any observed pattern (Age and Income are simply two fields respondents occasionally skipped), listwise deletion is used throughout this report wherever a specific analysis requires complete cases on Age or Income (e.g., the regression and correlation models). This reduces the analytic sample only marginally (from N=250 to as low as N=239 in models using both variables together) and does not materially threaten statistical power.</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Data quality is high: over 97.5% completeness on every variable means findings in this report are based on robust, near-complete data.</w:t>
      </w:r>
    </w:p>
    <w:p>
      <w:pPr>
        <w:pStyle w:val="ListParagraph"/>
        <w:numPr>
          <w:ilvl w:val="0"/>
          <w:numId w:val="1"/>
        </w:numPr>
        <w:spacing w:after="60" w:line="270"/>
      </w:pPr>
      <w:r>
        <w:rPr>
          <w:sz w:val="21"/>
          <w:szCs w:val="21"/>
        </w:rPr>
        <w:t xml:space="preserve">No systematic non-response pattern was observed, so no imputation model was required; listwise deletion is defensible for this dataset.</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0"/>
          <w:szCs w:val="30"/>
        </w:rPr>
        <w:t xml:space="preserve">2. Frequency Analysis (Categorical &amp; Likert Variables)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summarise the distribution of each categorical and ordinal (Likert) variable — how many respondents fall into each category and what percentage of the sample they represent. This corresponds to Analyze &gt; Descriptive Statistics &gt; Frequencies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Region, Gender, Education, Product, WouldRecommend, and the five Likert items: 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Frequencies.</w:t>
      </w:r>
    </w:p>
    <w:p>
      <w:pPr>
        <w:pStyle w:val="ListParagraph"/>
        <w:numPr>
          <w:ilvl w:val="0"/>
          <w:numId w:val="2"/>
        </w:numPr>
        <w:spacing w:after="80" w:line="270"/>
      </w:pPr>
      <w:r>
        <w:rPr>
          <w:sz w:val="21"/>
          <w:szCs w:val="21"/>
        </w:rPr>
        <w:t xml:space="preserve">Move Region, Gender, Education, Product, WouldRecommend, Taste, Price, Packaging, Availability, and OverallSatisfaction into the 'Variable(s)' box.</w:t>
      </w:r>
    </w:p>
    <w:p>
      <w:pPr>
        <w:pStyle w:val="ListParagraph"/>
        <w:numPr>
          <w:ilvl w:val="0"/>
          <w:numId w:val="2"/>
        </w:numPr>
        <w:spacing w:after="80" w:line="270"/>
      </w:pPr>
      <w:r>
        <w:rPr>
          <w:sz w:val="21"/>
          <w:szCs w:val="21"/>
        </w:rPr>
        <w:t xml:space="preserve">Tick 'Display frequency tables'.</w:t>
      </w:r>
    </w:p>
    <w:p>
      <w:pPr>
        <w:pStyle w:val="ListParagraph"/>
        <w:numPr>
          <w:ilvl w:val="0"/>
          <w:numId w:val="2"/>
        </w:numPr>
        <w:spacing w:after="80" w:line="270"/>
      </w:pPr>
      <w:r>
        <w:rPr>
          <w:sz w:val="21"/>
          <w:szCs w:val="21"/>
        </w:rPr>
        <w:t xml:space="preserve">Under Charts, select Bar Charts (for nominal) or Histogram (for the Likert items) for visual summaries.</w:t>
      </w:r>
    </w:p>
    <w:p>
      <w:pPr>
        <w:pStyle w:val="ListParagraph"/>
        <w:numPr>
          <w:ilvl w:val="0"/>
          <w:numId w:val="2"/>
        </w:numPr>
        <w:spacing w:after="80" w:line="270"/>
      </w:pPr>
      <w:r>
        <w:rPr>
          <w:sz w:val="21"/>
          <w:szCs w:val="21"/>
        </w:rPr>
        <w:t xml:space="preserve">Click OK to generate one frequency table per variable.</w:t>
      </w:r>
    </w:p>
    <w:p>
      <w:pPr>
        <w:pStyle w:val="Heading2"/>
        <w:spacing w:after="120" w:before="260"/>
      </w:pPr>
      <w:r>
        <w:rPr>
          <w:b/>
          <w:bCs/>
          <w:color w:val="B8860B"/>
          <w:sz w:val="24"/>
          <w:szCs w:val="24"/>
        </w:rPr>
        <w:t xml:space="preserve">Output</w:t>
      </w:r>
    </w:p>
    <w:p>
      <w:pPr>
        <w:spacing w:after="80" w:before="160"/>
      </w:pPr>
      <w:r>
        <w:rPr>
          <w:b/>
          <w:bCs/>
          <w:i/>
          <w:iCs/>
          <w:color w:val="1F3864"/>
          <w:sz w:val="22"/>
          <w:szCs w:val="22"/>
        </w:rPr>
        <w:t xml:space="preserve">Region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Region</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87</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34.8%</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17.2%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16.4%</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12.8%</w:t>
            </w:r>
          </w:p>
        </w:tc>
      </w:tr>
    </w:tbl>
    <w:p>
      <w:pPr>
        <w:spacing w:after="80" w:before="160"/>
      </w:pPr>
      <w:r>
        <w:rPr>
          <w:b/>
          <w:bCs/>
          <w:i/>
          <w:iCs/>
          <w:color w:val="1F3864"/>
          <w:sz w:val="22"/>
          <w:szCs w:val="22"/>
        </w:rPr>
        <w:t xml:space="preserve">Gender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Gender</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Female</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Male</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48%</w:t>
            </w:r>
          </w:p>
        </w:tc>
      </w:tr>
    </w:tbl>
    <w:p>
      <w:pPr>
        <w:spacing w:after="80" w:before="160"/>
      </w:pPr>
      <w:r>
        <w:rPr>
          <w:b/>
          <w:bCs/>
          <w:i/>
          <w:iCs/>
          <w:color w:val="1F3864"/>
          <w:sz w:val="22"/>
          <w:szCs w:val="22"/>
        </w:rPr>
        <w:t xml:space="preserve">Education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Education Level</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Bachelor's Degree</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37.2%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OND/HND</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28.4%</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Secondary</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18.4%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bl>
    <w:p>
      <w:pPr>
        <w:spacing w:after="80" w:before="160"/>
      </w:pPr>
      <w:r>
        <w:rPr>
          <w:b/>
          <w:bCs/>
          <w:i/>
          <w:iCs/>
          <w:color w:val="1F3864"/>
          <w:sz w:val="22"/>
          <w:szCs w:val="22"/>
        </w:rPr>
        <w:t xml:space="preserve">Product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Product</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Gala</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75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Supreme Ice Cream</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Swan Water</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18%</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Grand Malt</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Mr Chips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13.2%</w:t>
            </w:r>
          </w:p>
        </w:tc>
      </w:tr>
    </w:tbl>
    <w:p>
      <w:pPr>
        <w:spacing w:after="80" w:before="160"/>
      </w:pPr>
      <w:r>
        <w:rPr>
          <w:b/>
          <w:bCs/>
          <w:i/>
          <w:iCs/>
          <w:color w:val="1F3864"/>
          <w:sz w:val="22"/>
          <w:szCs w:val="22"/>
        </w:rPr>
        <w:t xml:space="preserve">Would Recommend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WouldRecommend</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196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78.4%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21.6%</w:t>
            </w:r>
          </w:p>
        </w:tc>
      </w:tr>
    </w:tbl>
    <w:p>
      <w:pPr>
        <w:spacing w:after="80" w:before="160"/>
      </w:pPr>
      <w:r>
        <w:rPr>
          <w:b/>
          <w:bCs/>
          <w:i/>
          <w:iCs/>
          <w:color w:val="1F3864"/>
          <w:sz w:val="22"/>
          <w:szCs w:val="22"/>
        </w:rPr>
        <w:t xml:space="preserve">Likert Items (1 = Very Poor/Strongly Disagree ... 5 = Excellent/Strongly Agree)</w:t>
      </w:r>
    </w:p>
    <w:p>
      <w:pPr>
        <w:spacing w:after="60" w:before="120"/>
      </w:pPr>
      <w:r>
        <w:rPr>
          <w:b/>
          <w:bCs/>
          <w:sz w:val="20"/>
          <w:szCs w:val="20"/>
        </w:rPr>
        <w:t xml:space="preserve">Taste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0.8%</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32.4%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41.6%</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14.4%</w:t>
            </w:r>
          </w:p>
        </w:tc>
      </w:tr>
    </w:tbl>
    <w:p>
      <w:pPr>
        <w:spacing w:after="60" w:before="120"/>
      </w:pPr>
      <w:r>
        <w:rPr>
          <w:b/>
          <w:bCs/>
          <w:sz w:val="20"/>
          <w:szCs w:val="20"/>
        </w:rPr>
        <w:t xml:space="preserve">Price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6%</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58</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23.2%</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w:t>
            </w:r>
          </w:p>
        </w:tc>
      </w:tr>
    </w:tbl>
    <w:p>
      <w:pPr>
        <w:spacing w:after="60" w:before="120"/>
      </w:pPr>
      <w:r>
        <w:rPr>
          <w:b/>
          <w:bCs/>
          <w:sz w:val="20"/>
          <w:szCs w:val="20"/>
        </w:rPr>
        <w:t xml:space="preserve">Packaging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33.2%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12.8%</w:t>
            </w:r>
          </w:p>
        </w:tc>
      </w:tr>
    </w:tbl>
    <w:p>
      <w:pPr>
        <w:spacing w:after="60" w:before="120"/>
      </w:pPr>
      <w:r>
        <w:rPr>
          <w:b/>
          <w:bCs/>
          <w:sz w:val="20"/>
          <w:szCs w:val="20"/>
        </w:rPr>
        <w:t xml:space="preserve">Availability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2.4%</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10.8%</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90</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36%</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89</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35.6%</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38</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15.2%</w:t>
            </w:r>
          </w:p>
        </w:tc>
      </w:tr>
    </w:tbl>
    <w:p>
      <w:pPr>
        <w:spacing w:after="60" w:before="120"/>
      </w:pPr>
      <w:r>
        <w:rPr>
          <w:b/>
          <w:bCs/>
          <w:sz w:val="20"/>
          <w:szCs w:val="20"/>
        </w:rPr>
        <w:t xml:space="preserve">OverallSatisfaction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rPr>
          <w:tblHeader/>
        </w:trPr>
        <w:tc>
          <w:tcPr>
            <w:tcW w:type="dxa" w:w="3500"/>
            <w:shd w:fill="1F3864" w:val="clear"/>
            <w:tcMar>
              <w:top w:type="dxa" w:w="60"/>
              <w:left w:type="dxa" w:w="100"/>
              <w:bottom w:type="dxa" w:w="60"/>
              <w:right w:type="dxa" w:w="100"/>
            </w:tcMar>
            <w:vAlign w:val="center"/>
          </w:tcPr>
          <w:p>
            <w:pPr>
              <w:jc w:val="center"/>
            </w:pPr>
            <w:r>
              <w:rPr>
                <w:b/>
                <w:bCs/>
                <w:color w:val="FFFFFF"/>
                <w:sz w:val="19"/>
                <w:szCs w:val="19"/>
              </w:rPr>
              <w:t xml:space="preserve">Rating</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6.8%</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121</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48.4%</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42%</w:t>
            </w:r>
          </w:p>
        </w:tc>
      </w:tr>
      <w:tr>
        <w:tc>
          <w:tcPr>
            <w:tcW w:type="dxa" w:w="3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2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r>
    </w:tbl>
    <w:p>
      <w:pPr>
        <w:spacing w:after="160" w:before="100"/>
      </w:pPr>
      <w:r>
        <w:rPr>
          <w:i/>
          <w:iCs/>
          <w:color w:val="555555"/>
          <w:sz w:val="19"/>
          <w:szCs w:val="19"/>
        </w:rPr>
        <w:t xml:space="preserve">Table 2.1–2.10 — Frequency distributions for all nominal and ordinal variables (N = 250).</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Regional coverage: Lagos dominates the sample (87 respondents, 34.8%), consistent with it being UAC Foods' largest commercial market, followed by Abuja (18.8%), Port Harcourt (17.2%), Ibadan (16.4%) and Kano (12.8%). Any generalisation of findings should bear in mind this Lagos-weighted composition.</w:t>
      </w:r>
    </w:p>
    <w:p>
      <w:pPr>
        <w:spacing w:after="140" w:line="276"/>
        <w:jc w:val="both"/>
      </w:pPr>
      <w:r>
        <w:rPr>
          <w:sz w:val="21"/>
          <w:szCs w:val="21"/>
        </w:rPr>
        <w:t xml:space="preserve">Gender split is close to even (52.0% Female, 48.0% Male), meaning gender-based comparisons later in this report are not confounded by unequal group sizes.</w:t>
      </w:r>
    </w:p>
    <w:p>
      <w:pPr>
        <w:spacing w:after="140" w:line="276"/>
        <w:jc w:val="both"/>
      </w:pPr>
      <w:r>
        <w:rPr>
          <w:sz w:val="21"/>
          <w:szCs w:val="21"/>
        </w:rPr>
        <w:t xml:space="preserve">Education: the sample skews toward more educated respondents — 37.2% hold a Bachelor's degree and 16.0% a Postgraduate qualification, while only 18.4% stopped at Secondary level. This should be kept in mind when interpreting income-related findings, since education correlates strongly with income (see Section 10).</w:t>
      </w:r>
    </w:p>
    <w:p>
      <w:pPr>
        <w:spacing w:after="140" w:line="276"/>
        <w:jc w:val="both"/>
      </w:pPr>
      <w:r>
        <w:rPr>
          <w:sz w:val="21"/>
          <w:szCs w:val="21"/>
        </w:rPr>
        <w:t xml:space="preserve">Product distribution: Gala is the most-consumed product in the sample (30.0%), followed by Supreme Ice Cream (22.8%), Swan Water (18.0%), Grand Malt (16.0%) and Mr Chips (13.2%) — broadly reflecting Gala's status as UAC's flagship snack brand.</w:t>
      </w:r>
    </w:p>
    <w:p>
      <w:pPr>
        <w:spacing w:after="140" w:line="276"/>
        <w:jc w:val="both"/>
      </w:pPr>
      <w:r>
        <w:rPr>
          <w:sz w:val="21"/>
          <w:szCs w:val="21"/>
        </w:rPr>
        <w:t xml:space="preserve">WouldRecommend: a substantial majority, 78.4% of respondents, said they would recommend their product to others, versus 21.6% who would not. This is a strong headline net-promotion figure, though Section 6 and Section 13 examine which factors actually drive this recommendation.</w:t>
      </w:r>
    </w:p>
    <w:p>
      <w:pPr>
        <w:spacing w:after="140" w:line="276"/>
        <w:jc w:val="both"/>
      </w:pPr>
      <w:r>
        <w:rPr>
          <w:sz w:val="21"/>
          <w:szCs w:val="21"/>
        </w:rPr>
        <w:t xml:space="preserve">Likert items: For Taste, responses cluster at the positive end — 56.0% rated Taste 4 or 5 ('Good' to 'Excellent'), while only 11.6% rated it 1 or 2. Price perceptions are more centrally distributed, suggesting mixed views on affordability. Packaging and Availability both show majority ratings of 4, indicating generally favourable logistics/packaging perceptions. OverallSatisfaction is concentrated at the midpoint (3) and above, with very few 1-ratings, suggesting an absence of strongly dissatisfied customers but also room to move more customers from 'satisfied' (3-4) to 'very satisfied' (5).</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Lagos-heavy sampling means marketing conclusions should be validated regionally before being generalised nationwide.</w:t>
      </w:r>
    </w:p>
    <w:p>
      <w:pPr>
        <w:pStyle w:val="ListParagraph"/>
        <w:numPr>
          <w:ilvl w:val="0"/>
          <w:numId w:val="1"/>
        </w:numPr>
        <w:spacing w:after="60" w:line="270"/>
      </w:pPr>
      <w:r>
        <w:rPr>
          <w:sz w:val="21"/>
          <w:szCs w:val="21"/>
        </w:rPr>
        <w:t xml:space="preserve">A near-80% recommendation rate is a strong net-promoter signal that UAC Foods can use in brand communications, but the drivers behind it need to be identified via regression/logistic analysis (Sections 13–14) rather than assumed from Likert ratings alone.</w:t>
      </w:r>
    </w:p>
    <w:p>
      <w:pPr>
        <w:pStyle w:val="ListParagraph"/>
        <w:numPr>
          <w:ilvl w:val="0"/>
          <w:numId w:val="1"/>
        </w:numPr>
        <w:spacing w:after="60" w:line="270"/>
      </w:pPr>
      <w:r>
        <w:rPr>
          <w:sz w:val="21"/>
          <w:szCs w:val="21"/>
        </w:rPr>
        <w:t xml:space="preserve">Taste is the most positively rated attribute — a candidate 'brand strength' to lean into in advertising — while Price shows the most mixed sentiment, flagging it as an area warranting deeper pricing-strategy review.</w:t>
      </w:r>
    </w:p>
    <w:p>
      <w:r>
        <w:br w:type="page"/>
      </w:r>
    </w:p>
    <w:p>
      <w:pPr>
        <w:pStyle w:val="Heading1"/>
        <w:pBdr>
          <w:bottom w:val="single" w:color="1F3864" w:sz="8" w:space="4"/>
        </w:pBdr>
        <w:spacing w:after="200" w:before="400"/>
      </w:pPr>
      <w:r>
        <w:rPr>
          <w:b/>
          <w:bCs/>
          <w:color w:val="1F3864"/>
          <w:sz w:val="30"/>
          <w:szCs w:val="30"/>
        </w:rPr>
        <w:t xml:space="preserve">3. Descriptive Statistics (Continuous Variables)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summarise the central tendency, dispersion, and shape of each continuous/scale variable using mean, median, standard deviation, variance, range, skewness, and kurtosis. This corresponds to Analyze &gt; Descriptive Statistics &gt; Descriptives (and Explore for shape statistics)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MonthlyIncome_NGN000, PurchaseFrequency, LoyaltyYears, MonthlySpend_NGN, and the five Likert items treated as quasi-interval scores (a common and defensible SPSS practice for summary purposes).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Descriptives.</w:t>
      </w:r>
    </w:p>
    <w:p>
      <w:pPr>
        <w:pStyle w:val="ListParagraph"/>
        <w:numPr>
          <w:ilvl w:val="0"/>
          <w:numId w:val="2"/>
        </w:numPr>
        <w:spacing w:after="80" w:line="270"/>
      </w:pPr>
      <w:r>
        <w:rPr>
          <w:sz w:val="21"/>
          <w:szCs w:val="21"/>
        </w:rPr>
        <w:t xml:space="preserve">Move Age, MonthlyIncome_NGN000, PurchaseFrequency, LoyaltyYears, MonthlySpend_NGN, Taste, Price, Packaging, Availability, OverallSatisfaction into the Variable(s) box.</w:t>
      </w:r>
    </w:p>
    <w:p>
      <w:pPr>
        <w:pStyle w:val="ListParagraph"/>
        <w:numPr>
          <w:ilvl w:val="0"/>
          <w:numId w:val="2"/>
        </w:numPr>
        <w:spacing w:after="80" w:line="270"/>
      </w:pPr>
      <w:r>
        <w:rPr>
          <w:sz w:val="21"/>
          <w:szCs w:val="21"/>
        </w:rPr>
        <w:t xml:space="preserve">Click Options, and tick Mean, Std. Deviation, Variance, Range, Minimum, Maximum, S.E. Mean, Kurtosis, and Skewness.</w:t>
      </w:r>
    </w:p>
    <w:p>
      <w:pPr>
        <w:pStyle w:val="ListParagraph"/>
        <w:numPr>
          <w:ilvl w:val="0"/>
          <w:numId w:val="2"/>
        </w:numPr>
        <w:spacing w:after="80" w:line="270"/>
      </w:pPr>
      <w:r>
        <w:rPr>
          <w:sz w:val="21"/>
          <w:szCs w:val="21"/>
        </w:rPr>
        <w:t xml:space="preserve">Click OK to produce the Descriptive Statistics table.</w:t>
      </w:r>
    </w:p>
    <w:p>
      <w:pPr>
        <w:pStyle w:val="Heading2"/>
        <w:spacing w:after="120" w:before="260"/>
      </w:pPr>
      <w:r>
        <w:rPr>
          <w:b/>
          <w:bCs/>
          <w:color w:val="B8860B"/>
          <w:sz w:val="24"/>
          <w:szCs w:val="24"/>
        </w:rPr>
        <w:t xml:space="preserve">Output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100"/>
        <w:gridCol w:w="1000"/>
        <w:gridCol w:w="1200"/>
        <w:gridCol w:w="700"/>
        <w:gridCol w:w="700"/>
        <w:gridCol w:w="900"/>
        <w:gridCol w:w="9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10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Variance</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Min</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Max</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Range</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Skew.</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Kurtosis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244</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42.807</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13.874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192.477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65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-1.134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MonthlyIncome_NGN000</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120.192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52.276</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2732.77</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0.339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-0.488</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PurchaseFrequency</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10.812</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5.837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34.065</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-0.027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-1.235</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LoyaltyYears</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7.404</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4.481</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20.081</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0.078</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-1.261</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1651.884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894.937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800912.585</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200</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3564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3364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-1.114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3.58</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0.894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0.799</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-0.259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-0.373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2.944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0.938</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0.88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-0.035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-0.325</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3.592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0.874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0.765</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-0.481</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0.313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3.504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0.958</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0.918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-0.272</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-0.244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3.408</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0.66</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0.435</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-0.275</w:t>
            </w:r>
          </w:p>
        </w:tc>
      </w:tr>
    </w:tbl>
    <w:p>
      <w:pPr>
        <w:spacing w:after="160" w:before="100"/>
      </w:pPr>
      <w:r>
        <w:rPr>
          <w:i/>
          <w:iCs/>
          <w:color w:val="555555"/>
          <w:sz w:val="19"/>
          <w:szCs w:val="19"/>
        </w:rPr>
        <w:t xml:space="preserve">Table 3.1 — Descriptive statistics for all scale and Likert variables.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Age: respondents average 42.807 years (SD = 13.874), ranging from 18 to 65. Skewness of -0.14 is close to zero, indicating a fairly symmetric age distribution across the adult consumer base.</w:t>
      </w:r>
    </w:p>
    <w:p>
      <w:pPr>
        <w:spacing w:after="140" w:line="276"/>
        <w:jc w:val="both"/>
      </w:pPr>
      <w:r>
        <w:rPr>
          <w:sz w:val="21"/>
          <w:szCs w:val="21"/>
        </w:rPr>
        <w:t xml:space="preserve">Monthly Income (₦'000): the mean is ₦120.192k (SD = ₦52.276k), with a wide range from ₦30k to ₦253k, reflecting a socioeconomically diverse sample spanning lower-, middle- and upper-income consumers. The positive skew (0.339) shows a longer tail of higher earners.</w:t>
      </w:r>
    </w:p>
    <w:p>
      <w:pPr>
        <w:spacing w:after="140" w:line="276"/>
        <w:jc w:val="both"/>
      </w:pPr>
      <w:r>
        <w:rPr>
          <w:sz w:val="21"/>
          <w:szCs w:val="21"/>
        </w:rPr>
        <w:t xml:space="preserve">Purchase Frequency and Loyalty Years: consumers purchase on average 10.812 times per month and have been loyal to their product for 7.404 years on average (SD = 4.481), indicating an established, habitual customer base rather than one composed mainly of first-time triers.</w:t>
      </w:r>
    </w:p>
    <w:p>
      <w:pPr>
        <w:spacing w:after="140" w:line="276"/>
        <w:jc w:val="both"/>
      </w:pPr>
      <w:r>
        <w:rPr>
          <w:sz w:val="21"/>
          <w:szCs w:val="21"/>
        </w:rPr>
        <w:t xml:space="preserve">Monthly Spend: the average respondent spends ₦1651.884 per month on the product (SD = ₦894.937), with spend ranging from ₦200 to ₦3564 — a very wide range (₦3364) that signals meaningful heterogeneity in consumption intensity worth segmenting (see Cluster Analysis, Section 15).</w:t>
      </w:r>
    </w:p>
    <w:p>
      <w:pPr>
        <w:spacing w:after="140" w:line="276"/>
        <w:jc w:val="both"/>
      </w:pPr>
      <w:r>
        <w:rPr>
          <w:sz w:val="21"/>
          <w:szCs w:val="21"/>
        </w:rPr>
        <w:t xml:space="preserve">Likert ratings: mean scores for Taste (3.58), Packaging (3.592) and Availability (3.504) sit above the scale midpoint of 3, indicating generally favourable perceptions, while Price (2.944) and OverallSatisfaction (3.408) sit closer to the midpoint, suggesting more tempered sentiment. All five items show negative kurtosis (flatter-than-normal, platykurtic distributions), meaning responses are more evenly spread across categories than a bell curve would predict, rather than being sharply peaked at one rating.</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wide spend range (₦200–₦3,564) suggests distinct spending tiers exist within the customer base — a strong candidate for market segmentation (formalised later via cluster analysis).</w:t>
      </w:r>
    </w:p>
    <w:p>
      <w:pPr>
        <w:pStyle w:val="ListParagraph"/>
        <w:numPr>
          <w:ilvl w:val="0"/>
          <w:numId w:val="1"/>
        </w:numPr>
        <w:spacing w:after="60" w:line="270"/>
      </w:pPr>
      <w:r>
        <w:rPr>
          <w:sz w:val="21"/>
          <w:szCs w:val="21"/>
        </w:rPr>
        <w:t xml:space="preserve">An average loyalty tenure of over 7 years indicates strong brand retention, a valuable asset UAC Foods should protect through consistent quality and pricing.</w:t>
      </w:r>
    </w:p>
    <w:p>
      <w:pPr>
        <w:pStyle w:val="ListParagraph"/>
        <w:numPr>
          <w:ilvl w:val="0"/>
          <w:numId w:val="1"/>
        </w:numPr>
        <w:spacing w:after="60" w:line="270"/>
      </w:pPr>
      <w:r>
        <w:rPr>
          <w:sz w:val="21"/>
          <w:szCs w:val="21"/>
        </w:rPr>
        <w:t xml:space="preserve">Because Likert distributions are non-normal (flat, non-bell-shaped), the formal normality tests below should be consulted before selecting parametric vs non-parametric inferential tests for these items.</w:t>
      </w:r>
    </w:p>
    <w:p>
      <w:r>
        <w:br w:type="page"/>
      </w:r>
    </w:p>
    <w:p>
      <w:pPr>
        <w:pStyle w:val="Heading1"/>
        <w:pBdr>
          <w:bottom w:val="single" w:color="1F3864" w:sz="8" w:space="4"/>
        </w:pBdr>
        <w:spacing w:after="200" w:before="400"/>
      </w:pPr>
      <w:r>
        <w:rPr>
          <w:b/>
          <w:bCs/>
          <w:color w:val="1F3864"/>
          <w:sz w:val="30"/>
          <w:szCs w:val="30"/>
        </w:rPr>
        <w:t xml:space="preserve">4. Explore Procedure and Tests of Normality</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formally test whether each continuous/ordinal variable follows a normal distribution, which determines whether subsequent inferential tests should use parametric methods (t-test, ANOVA, Pearson correlation) or non-parametric alternatives (Mann-Whitney, Kruskal-Wallis, Spearman correlation). This corresponds to Analyze &gt; Descriptive Statistics &gt; Explore in SPSS, requesting the 'Normality plots with tests' option, which outputs the Shapiro-Wilk and Kolmogorov-Smirnov (Lilliefors) statistics.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MonthlyIncome_NGN000, PurchaseFrequency, LoyaltyYears, MonthlySpend_NGN, 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Explore.</w:t>
      </w:r>
    </w:p>
    <w:p>
      <w:pPr>
        <w:pStyle w:val="ListParagraph"/>
        <w:numPr>
          <w:ilvl w:val="0"/>
          <w:numId w:val="2"/>
        </w:numPr>
        <w:spacing w:after="80" w:line="270"/>
      </w:pPr>
      <w:r>
        <w:rPr>
          <w:sz w:val="21"/>
          <w:szCs w:val="21"/>
        </w:rPr>
        <w:t xml:space="preserve">Move all ten variables into the 'Dependent List' box.</w:t>
      </w:r>
    </w:p>
    <w:p>
      <w:pPr>
        <w:pStyle w:val="ListParagraph"/>
        <w:numPr>
          <w:ilvl w:val="0"/>
          <w:numId w:val="2"/>
        </w:numPr>
        <w:spacing w:after="80" w:line="270"/>
      </w:pPr>
      <w:r>
        <w:rPr>
          <w:sz w:val="21"/>
          <w:szCs w:val="21"/>
        </w:rPr>
        <w:t xml:space="preserve">Click Plots, tick 'Normality plots with tests', and select 'None' for boxplots if not required.</w:t>
      </w:r>
    </w:p>
    <w:p>
      <w:pPr>
        <w:pStyle w:val="ListParagraph"/>
        <w:numPr>
          <w:ilvl w:val="0"/>
          <w:numId w:val="2"/>
        </w:numPr>
        <w:spacing w:after="80" w:line="270"/>
      </w:pPr>
      <w:r>
        <w:rPr>
          <w:sz w:val="21"/>
          <w:szCs w:val="21"/>
        </w:rPr>
        <w:t xml:space="preserve">Click Continue, then OK.</w:t>
      </w:r>
    </w:p>
    <w:p>
      <w:pPr>
        <w:pStyle w:val="ListParagraph"/>
        <w:numPr>
          <w:ilvl w:val="0"/>
          <w:numId w:val="2"/>
        </w:numPr>
        <w:spacing w:after="80" w:line="270"/>
      </w:pPr>
      <w:r>
        <w:rPr>
          <w:sz w:val="21"/>
          <w:szCs w:val="21"/>
        </w:rPr>
        <w:t xml:space="preserve">SPSS outputs a 'Tests of Normality' table containing Kolmogorov-Smirnov and Shapiro-Wilk statistics with degrees of freedom and significance values.</w:t>
      </w:r>
    </w:p>
    <w:p>
      <w:pPr>
        <w:pStyle w:val="Heading2"/>
        <w:spacing w:after="120" w:before="260"/>
      </w:pPr>
      <w:r>
        <w:rPr>
          <w:b/>
          <w:bCs/>
          <w:color w:val="B8860B"/>
          <w:sz w:val="24"/>
          <w:szCs w:val="24"/>
        </w:rPr>
        <w:t xml:space="preserve">Output — Tests of Normality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700"/>
        <w:gridCol w:w="1400"/>
        <w:gridCol w:w="1900"/>
        <w:gridCol w:w="1600"/>
      </w:tblGrid>
      <w:tr>
        <w:trPr>
          <w:tblHeader/>
        </w:trPr>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Shapiro-Wilk W</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 (p)</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Kolmogorov-Smirnov D</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Sig. (p)</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0.9541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0.0832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0.0642</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MonthlyIncome_NGN000</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0.9791</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0.0011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0.0495</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0.5673</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PurchaseFrequency</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0.9441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0.0955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0.0196</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LoyaltyYears</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0.9425</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0.1169</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0.002</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0.9618</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0.08</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0.0774</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0.884</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0.2408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0.901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0.2158</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0.871</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0.2556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0.8947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0.2057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8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0.806</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0.2838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160" w:before="100"/>
      </w:pPr>
      <w:r>
        <w:rPr>
          <w:i/>
          <w:iCs/>
          <w:color w:val="555555"/>
          <w:sz w:val="19"/>
          <w:szCs w:val="19"/>
        </w:rPr>
        <w:t xml:space="preserve">Table 4.1 — Shapiro-Wilk and Kolmogorov-Smirnov tests of normality (significance below .05 indicates a departure from normality).</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The Shapiro-Wilk test is significant (p &lt; .001) for every variable except MonthlyIncome_NGN000, which is significant at p = .001, meaning the null hypothesis of normality is rejected for all ten variables at the conventional α = .05 level. This is unsurprising for the five Likert items (Taste through OverallSatisfaction), which are bounded, ordinal, 5-point scales that cannot follow a continuous bell curve by construction. It is more consequential for Age, Income, PurchaseFrequency, LoyaltyYears and MonthlySpend_NGN, which — while statistically non-normal — show only mild skewness and kurtosis (per Section 3), a common occurrence in large-ish samples where the Shapiro-Wilk test becomes highly sensitive to even trivial deviations from normality.</w:t>
      </w:r>
    </w:p>
    <w:p>
      <w:pPr>
        <w:spacing w:after="140" w:line="276"/>
        <w:jc w:val="both"/>
      </w:pPr>
      <w:r>
        <w:rPr>
          <w:sz w:val="21"/>
          <w:szCs w:val="21"/>
        </w:rPr>
        <w:t xml:space="preserve">Practical implication: because sample sizes here (N ≈ 250, and group sizes of 30+ in every subgroup analysed later) satisfy the Central Limit Theorem threshold, parametric tests (t-test, ANOVA, Pearson correlation, OLS regression) remain reasonably robust for the continuous scale variables (Age, Income, Frequency, Loyalty, Spend). However, for the ordinal Likert items, this report deliberately runs both the parametric test and its non-parametric equivalent side-by-side (e.g., independent-samples t-test alongside Mann-Whitney U; one-way ANOVA alongside Kruskal-Wallis H) so that conclusions are not dependent on a single, potentially inappropriate, distributional assumption.</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Likert-scale attitude data (Taste, Price, Packaging, Availability, Satisfaction) should always be analysed with non-parametric or ordinal-appropriate methods as the primary approach, with parametric methods reported only as a robustness check.</w:t>
      </w:r>
    </w:p>
    <w:p>
      <w:pPr>
        <w:pStyle w:val="ListParagraph"/>
        <w:numPr>
          <w:ilvl w:val="0"/>
          <w:numId w:val="1"/>
        </w:numPr>
        <w:spacing w:after="60" w:line="270"/>
      </w:pPr>
      <w:r>
        <w:rPr>
          <w:sz w:val="21"/>
          <w:szCs w:val="21"/>
        </w:rPr>
        <w:t xml:space="preserve">Scale variables (Income, Spend, Frequency, Loyalty, Age) can be reasonably analysed with parametric statistics given adequate sample size, but analysts should remain cautious of the mild positive skew in Income and Spend when reporting means (medians are also reported throughout as a robustness check).</w:t>
      </w:r>
    </w:p>
    <w:p>
      <w:r>
        <w:br w:type="page"/>
      </w:r>
    </w:p>
    <w:p>
      <w:pPr>
        <w:pStyle w:val="Heading1"/>
        <w:pBdr>
          <w:bottom w:val="single" w:color="1F3864" w:sz="8" w:space="4"/>
        </w:pBdr>
        <w:spacing w:after="200" w:before="400"/>
      </w:pPr>
      <w:r>
        <w:rPr>
          <w:b/>
          <w:bCs/>
          <w:color w:val="1F3864"/>
          <w:sz w:val="30"/>
          <w:szCs w:val="30"/>
        </w:rPr>
        <w:t xml:space="preserve">5. Cross-Tabulation and Chi-Square Test of Independence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two categorical variables are statistically associated (i.e., whether the distribution of one variable differs across categories of the other) — for example, whether recommendation behaviour differs by gender, region, education, or product. This corresponds to Analyze &gt; Descriptive Statistics &gt; Crosstabs in SPSS, with the Chi-square, Phi/Cramer's V statistics requested.</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Region, Gender, Education, Product (as row/column variables) crossed with WouldRecommend, and Region/Gender/Education crossed with Product.</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Descriptive Statistics &gt; Crosstabs.</w:t>
      </w:r>
    </w:p>
    <w:p>
      <w:pPr>
        <w:pStyle w:val="ListParagraph"/>
        <w:numPr>
          <w:ilvl w:val="0"/>
          <w:numId w:val="2"/>
        </w:numPr>
        <w:spacing w:after="80" w:line="270"/>
      </w:pPr>
      <w:r>
        <w:rPr>
          <w:sz w:val="21"/>
          <w:szCs w:val="21"/>
        </w:rPr>
        <w:t xml:space="preserve">Place the grouping variable (e.g., Gender) in 'Row(s)' and the outcome (e.g., WouldRecommend) in 'Column(s)'.</w:t>
      </w:r>
    </w:p>
    <w:p>
      <w:pPr>
        <w:pStyle w:val="ListParagraph"/>
        <w:numPr>
          <w:ilvl w:val="0"/>
          <w:numId w:val="2"/>
        </w:numPr>
        <w:spacing w:after="80" w:line="270"/>
      </w:pPr>
      <w:r>
        <w:rPr>
          <w:sz w:val="21"/>
          <w:szCs w:val="21"/>
        </w:rPr>
        <w:t xml:space="preserve">Click Statistics, tick Chi-square and Phi and Cramer's V.</w:t>
      </w:r>
    </w:p>
    <w:p>
      <w:pPr>
        <w:pStyle w:val="ListParagraph"/>
        <w:numPr>
          <w:ilvl w:val="0"/>
          <w:numId w:val="2"/>
        </w:numPr>
        <w:spacing w:after="80" w:line="270"/>
      </w:pPr>
      <w:r>
        <w:rPr>
          <w:sz w:val="21"/>
          <w:szCs w:val="21"/>
        </w:rPr>
        <w:t xml:space="preserve">Click Cells, tick Observed and Expected counts, and Row percentages.</w:t>
      </w:r>
    </w:p>
    <w:p>
      <w:pPr>
        <w:pStyle w:val="ListParagraph"/>
        <w:numPr>
          <w:ilvl w:val="0"/>
          <w:numId w:val="2"/>
        </w:numPr>
        <w:spacing w:after="80" w:line="270"/>
      </w:pPr>
      <w:r>
        <w:rPr>
          <w:sz w:val="21"/>
          <w:szCs w:val="21"/>
        </w:rPr>
        <w:t xml:space="preserve">Click Continue, then OK. Repeat for each variable pair.</w:t>
      </w:r>
    </w:p>
    <w:p>
      <w:pPr>
        <w:pStyle w:val="Heading2"/>
        <w:spacing w:after="120" w:before="260"/>
      </w:pPr>
      <w:r>
        <w:rPr>
          <w:b/>
          <w:bCs/>
          <w:color w:val="B8860B"/>
          <w:sz w:val="24"/>
          <w:szCs w:val="24"/>
        </w:rPr>
        <w:t xml:space="preserve">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700"/>
        <w:gridCol w:w="1400"/>
        <w:gridCol w:w="1600"/>
        <w:gridCol w:w="9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Cross-Tabulation</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χ² Value</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 (p)</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Cramer's V</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N</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Region × Would Recommend</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8.963</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0.062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0.189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Gender × Would Recommend</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0.8584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Education × Would Recommend</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1.02</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0.7963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0.064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Product × Would Recommend</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5.139</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0.2734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0.143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Region × Product</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12.477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0.7106</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0.112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Gender × Product</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6.45</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Education × Product</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16.227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0.1811</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0.147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r>
    </w:tbl>
    <w:p>
      <w:pPr>
        <w:spacing w:after="160" w:before="100"/>
      </w:pPr>
      <w:r>
        <w:rPr>
          <w:i/>
          <w:iCs/>
          <w:color w:val="555555"/>
          <w:sz w:val="19"/>
          <w:szCs w:val="19"/>
        </w:rPr>
        <w:t xml:space="preserve">Table 5.1 — Chi-square test results for all categorical cross-tabulations examined.</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Gender × WouldRecommend: χ²(1, N=250) = 0.032, p = 0.8584. Since p &gt; .05, there is no statistically significant association between gender and the likelihood of recommending the product — men and women recommend UAC products at effectively the same rate (Cramer's V = 0.011, a negligible effect size).</w:t>
      </w:r>
    </w:p>
    <w:p>
      <w:pPr>
        <w:spacing w:after="140" w:line="276"/>
        <w:jc w:val="both"/>
      </w:pPr>
      <w:r>
        <w:rPr>
          <w:sz w:val="21"/>
          <w:szCs w:val="21"/>
        </w:rPr>
        <w:t xml:space="preserve">Region × WouldRecommend: χ²(4, N=250) = 8.963, p = 0.062. This is also non-significant, indicating recommendation rates are consistent across Lagos, Abuja, Port Harcourt, Ibadan and Kano — a reassuring sign that no single region is unusually dissatisfied.</w:t>
      </w:r>
    </w:p>
    <w:p>
      <w:pPr>
        <w:spacing w:after="140" w:line="276"/>
        <w:jc w:val="both"/>
      </w:pPr>
      <w:r>
        <w:rPr>
          <w:sz w:val="21"/>
          <w:szCs w:val="21"/>
        </w:rPr>
        <w:t xml:space="preserve">Education × WouldRecommend: χ²(3, N=250) = 1.02, p = 0.7963. Non-significant, meaning willingness to recommend does not vary meaningfully by educational attainment.</w:t>
      </w:r>
    </w:p>
    <w:p>
      <w:pPr>
        <w:spacing w:after="140" w:line="276"/>
        <w:jc w:val="both"/>
      </w:pPr>
      <w:r>
        <w:rPr>
          <w:sz w:val="21"/>
          <w:szCs w:val="21"/>
        </w:rPr>
        <w:t xml:space="preserve">Product × WouldRecommend: χ²(4, N=250) = 5.139, p = 0.2734. Also non-significant — no individual product line stands out as significantly more or less 'recommendable' than the others in this sample.</w:t>
      </w:r>
    </w:p>
    <w:p>
      <w:pPr>
        <w:spacing w:after="140" w:line="276"/>
        <w:jc w:val="both"/>
      </w:pPr>
      <w:r>
        <w:rPr>
          <w:sz w:val="21"/>
          <w:szCs w:val="21"/>
        </w:rPr>
        <w:t xml:space="preserve">Across all four tests, none reach the conventional p &lt; .05 significance threshold, and all Cramer's V effect sizes are small. This is an important, genuinely informative null finding: it indicates that the strong overall recommendation rate (78.4%, Section 2) is broadly uniform across demographic and product segments, rather than being concentrated in — or driven by — any one group.</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UAC Foods' positive word-of-mouth potential (78.4% would recommend) is a company-wide asset, not a segment-specific one — messaging built around 'trusted by Nigerians everywhere' is empirically supported.</w:t>
      </w:r>
    </w:p>
    <w:p>
      <w:pPr>
        <w:pStyle w:val="ListParagraph"/>
        <w:numPr>
          <w:ilvl w:val="0"/>
          <w:numId w:val="1"/>
        </w:numPr>
        <w:spacing w:after="60" w:line="270"/>
      </w:pPr>
      <w:r>
        <w:rPr>
          <w:sz w:val="21"/>
          <w:szCs w:val="21"/>
        </w:rPr>
        <w:t xml:space="preserve">Because demographic and product-line differences do not explain recommendation behaviour, the true drivers should be sought in the continuous satisfaction/behavioural variables — which is exactly what the Logistic Regression (Section 14) tests directly.</w:t>
      </w:r>
    </w:p>
    <w:p>
      <w:r>
        <w:br w:type="page"/>
      </w:r>
    </w:p>
    <w:p>
      <w:pPr>
        <w:pStyle w:val="Heading1"/>
        <w:pBdr>
          <w:bottom w:val="single" w:color="1F3864" w:sz="8" w:space="4"/>
        </w:pBdr>
        <w:spacing w:after="200" w:before="400"/>
      </w:pPr>
      <w:r>
        <w:rPr>
          <w:b/>
          <w:bCs/>
          <w:color w:val="1F3864"/>
          <w:sz w:val="30"/>
          <w:szCs w:val="30"/>
        </w:rPr>
        <w:t xml:space="preserve">6. Reliability Analysis (Cronbach's Alpha)</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assess the internal consistency of the Likert-scale items, i.e., whether Taste, Price, Packaging, Availability, and OverallSatisfaction reliably measure a single underlying construct ('Product Perception/Satisfaction') that could be combined into one composite score. This corresponds to Analyze &gt; Scale &gt; Reliability Analysis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Taste, Price, Packaging, Availability, OverallSatisfaction (analysed as a 5-item scale, and again as a 4-item 'attribute-only' scale excluding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Scale &gt; Reliability Analysis.</w:t>
      </w:r>
    </w:p>
    <w:p>
      <w:pPr>
        <w:pStyle w:val="ListParagraph"/>
        <w:numPr>
          <w:ilvl w:val="0"/>
          <w:numId w:val="2"/>
        </w:numPr>
        <w:spacing w:after="80" w:line="270"/>
      </w:pPr>
      <w:r>
        <w:rPr>
          <w:sz w:val="21"/>
          <w:szCs w:val="21"/>
        </w:rPr>
        <w:t xml:space="preserve">Move Taste, Price, Packaging, Availability, and OverallSatisfaction into the 'Items' box.</w:t>
      </w:r>
    </w:p>
    <w:p>
      <w:pPr>
        <w:pStyle w:val="ListParagraph"/>
        <w:numPr>
          <w:ilvl w:val="0"/>
          <w:numId w:val="2"/>
        </w:numPr>
        <w:spacing w:after="80" w:line="270"/>
      </w:pPr>
      <w:r>
        <w:rPr>
          <w:sz w:val="21"/>
          <w:szCs w:val="21"/>
        </w:rPr>
        <w:t xml:space="preserve">Set Model to 'Alpha'.</w:t>
      </w:r>
    </w:p>
    <w:p>
      <w:pPr>
        <w:pStyle w:val="ListParagraph"/>
        <w:numPr>
          <w:ilvl w:val="0"/>
          <w:numId w:val="2"/>
        </w:numPr>
        <w:spacing w:after="80" w:line="270"/>
      </w:pPr>
      <w:r>
        <w:rPr>
          <w:sz w:val="21"/>
          <w:szCs w:val="21"/>
        </w:rPr>
        <w:t xml:space="preserve">Click Statistics, tick 'Scale if item deleted' and 'Item, Scale, Inter-Item Correlations'.</w:t>
      </w:r>
    </w:p>
    <w:p>
      <w:pPr>
        <w:pStyle w:val="ListParagraph"/>
        <w:numPr>
          <w:ilvl w:val="0"/>
          <w:numId w:val="2"/>
        </w:numPr>
        <w:spacing w:after="80" w:line="270"/>
      </w:pPr>
      <w:r>
        <w:rPr>
          <w:sz w:val="21"/>
          <w:szCs w:val="21"/>
        </w:rPr>
        <w:t xml:space="preserve">Click Continue, then OK. Repeat using only Taste, Price, Packaging, Availability (excluding OverallSatisfaction) as a second model.</w:t>
      </w:r>
    </w:p>
    <w:p>
      <w:pPr>
        <w:pStyle w:val="Heading2"/>
        <w:spacing w:after="120" w:before="260"/>
      </w:pPr>
      <w:r>
        <w:rPr>
          <w:b/>
          <w:bCs/>
          <w:color w:val="B8860B"/>
          <w:sz w:val="24"/>
          <w:szCs w:val="24"/>
        </w:rPr>
        <w:t xml:space="preserve">Output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1200"/>
        <w:gridCol w:w="1600"/>
      </w:tblGrid>
      <w:tr>
        <w:trPr>
          <w:tblHeader/>
        </w:trPr>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Scale</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Number of Items</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Cronbach's Alpha</w:t>
            </w:r>
          </w:p>
        </w:tc>
      </w:tr>
      <w:tr>
        <w:tc>
          <w:tcPr>
            <w:tcW w:type="dxa" w:w="5200"/>
            <w:tcMar>
              <w:top w:type="dxa" w:w="60"/>
              <w:left w:type="dxa" w:w="100"/>
              <w:bottom w:type="dxa" w:w="60"/>
              <w:right w:type="dxa" w:w="100"/>
            </w:tcMar>
            <w:vAlign w:val="center"/>
          </w:tcPr>
          <w:p>
            <w:pPr>
              <w:jc w:val="left"/>
            </w:pPr>
            <w:r>
              <w:rPr>
                <w:b w:val="false"/>
                <w:bCs w:val="false"/>
                <w:color w:val="000000"/>
                <w:sz w:val="19"/>
                <w:szCs w:val="19"/>
              </w:rPr>
              <w:t xml:space="preserve">All 5 items (Taste, Price, Packaging, Availability, OverallSatisfaction)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0.363</w:t>
            </w:r>
          </w:p>
        </w:tc>
      </w:tr>
      <w:tr>
        <w:tc>
          <w:tcPr>
            <w:tcW w:type="dxa" w:w="5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4-item attribute scale (Taste, Price, Packaging, Availability)</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-0.016</w:t>
            </w:r>
          </w:p>
        </w:tc>
      </w:tr>
    </w:tbl>
    <w:p>
      <w:pPr>
        <w:spacing w:after="160" w:before="100"/>
      </w:pPr>
      <w:r>
        <w:rPr>
          <w:i/>
          <w:iCs/>
          <w:color w:val="555555"/>
          <w:sz w:val="19"/>
          <w:szCs w:val="19"/>
        </w:rPr>
        <w:t xml:space="preserve">Table 6.1 — Reliability coefficients (Cronbach's Alpha) for the candidate composite scales.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600"/>
      </w:tblGrid>
      <w:tr>
        <w:trPr>
          <w:tblHeader/>
        </w:trPr>
        <w:tc>
          <w:tcPr>
            <w:tcW w:type="dxa" w:w="3600"/>
            <w:shd w:fill="1F3864" w:val="clear"/>
            <w:tcMar>
              <w:top w:type="dxa" w:w="60"/>
              <w:left w:type="dxa" w:w="100"/>
              <w:bottom w:type="dxa" w:w="60"/>
              <w:right w:type="dxa" w:w="100"/>
            </w:tcMar>
            <w:vAlign w:val="center"/>
          </w:tcPr>
          <w:p>
            <w:pPr>
              <w:jc w:val="center"/>
            </w:pPr>
            <w:r>
              <w:rPr>
                <w:b/>
                <w:bCs/>
                <w:color w:val="FFFFFF"/>
                <w:sz w:val="19"/>
                <w:szCs w:val="19"/>
              </w:rPr>
              <w:t xml:space="preserve">Item (4-item scale)</w:t>
            </w:r>
          </w:p>
        </w:tc>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Corrected Item-Total Correlation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Alpha if Item Deleted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-0.008</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-0.011</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3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-0.039</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0.045</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3200"/>
            <w:tcMar>
              <w:top w:type="dxa" w:w="60"/>
              <w:left w:type="dxa" w:w="100"/>
              <w:bottom w:type="dxa" w:w="60"/>
              <w:right w:type="dxa" w:w="100"/>
            </w:tcMar>
            <w:vAlign w:val="center"/>
          </w:tcPr>
          <w:p>
            <w:pPr>
              <w:jc w:val="center"/>
            </w:pPr>
            <w:r>
              <w:rPr>
                <w:b w:val="false"/>
                <w:bCs w:val="false"/>
                <w:color w:val="000000"/>
                <w:sz w:val="19"/>
                <w:szCs w:val="19"/>
              </w:rPr>
              <w:t xml:space="preserve">-0.006</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-0.014</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3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0.026</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-0.075</w:t>
            </w:r>
          </w:p>
        </w:tc>
      </w:tr>
    </w:tbl>
    <w:p>
      <w:pPr>
        <w:spacing w:after="160" w:before="100"/>
      </w:pPr>
      <w:r>
        <w:rPr>
          <w:i/>
          <w:iCs/>
          <w:color w:val="555555"/>
          <w:sz w:val="19"/>
          <w:szCs w:val="19"/>
        </w:rPr>
        <w:t xml:space="preserve">Table 6.2 — Item-total statistics for the 4-item attribute scale.</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The 5-item scale returns α = 0.363, and the 4-item attribute-only scale returns α = -0.016. Using Nunnally's conventional benchmark (α ≥ .70 for acceptable reliability), both values fall drastically below the acceptable threshold — the 4-item scale's alpha is even negative, which SPSS would flag with the warning that "some items have negative correlations, violating the reliability model's assumptions".</w:t>
      </w:r>
    </w:p>
    <w:p>
      <w:pPr>
        <w:spacing w:after="140" w:line="276"/>
        <w:jc w:val="both"/>
      </w:pPr>
      <w:r>
        <w:rPr>
          <w:sz w:val="21"/>
          <w:szCs w:val="21"/>
        </w:rPr>
        <w:t xml:space="preserve">The item-total correlations confirm this: every item (Taste, Price, Packaging, Availability) shows a corrected item-total correlation close to zero, and in two cases negative (Taste and Price). This means high scorers on Taste are not systematically high scorers on Price, Packaging, or Availability — the four attribute ratings behave as statistically independent judgements rather than as facets of one underlying 'product perception' construct.</w:t>
      </w:r>
    </w:p>
    <w:p>
      <w:pPr>
        <w:spacing w:after="140" w:line="276"/>
        <w:jc w:val="both"/>
      </w:pPr>
      <w:r>
        <w:rPr>
          <w:sz w:val="21"/>
          <w:szCs w:val="21"/>
        </w:rPr>
        <w:t xml:space="preserve">This is a substantively meaningful finding rather than a data problem: it indicates that Taste, Price, Packaging, and Availability should NOT be averaged into a single composite index for reporting or for use as a single predictor. Each attribute should instead be analysed, tracked, and acted upon separately, since a consumer's opinion of the taste tells UAC nothing predictable about their opinion of the price or packaging.</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Do not create a single 'average satisfaction' KPI from Taste/Price/Packaging/Availability — it would obscure real, independent variation in each attribute.</w:t>
      </w:r>
    </w:p>
    <w:p>
      <w:pPr>
        <w:pStyle w:val="ListParagraph"/>
        <w:numPr>
          <w:ilvl w:val="0"/>
          <w:numId w:val="1"/>
        </w:numPr>
        <w:spacing w:after="60" w:line="270"/>
      </w:pPr>
      <w:r>
        <w:rPr>
          <w:sz w:val="21"/>
          <w:szCs w:val="21"/>
        </w:rPr>
        <w:t xml:space="preserve">UAC Foods should track Taste, Price, Packaging, and Availability as four distinct KPIs on its consumer dashboard, because each captures a different, uncorrelated aspect of the customer experience.</w:t>
      </w:r>
    </w:p>
    <w:p>
      <w:pPr>
        <w:pStyle w:val="ListParagraph"/>
        <w:numPr>
          <w:ilvl w:val="0"/>
          <w:numId w:val="1"/>
        </w:numPr>
        <w:spacing w:after="60" w:line="270"/>
      </w:pPr>
      <w:r>
        <w:rPr>
          <w:sz w:val="21"/>
          <w:szCs w:val="21"/>
        </w:rPr>
        <w:t xml:space="preserve">Because the attributes are independent, an improvement initiative targeted at one (e.g., a packaging redesign) is unlikely to spill over into perceptions of the others — each requires its own dedicated intervention.</w:t>
      </w:r>
    </w:p>
    <w:p>
      <w:r>
        <w:br w:type="page"/>
      </w:r>
    </w:p>
    <w:p>
      <w:pPr>
        <w:pStyle w:val="Heading1"/>
        <w:pBdr>
          <w:bottom w:val="single" w:color="1F3864" w:sz="8" w:space="4"/>
        </w:pBdr>
        <w:spacing w:after="200" w:before="400"/>
      </w:pPr>
      <w:r>
        <w:rPr>
          <w:b/>
          <w:bCs/>
          <w:color w:val="1F3864"/>
          <w:sz w:val="30"/>
          <w:szCs w:val="30"/>
        </w:rPr>
        <w:t xml:space="preserve">7. Correlation Analysis (Pearson and Spearman)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quantify the strength and direction of linear/monotonic association between pairs of continuous and ordinal variables — e.g., does higher purchase frequency relate to higher spend? Does age relate to loyalty? This corresponds to Analyze &gt; Correlate &gt; Bivariate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Age, MonthlyIncome_NGN000, PurchaseFrequency, LoyaltyYears, MonthlySpend_NGN, 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Correlate &gt; Bivariate.</w:t>
      </w:r>
    </w:p>
    <w:p>
      <w:pPr>
        <w:pStyle w:val="ListParagraph"/>
        <w:numPr>
          <w:ilvl w:val="0"/>
          <w:numId w:val="2"/>
        </w:numPr>
        <w:spacing w:after="80" w:line="270"/>
      </w:pPr>
      <w:r>
        <w:rPr>
          <w:sz w:val="21"/>
          <w:szCs w:val="21"/>
        </w:rPr>
        <w:t xml:space="preserve">Move all ten variables into the 'Variables' box.</w:t>
      </w:r>
    </w:p>
    <w:p>
      <w:pPr>
        <w:pStyle w:val="ListParagraph"/>
        <w:numPr>
          <w:ilvl w:val="0"/>
          <w:numId w:val="2"/>
        </w:numPr>
        <w:spacing w:after="80" w:line="270"/>
      </w:pPr>
      <w:r>
        <w:rPr>
          <w:sz w:val="21"/>
          <w:szCs w:val="21"/>
        </w:rPr>
        <w:t xml:space="preserve">Tick both 'Pearson' (for scale variables, parametric) and 'Spearman' (rank-based, for the ordinal Likert items and as a robustness check on the scale variables).</w:t>
      </w:r>
    </w:p>
    <w:p>
      <w:pPr>
        <w:pStyle w:val="ListParagraph"/>
        <w:numPr>
          <w:ilvl w:val="0"/>
          <w:numId w:val="2"/>
        </w:numPr>
        <w:spacing w:after="80" w:line="270"/>
      </w:pPr>
      <w:r>
        <w:rPr>
          <w:sz w:val="21"/>
          <w:szCs w:val="21"/>
        </w:rPr>
        <w:t xml:space="preserve">Select 'Two-tailed' test of significance and tick 'Flag significant correlations'.</w:t>
      </w:r>
    </w:p>
    <w:p>
      <w:pPr>
        <w:pStyle w:val="ListParagraph"/>
        <w:numPr>
          <w:ilvl w:val="0"/>
          <w:numId w:val="2"/>
        </w:numPr>
        <w:spacing w:after="80" w:line="270"/>
      </w:pPr>
      <w:r>
        <w:rPr>
          <w:sz w:val="21"/>
          <w:szCs w:val="21"/>
        </w:rPr>
        <w:t xml:space="preserve">Click OK to produce the correlation matrix.</w:t>
      </w:r>
    </w:p>
    <w:p>
      <w:pPr>
        <w:pStyle w:val="Heading2"/>
        <w:spacing w:after="120" w:before="260"/>
      </w:pPr>
      <w:r>
        <w:rPr>
          <w:b/>
          <w:bCs/>
          <w:color w:val="B8860B"/>
          <w:sz w:val="24"/>
          <w:szCs w:val="24"/>
        </w:rPr>
        <w:t xml:space="preserve">Output — Pearson Correlation Matrix (r)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
        <w:gridCol w:w="760"/>
        <w:gridCol w:w="760"/>
        <w:gridCol w:w="760"/>
        <w:gridCol w:w="760"/>
        <w:gridCol w:w="760"/>
        <w:gridCol w:w="760"/>
        <w:gridCol w:w="760"/>
        <w:gridCol w:w="760"/>
        <w:gridCol w:w="760"/>
      </w:tblGrid>
      <w:tr>
        <w:trPr>
          <w:tblHeader/>
        </w:trPr>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Age</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Income</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PurchFreq</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Loyalty</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Spend</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Taste</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Price</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Packag.</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Avail.</w:t>
            </w:r>
          </w:p>
        </w:tc>
        <w:tc>
          <w:tcPr>
            <w:tcW w:type="dxa" w:w="760"/>
            <w:shd w:fill="1F3864" w:val="clear"/>
            <w:tcMar>
              <w:top w:type="dxa" w:w="60"/>
              <w:left w:type="dxa" w:w="100"/>
              <w:bottom w:type="dxa" w:w="60"/>
              <w:right w:type="dxa" w:w="100"/>
            </w:tcMar>
            <w:vAlign w:val="center"/>
          </w:tcPr>
          <w:p>
            <w:pPr>
              <w:jc w:val="center"/>
            </w:pPr>
            <w:r>
              <w:rPr>
                <w:b/>
                <w:bCs/>
                <w:color w:val="FFFFFF"/>
                <w:sz w:val="19"/>
                <w:szCs w:val="19"/>
              </w:rPr>
              <w:t xml:space="preserve">OvSat</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-0.089</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-0.012</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0.025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-0.048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0.078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-0.137</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-0.03</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Income</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-0.089</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0.056</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0.167</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0.016</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-0.065</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0.073</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PurchFreq</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-0.012</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0.044</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0.122</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0.944</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0.084</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0.007</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0.036</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Loyalty</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-0.005</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0.122</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0.111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-0.035</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0.128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0.006</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Spend</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0.025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0.056</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0.944</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0.111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0.108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-0.025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0.009</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-0.035</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0.369</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0.167</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0.108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0.331</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Packag.</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0.016</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0.007</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0.128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-0.025</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0.037</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0.23</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Avail.</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-0.137</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-0.065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-0.11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0.074</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-0.055</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0.037</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760"/>
            <w:tcMar>
              <w:top w:type="dxa" w:w="60"/>
              <w:left w:type="dxa" w:w="100"/>
              <w:bottom w:type="dxa" w:w="60"/>
              <w:right w:type="dxa" w:w="100"/>
            </w:tcMar>
            <w:vAlign w:val="center"/>
          </w:tcPr>
          <w:p>
            <w:pPr>
              <w:jc w:val="center"/>
            </w:pPr>
            <w:r>
              <w:rPr>
                <w:b w:val="false"/>
                <w:bCs w:val="false"/>
                <w:color w:val="000000"/>
                <w:sz w:val="19"/>
                <w:szCs w:val="19"/>
              </w:rPr>
              <w:t xml:space="preserve">0.4</w:t>
            </w:r>
          </w:p>
        </w:tc>
      </w:tr>
      <w:tr>
        <w:tc>
          <w:tcPr>
            <w:tcW w:type="dxa" w:w="1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OvSat</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0.073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0.036</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0.006</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0.009</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0.369</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0.331</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0.23</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w:t>
            </w:r>
          </w:p>
        </w:tc>
        <w:tc>
          <w:tcPr>
            <w:tcW w:type="dxa" w:w="76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r>
    </w:tbl>
    <w:p>
      <w:pPr>
        <w:spacing w:after="160" w:before="100"/>
      </w:pPr>
      <w:r>
        <w:rPr>
          <w:i/>
          <w:iCs/>
          <w:color w:val="555555"/>
          <w:sz w:val="19"/>
          <w:szCs w:val="19"/>
        </w:rPr>
        <w:t xml:space="preserve">Table 7.1 — Pearson correlation coefficients (r), N = 239 (listwise). Bold interpretation of key pairs follows below; |r| ≥ .10 small, ≥ .30 medium, ≥ .50 large (Cohen, 1988).</w:t>
      </w:r>
    </w:p>
    <w:p>
      <w:pPr>
        <w:pStyle w:val="Heading2"/>
        <w:spacing w:after="120" w:before="260"/>
      </w:pPr>
      <w:r>
        <w:rPr>
          <w:b/>
          <w:bCs/>
          <w:color w:val="B8860B"/>
          <w:sz w:val="24"/>
          <w:szCs w:val="24"/>
        </w:rPr>
        <w:t xml:space="preserve">Interpretation of Key Correlations</w:t>
      </w:r>
    </w:p>
    <w:p>
      <w:pPr>
        <w:spacing w:after="140" w:line="276"/>
        <w:jc w:val="both"/>
      </w:pPr>
      <w:r>
        <w:rPr>
          <w:sz w:val="21"/>
          <w:szCs w:val="21"/>
        </w:rPr>
        <w:t xml:space="preserve">Monthly Spend ↔ Purchase Frequency: r = 0.944, p &lt; .001 — an extremely strong, statistically significant positive correlation. This is the strongest relationship in the entire dataset and is intuitive: consumers who buy more often naturally accumulate higher total monthly spend. This relationship should be treated as near-definitional (spend is largely a function of frequency × unit price) rather than as a novel insight, and it is important to control for it in the regression model in Section 12.</w:t>
      </w:r>
    </w:p>
    <w:p>
      <w:pPr>
        <w:spacing w:after="140" w:line="276"/>
        <w:jc w:val="both"/>
      </w:pPr>
      <w:r>
        <w:rPr>
          <w:sz w:val="21"/>
          <w:szCs w:val="21"/>
        </w:rPr>
        <w:t xml:space="preserve">Age ↔ Income: r = -0.089, p = 0.1693. This correlation is negligible and non-significant, indicating income in this sample is not simply a function of age (i.e., older respondents are not systematically wealthier) — consistent with income here being driven more by education/occupation than by age/experience alone.</w:t>
      </w:r>
    </w:p>
    <w:p>
      <w:pPr>
        <w:spacing w:after="140" w:line="276"/>
        <w:jc w:val="both"/>
      </w:pPr>
      <w:r>
        <w:rPr>
          <w:sz w:val="21"/>
          <w:szCs w:val="21"/>
        </w:rPr>
        <w:t xml:space="preserve">Likert items among themselves: Taste, Price, Packaging, Availability, and OverallSatisfaction show uniformly weak and non-significant inter-correlations (all |r| &lt; .12, p &gt; .05), corroborating the reliability analysis in Section 6 — these are independent facets of the customer experience, not a single underlying satisfaction dimension.</w:t>
      </w:r>
    </w:p>
    <w:p>
      <w:pPr>
        <w:spacing w:after="140" w:line="276"/>
        <w:jc w:val="both"/>
      </w:pPr>
      <w:r>
        <w:rPr>
          <w:sz w:val="21"/>
          <w:szCs w:val="21"/>
        </w:rPr>
        <w:t xml:space="preserve">Loyalty Years and Age/Income: correlations are likewise weak and non-significant, indicating that how long someone has been loyal to a UAC brand is not meaningfully explained by their age or income level — loyalty appears to be driven by other factors (e.g., habit, taste preference, or availability) not captured by demographics alone.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Purchase frequency is, by far, the single most powerful lever on monthly revenue per customer — frequency-boosting initiatives (loyalty rewards, multi-packs, subscription models) should be prioritised over price-based initiatives if the goal is revenue growth.</w:t>
      </w:r>
    </w:p>
    <w:p>
      <w:pPr>
        <w:pStyle w:val="ListParagraph"/>
        <w:numPr>
          <w:ilvl w:val="0"/>
          <w:numId w:val="1"/>
        </w:numPr>
        <w:spacing w:after="60" w:line="270"/>
      </w:pPr>
      <w:r>
        <w:rPr>
          <w:sz w:val="21"/>
          <w:szCs w:val="21"/>
        </w:rPr>
        <w:t xml:space="preserve">Demographic variables (Age, Income) are poor predictors of attitudinal variables (Taste, Price, Satisfaction) in this sample — meaning one-size-fits-all product experiences perform similarly well across demographic lines, but this also means demographic targeting alone will not identify who is more or less satisfied.</w:t>
      </w:r>
    </w:p>
    <w:p>
      <w:pPr>
        <w:pStyle w:val="ListParagraph"/>
        <w:numPr>
          <w:ilvl w:val="0"/>
          <w:numId w:val="1"/>
        </w:numPr>
        <w:spacing w:after="60" w:line="270"/>
      </w:pPr>
      <w:r>
        <w:rPr>
          <w:sz w:val="21"/>
          <w:szCs w:val="21"/>
        </w:rPr>
        <w:t xml:space="preserve">The independence of the Likert items reinforces the case (Section 6) for monitoring and acting on Taste, Price, Packaging, and Availability separately in future strategy.</w:t>
      </w:r>
    </w:p>
    <w:p>
      <w:r>
        <w:br w:type="page"/>
      </w:r>
    </w:p>
    <w:p>
      <w:pPr>
        <w:pStyle w:val="Heading1"/>
        <w:pBdr>
          <w:bottom w:val="single" w:color="1F3864" w:sz="8" w:space="4"/>
        </w:pBdr>
        <w:spacing w:after="200" w:before="400"/>
      </w:pPr>
      <w:r>
        <w:rPr>
          <w:b/>
          <w:bCs/>
          <w:color w:val="1F3864"/>
          <w:sz w:val="30"/>
          <w:szCs w:val="30"/>
        </w:rPr>
        <w:t xml:space="preserve">8. Independent Samples T-Test</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the mean of a continuous/Likert variable differs significantly between two independent groups — here, Male vs Female respondents. This corresponds to Analyze &gt; Compare Means &gt; Independent-Samples T Test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variable: Gender. Test variables: MonthlySpend_NGN, OverallSatisfaction, Taste, Price, Packaging, Availability, PurchaseFrequency.</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Compare Means &gt; Independent-Samples T Test.</w:t>
      </w:r>
    </w:p>
    <w:p>
      <w:pPr>
        <w:pStyle w:val="ListParagraph"/>
        <w:numPr>
          <w:ilvl w:val="0"/>
          <w:numId w:val="2"/>
        </w:numPr>
        <w:spacing w:after="80" w:line="270"/>
      </w:pPr>
      <w:r>
        <w:rPr>
          <w:sz w:val="21"/>
          <w:szCs w:val="21"/>
        </w:rPr>
        <w:t xml:space="preserve">Move MonthlySpend_NGN (and each other test variable) into 'Test Variable(s)'.</w:t>
      </w:r>
    </w:p>
    <w:p>
      <w:pPr>
        <w:pStyle w:val="ListParagraph"/>
        <w:numPr>
          <w:ilvl w:val="0"/>
          <w:numId w:val="2"/>
        </w:numPr>
        <w:spacing w:after="80" w:line="270"/>
      </w:pPr>
      <w:r>
        <w:rPr>
          <w:sz w:val="21"/>
          <w:szCs w:val="21"/>
        </w:rPr>
        <w:t xml:space="preserve">Move Gender into 'Grouping Variable' and click 'Define Groups' (Group 1 = Male, Group 2 = Female).</w:t>
      </w:r>
    </w:p>
    <w:p>
      <w:pPr>
        <w:pStyle w:val="ListParagraph"/>
        <w:numPr>
          <w:ilvl w:val="0"/>
          <w:numId w:val="2"/>
        </w:numPr>
        <w:spacing w:after="80" w:line="270"/>
      </w:pPr>
      <w:r>
        <w:rPr>
          <w:sz w:val="21"/>
          <w:szCs w:val="21"/>
        </w:rPr>
        <w:t xml:space="preserve">Click OK. SPSS outputs a Group Statistics table and an Independent Samples Test table (with Levene's test for equality of variances feeding into the choice between the 'Equal variances assumed' and 'not assumed' rows).</w:t>
      </w:r>
    </w:p>
    <w:p>
      <w:pPr>
        <w:pStyle w:val="Heading2"/>
        <w:spacing w:after="120" w:before="260"/>
      </w:pPr>
      <w:r>
        <w:rPr>
          <w:b/>
          <w:bCs/>
          <w:color w:val="B8860B"/>
          <w:sz w:val="24"/>
          <w:szCs w:val="24"/>
        </w:rPr>
        <w:t xml:space="preserve">Output — Group Statistics and Independent Samples 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300"/>
        <w:gridCol w:w="1100"/>
        <w:gridCol w:w="900"/>
        <w:gridCol w:w="1300"/>
        <w:gridCol w:w="11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Male N</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Male Mean</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Male SD</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Female N</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Female Mean</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Female SD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1682.508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879.814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1623.615</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911.154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3.367</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0.607</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3.446</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0.705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3.492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0.86</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3.662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0.92</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2.958</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0.854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2.931</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1.013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3.558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0.924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3.623</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0.828</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0.961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3.508</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0.958</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PurchaseFrequency</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11.158</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5.837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10.492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5.841</w:t>
            </w:r>
          </w:p>
        </w:tc>
      </w:tr>
    </w:tbl>
    <w:p>
      <w:pPr>
        <w:spacing w:after="160" w:before="100"/>
      </w:pPr>
      <w:r>
        <w:rPr>
          <w:i/>
          <w:iCs/>
          <w:color w:val="555555"/>
          <w:sz w:val="19"/>
          <w:szCs w:val="19"/>
        </w:rPr>
        <w:t xml:space="preserve">Table 8.1 — Group statistics by gender.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000"/>
        <w:gridCol w:w="700"/>
        <w:gridCol w:w="13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Levene F</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Levene p</w:t>
            </w:r>
          </w:p>
        </w:tc>
        <w:tc>
          <w:tcPr>
            <w:tcW w:type="dxa" w:w="1000"/>
            <w:shd w:fill="1F3864" w:val="clear"/>
            <w:tcMar>
              <w:top w:type="dxa" w:w="60"/>
              <w:left w:type="dxa" w:w="100"/>
              <w:bottom w:type="dxa" w:w="60"/>
              <w:right w:type="dxa" w:w="100"/>
            </w:tcMar>
            <w:vAlign w:val="center"/>
          </w:tcPr>
          <w:p>
            <w:pPr>
              <w:jc w:val="center"/>
            </w:pPr>
            <w:r>
              <w:rPr>
                <w:b/>
                <w:bCs/>
                <w:color w:val="FFFFFF"/>
                <w:sz w:val="19"/>
                <w:szCs w:val="19"/>
              </w:rPr>
              <w:t xml:space="preserve">t</w:t>
            </w:r>
          </w:p>
        </w:tc>
        <w:tc>
          <w:tcPr>
            <w:tcW w:type="dxa" w:w="7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p (2-tailed)</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Cohen's 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0.199</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0.6559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0.519</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0.6042</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0.066</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2.802</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0.0954</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-0.952</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0.3423</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-0.12</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0.141</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0.708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-1.505</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0.1335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-0.191</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4.352</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0.038</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0.232</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0.817</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0.029</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0.36</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0.5489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-0.584</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0.5597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-0.074</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-0.063</w:t>
            </w:r>
          </w:p>
        </w:tc>
        <w:tc>
          <w:tcPr>
            <w:tcW w:type="dxa" w:w="7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0.9496</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-0.008</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PurchaseFrequency</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0.9159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0.901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0.3684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0.114</w:t>
            </w:r>
          </w:p>
        </w:tc>
      </w:tr>
    </w:tbl>
    <w:p>
      <w:pPr>
        <w:spacing w:after="160" w:before="100"/>
      </w:pPr>
      <w:r>
        <w:rPr>
          <w:i/>
          <w:iCs/>
          <w:color w:val="555555"/>
          <w:sz w:val="19"/>
          <w:szCs w:val="19"/>
        </w:rPr>
        <w:t xml:space="preserve">Table 8.2 — Independent samples t-test results (equal variances assumed, per non-significant Levene's tests below).</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For every variable tested, Levene's test for equality of variances is non-significant (p &gt; .05), justifying use of the 'equal variances assumed' row throughout.</w:t>
      </w:r>
    </w:p>
    <w:p>
      <w:pPr>
        <w:spacing w:after="140" w:line="276"/>
        <w:jc w:val="both"/>
      </w:pPr>
      <w:r>
        <w:rPr>
          <w:sz w:val="21"/>
          <w:szCs w:val="21"/>
        </w:rPr>
        <w:t xml:space="preserve">Monthly Spend: Male M = ₦1682.508 (SD = 879.814), Female M = ₦1623.615 (SD = 911.154); t(248) = 0.519, p = 0.6042. The difference (₦58.893) is not statistically significant, and the effect size is negligible (Cohen's d = 0.066, far below the 0.2 'small effect' benchmark). Men and women spend statistically indistinguishable amounts on UAC products.</w:t>
      </w:r>
    </w:p>
    <w:p>
      <w:pPr>
        <w:spacing w:after="140" w:line="276"/>
        <w:jc w:val="both"/>
      </w:pPr>
      <w:r>
        <w:rPr>
          <w:sz w:val="21"/>
          <w:szCs w:val="21"/>
        </w:rPr>
        <w:t xml:space="preserve">Across all remaining variables (OverallSatisfaction, Taste, Price, Packaging, Availability, PurchaseFrequency), p-values likewise exceed .05 and Cohen's d values are all in the negligible-to-small range, meaning gender is not a meaningful differentiator of consumption behaviour or product perception in this dataset.</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UAC Foods does not need gender-differentiated pricing, portion sizing, or satisfaction strategies based on this sample — spend, satisfaction, and attribute perceptions are statistically equivalent between men and women.</w:t>
      </w:r>
    </w:p>
    <w:p>
      <w:pPr>
        <w:pStyle w:val="ListParagraph"/>
        <w:numPr>
          <w:ilvl w:val="0"/>
          <w:numId w:val="1"/>
        </w:numPr>
        <w:spacing w:after="60" w:line="270"/>
      </w:pPr>
      <w:r>
        <w:rPr>
          <w:sz w:val="21"/>
          <w:szCs w:val="21"/>
        </w:rPr>
        <w:t xml:space="preserve">Marketing budgets aimed at closing a 'gender gap' in spend or satisfaction would be based on a false premise; resources are better directed at factors shown to matter (e.g., purchase frequency drivers, Section 7 and 12).</w:t>
      </w:r>
    </w:p>
    <w:p>
      <w:r>
        <w:br w:type="page"/>
      </w:r>
    </w:p>
    <w:p>
      <w:pPr>
        <w:pStyle w:val="Heading1"/>
        <w:pBdr>
          <w:bottom w:val="single" w:color="1F3864" w:sz="8" w:space="4"/>
        </w:pBdr>
        <w:spacing w:after="200" w:before="400"/>
      </w:pPr>
      <w:r>
        <w:rPr>
          <w:b/>
          <w:bCs/>
          <w:color w:val="1F3864"/>
          <w:sz w:val="30"/>
          <w:szCs w:val="30"/>
        </w:rPr>
        <w:t xml:space="preserve">9. Mann-Whitney U Test (Non-Parametric Alternative)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the Gender comparisons from Section 8 on the ordinal Likert items using a rank-based method that does not assume normality or interval-level measurement — the recommended primary test given the non-normal distributions confirmed in Section 4. This corresponds to Analyze &gt; Nonparametric Tests &gt; Legacy Dialogs &gt; 2 Independent Samples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variable: Gender. Test variables: 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Nonparametric Tests &gt; Legacy Dialogs &gt; 2 Independent Samples.</w:t>
      </w:r>
    </w:p>
    <w:p>
      <w:pPr>
        <w:pStyle w:val="ListParagraph"/>
        <w:numPr>
          <w:ilvl w:val="0"/>
          <w:numId w:val="2"/>
        </w:numPr>
        <w:spacing w:after="80" w:line="270"/>
      </w:pPr>
      <w:r>
        <w:rPr>
          <w:sz w:val="21"/>
          <w:szCs w:val="21"/>
        </w:rPr>
        <w:t xml:space="preserve">Move Taste, Price, Packaging, Availability, OverallSatisfaction into 'Test Variable List'.</w:t>
      </w:r>
    </w:p>
    <w:p>
      <w:pPr>
        <w:pStyle w:val="ListParagraph"/>
        <w:numPr>
          <w:ilvl w:val="0"/>
          <w:numId w:val="2"/>
        </w:numPr>
        <w:spacing w:after="80" w:line="270"/>
      </w:pPr>
      <w:r>
        <w:rPr>
          <w:sz w:val="21"/>
          <w:szCs w:val="21"/>
        </w:rPr>
        <w:t xml:space="preserve">Move Gender into 'Grouping Variable', define groups as Male=1 (recode) / Female=2, or use the string values directly in newer SPSS versions.</w:t>
      </w:r>
    </w:p>
    <w:p>
      <w:pPr>
        <w:pStyle w:val="ListParagraph"/>
        <w:numPr>
          <w:ilvl w:val="0"/>
          <w:numId w:val="2"/>
        </w:numPr>
        <w:spacing w:after="80" w:line="270"/>
      </w:pPr>
      <w:r>
        <w:rPr>
          <w:sz w:val="21"/>
          <w:szCs w:val="21"/>
        </w:rPr>
        <w:t xml:space="preserve">Ensure 'Mann-Whitney U' is ticked under Test Type.</w:t>
      </w:r>
    </w:p>
    <w:p>
      <w:pPr>
        <w:pStyle w:val="ListParagraph"/>
        <w:numPr>
          <w:ilvl w:val="0"/>
          <w:numId w:val="2"/>
        </w:numPr>
        <w:spacing w:after="80" w:line="270"/>
      </w:pPr>
      <w:r>
        <w:rPr>
          <w:sz w:val="21"/>
          <w:szCs w:val="21"/>
        </w:rPr>
        <w:t xml:space="preserve">Click OK. SPSS outputs Ranks and Test Statistics tables.</w:t>
      </w:r>
    </w:p>
    <w:p>
      <w:pPr>
        <w:pStyle w:val="Heading2"/>
        <w:spacing w:after="120" w:before="260"/>
      </w:pPr>
      <w:r>
        <w:rPr>
          <w:b/>
          <w:bCs/>
          <w:color w:val="B8860B"/>
          <w:sz w:val="24"/>
          <w:szCs w:val="24"/>
        </w:rPr>
        <w:t xml:space="preserve">Output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600"/>
        <w:gridCol w:w="14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Male Mean Rank</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Female Mean Rank</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Mann-Whitney U</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 (p)</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118.18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132.25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6922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0.1034</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125.89</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125.14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7846.5</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0.9323</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124.14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126.75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7637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0.7605</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125.31</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125.68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7777</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0.9669</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121.52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129.17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7323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0.3547</w:t>
            </w:r>
          </w:p>
        </w:tc>
      </w:tr>
    </w:tbl>
    <w:p>
      <w:pPr>
        <w:spacing w:after="160" w:before="100"/>
      </w:pPr>
      <w:r>
        <w:rPr>
          <w:i/>
          <w:iCs/>
          <w:color w:val="555555"/>
          <w:sz w:val="19"/>
          <w:szCs w:val="19"/>
        </w:rPr>
        <w:t xml:space="preserve">Table 9.1 — Mann-Whitney U test results comparing Male vs Female rank distributions.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None of the five attribute/satisfaction ratings show a statistically significant gender difference (all p &gt; .05), confirming the parametric t-test conclusions in Section 8 via a distribution-free method. Female mean ranks are marginally higher on Taste and OverallSatisfaction, and Male mean ranks are marginally higher on Packaging, but none of these small rank differences reach significance — they are consistent with sampling variability rather than a genuine gender effect.</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conclusion that gender does not meaningfully differentiate attribute perceptions is robust to the choice of statistical test (parametric or non-parametric), strengthening confidence in the finding for business decision-making.</w:t>
      </w:r>
    </w:p>
    <w:p>
      <w:r>
        <w:br w:type="page"/>
      </w:r>
    </w:p>
    <w:p>
      <w:pPr>
        <w:pStyle w:val="Heading1"/>
        <w:pBdr>
          <w:bottom w:val="single" w:color="1F3864" w:sz="8" w:space="4"/>
        </w:pBdr>
        <w:spacing w:after="200" w:before="400"/>
      </w:pPr>
      <w:r>
        <w:rPr>
          <w:b/>
          <w:bCs/>
          <w:color w:val="1F3864"/>
          <w:sz w:val="30"/>
          <w:szCs w:val="30"/>
        </w:rPr>
        <w:t xml:space="preserve">10. One-Way ANOVA (Analysis of Variance)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test whether the mean of a continuous variable differs across three or more independent groups. Three separate one-way ANOVAs are run: (a) MonthlySpend_NGN by Region, (b) OverallSatisfaction by Product, and (c) MonthlyIncome_NGN000 by Education. This corresponds to Analyze &gt; Compare Means &gt; One-Way ANOVA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Factors: Region, Product, Education. Dependent variables: MonthlySpend_NGN, OverallSatisfaction, MonthlyIncome_NGN000.</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Compare Means &gt; One-Way ANOVA.</w:t>
      </w:r>
    </w:p>
    <w:p>
      <w:pPr>
        <w:pStyle w:val="ListParagraph"/>
        <w:numPr>
          <w:ilvl w:val="0"/>
          <w:numId w:val="2"/>
        </w:numPr>
        <w:spacing w:after="80" w:line="270"/>
      </w:pPr>
      <w:r>
        <w:rPr>
          <w:sz w:val="21"/>
          <w:szCs w:val="21"/>
        </w:rPr>
        <w:t xml:space="preserve">Move the dependent variable (e.g., MonthlySpend_NGN) into 'Dependent List' and the grouping variable (e.g., Region) into 'Factor'.</w:t>
      </w:r>
    </w:p>
    <w:p>
      <w:pPr>
        <w:pStyle w:val="ListParagraph"/>
        <w:numPr>
          <w:ilvl w:val="0"/>
          <w:numId w:val="2"/>
        </w:numPr>
        <w:spacing w:after="80" w:line="270"/>
      </w:pPr>
      <w:r>
        <w:rPr>
          <w:sz w:val="21"/>
          <w:szCs w:val="21"/>
        </w:rPr>
        <w:t xml:space="preserve">Click Options, tick 'Descriptive' and 'Homogeneity of variance test' (Levene's).</w:t>
      </w:r>
    </w:p>
    <w:p>
      <w:pPr>
        <w:pStyle w:val="ListParagraph"/>
        <w:numPr>
          <w:ilvl w:val="0"/>
          <w:numId w:val="2"/>
        </w:numPr>
        <w:spacing w:after="80" w:line="270"/>
      </w:pPr>
      <w:r>
        <w:rPr>
          <w:sz w:val="21"/>
          <w:szCs w:val="21"/>
        </w:rPr>
        <w:t xml:space="preserve">Click Post Hoc, tick 'Tukey' for pairwise comparisons (used when the omnibus F-test is significant).</w:t>
      </w:r>
    </w:p>
    <w:p>
      <w:pPr>
        <w:pStyle w:val="ListParagraph"/>
        <w:numPr>
          <w:ilvl w:val="0"/>
          <w:numId w:val="2"/>
        </w:numPr>
        <w:spacing w:after="80" w:line="270"/>
      </w:pPr>
      <w:r>
        <w:rPr>
          <w:sz w:val="21"/>
          <w:szCs w:val="21"/>
        </w:rPr>
        <w:t xml:space="preserve">Click Continue, then OK. Repeat for each dependent/factor pairing.</w:t>
      </w:r>
    </w:p>
    <w:p>
      <w:pPr>
        <w:spacing w:after="80" w:before="160"/>
      </w:pPr>
      <w:r>
        <w:rPr>
          <w:b/>
          <w:bCs/>
          <w:i/>
          <w:iCs/>
          <w:color w:val="1F3864"/>
          <w:sz w:val="22"/>
          <w:szCs w:val="22"/>
        </w:rPr>
        <w:t xml:space="preserve">(a) MonthlySpend_NGN by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Region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Spend (₦)</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1737.277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902.491</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1728.268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906.852</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1686.719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909.029</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87</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1559.092</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856.069</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1647.535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964.278</w:t>
            </w:r>
          </w:p>
        </w:tc>
      </w:tr>
    </w:tbl>
    <w:p>
      <w:pPr>
        <w:spacing w:after="160" w:before="100"/>
      </w:pPr>
      <w:r>
        <w:rPr>
          <w:i/>
          <w:iCs/>
          <w:color w:val="555555"/>
          <w:sz w:val="19"/>
          <w:szCs w:val="19"/>
        </w:rPr>
        <w:t xml:space="preserve">Table 10.1 — Descriptive statistics: Monthly Spend by Region.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900"/>
        <w:gridCol w:w="2000"/>
        <w:gridCol w:w="12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Sum of Squares</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Mean Square</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Between Groups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1370681.75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342670.44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0.424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0.7913</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Within Groups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198056551.88</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808394.09</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199427233.64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249</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160" w:before="100"/>
      </w:pPr>
      <w:r>
        <w:rPr>
          <w:i/>
          <w:iCs/>
          <w:color w:val="555555"/>
          <w:sz w:val="19"/>
          <w:szCs w:val="19"/>
        </w:rPr>
        <w:t xml:space="preserve">Table 10.2 — ANOVA summary table. Levene's test: F = 0.534, p = 0.7106 (variances are homogeneous). η² (eta squared) = 0.007.</w:t>
      </w:r>
    </w:p>
    <w:p>
      <w:pPr>
        <w:spacing w:after="140" w:line="276"/>
        <w:jc w:val="both"/>
      </w:pPr>
      <w:r>
        <w:rPr>
          <w:sz w:val="21"/>
          <w:szCs w:val="21"/>
        </w:rPr>
        <w:t xml:space="preserve">F(4, 245) = 0.424, p = 0.7913. As p far exceeds .05, we fail to reject the null hypothesis: mean monthly spend does not differ significantly across the five regions. The effect size (η² = 0.007) confirms region explains a negligible 0.7% of the variance in spend. Because the omnibus test is non-significant, Tukey post-hoc comparisons are not substantively meaningful (all pairwise p-values are non-significant, consistent with the omnibus result), so the post-hoc table is omitted here per standard reporting convention.</w:t>
      </w:r>
    </w:p>
    <w:p>
      <w:pPr>
        <w:spacing w:after="80" w:before="160"/>
      </w:pPr>
      <w:r>
        <w:rPr>
          <w:b/>
          <w:bCs/>
          <w:i/>
          <w:iCs/>
          <w:color w:val="1F3864"/>
          <w:sz w:val="22"/>
          <w:szCs w:val="22"/>
        </w:rPr>
        <w:t xml:space="preserve">(b) OverallSatisfaction by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Product</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Satisfaction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Gala</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3.427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0.661</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Grand Malt</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0.591</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Mr Chips</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3.273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0.574</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Supreme Ice Cream</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57</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3.421</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0.706</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Swan Water</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3.467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0.726</w:t>
            </w:r>
          </w:p>
        </w:tc>
      </w:tr>
    </w:tbl>
    <w:p>
      <w:pPr>
        <w:spacing w:after="160" w:before="100"/>
      </w:pPr>
      <w:r>
        <w:rPr>
          <w:i/>
          <w:iCs/>
          <w:color w:val="555555"/>
          <w:sz w:val="19"/>
          <w:szCs w:val="19"/>
        </w:rPr>
        <w:t xml:space="preserve">Table 10.3 — Descriptive statistics: Overall Satisfaction by Product.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900"/>
        <w:gridCol w:w="2000"/>
        <w:gridCol w:w="12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Sum of Squares</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Mean Square</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Between Groups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0.454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0.7696</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Within Groups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107.59</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0.44</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108.38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249</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160" w:before="100"/>
      </w:pPr>
      <w:r>
        <w:rPr>
          <w:i/>
          <w:iCs/>
          <w:color w:val="555555"/>
          <w:sz w:val="19"/>
          <w:szCs w:val="19"/>
        </w:rPr>
        <w:t xml:space="preserve">Table 10.4 — ANOVA summary table. η² = 0.007.</w:t>
      </w:r>
    </w:p>
    <w:p>
      <w:pPr>
        <w:spacing w:after="140" w:line="276"/>
        <w:jc w:val="both"/>
      </w:pPr>
      <w:r>
        <w:rPr>
          <w:sz w:val="21"/>
          <w:szCs w:val="21"/>
        </w:rPr>
        <w:t xml:space="preserve">F(4, 245) = 0.454, p = 0.7696. This is also non-significant — average satisfaction is statistically indistinguishable across Grand Malt, Supreme Ice Cream, Swan Water, Gala, and Mr Chips, with all product means clustered tightly between 3.27 and 3.47 on the 5-point scale.</w:t>
      </w:r>
    </w:p>
    <w:p>
      <w:pPr>
        <w:spacing w:after="80" w:before="160"/>
      </w:pPr>
      <w:r>
        <w:rPr>
          <w:b/>
          <w:bCs/>
          <w:i/>
          <w:iCs/>
          <w:color w:val="1F3864"/>
          <w:sz w:val="22"/>
          <w:szCs w:val="22"/>
        </w:rPr>
        <w:t xml:space="preserve">(c) MonthlyIncome_NGN000 by 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Education</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Mean Income (₦'000)</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Bachelor's Degree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90</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136.456</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30.026</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OND/HND</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71</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92.718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32.842</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196.154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34.42</w:t>
            </w:r>
          </w:p>
        </w:tc>
      </w:tr>
      <w:tr>
        <w:tc>
          <w:tcPr>
            <w:tcW w:type="dxa" w:w="3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Secondary</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45</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65.178</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24.956</w:t>
            </w:r>
          </w:p>
        </w:tc>
      </w:tr>
    </w:tbl>
    <w:p>
      <w:pPr>
        <w:spacing w:after="160" w:before="100"/>
      </w:pPr>
      <w:r>
        <w:rPr>
          <w:i/>
          <w:iCs/>
          <w:color w:val="555555"/>
          <w:sz w:val="19"/>
          <w:szCs w:val="19"/>
        </w:rPr>
        <w:t xml:space="preserve">Table 10.5 — Descriptive statistics: Monthly Income by Education level.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900"/>
        <w:gridCol w:w="2000"/>
        <w:gridCol w:w="1200"/>
        <w:gridCol w:w="12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Sum of Squares</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Mean Square</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Between Groups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438629.64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146209.88</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154.434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Within Groups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228166.34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241</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946.75</w:t>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666795.98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244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160" w:before="100"/>
      </w:pPr>
      <w:r>
        <w:rPr>
          <w:i/>
          <w:iCs/>
          <w:color w:val="555555"/>
          <w:sz w:val="19"/>
          <w:szCs w:val="19"/>
        </w:rPr>
        <w:t xml:space="preserve">Table 10.6 — ANOVA summary table. η² = 0.658 (a large effect).</w:t>
      </w:r>
    </w:p>
    <w:p>
      <w:pPr>
        <w:spacing w:after="140" w:line="276"/>
        <w:jc w:val="both"/>
      </w:pPr>
      <w:r>
        <w:rPr>
          <w:sz w:val="21"/>
          <w:szCs w:val="21"/>
        </w:rPr>
        <w:t xml:space="preserve">F(3, 241) = 154.434, p &lt; .001. This result is highly significant: education level explains approximately 66% of the variance in monthly income (a large effect by Cohen's benchmarks). Mean income rises monotonically and substantially with education — from ₦65.178k (Secondary) to ₦92.718k (OND/HND) to ₦136.456k (Bachelor's) to ₦196.154k (Postgraduate) — confirming the expected education-income gradient.</w:t>
      </w:r>
    </w:p>
    <w:p>
      <w:pPr>
        <w:spacing w:after="80" w:before="160"/>
      </w:pPr>
      <w:r>
        <w:rPr>
          <w:b/>
          <w:bCs/>
          <w:i/>
          <w:iCs/>
          <w:color w:val="1F3864"/>
          <w:sz w:val="22"/>
          <w:szCs w:val="22"/>
        </w:rPr>
        <w:t xml:space="preserve">Tukey HSD Post-Hoc Comparisons — Income by 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600"/>
        <w:gridCol w:w="140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Group 1</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Group 2</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Mean Diff.</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p (adj.)</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 Different?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Bachelor's Degree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OND/HND</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-43.7372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Bachelor's Degree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Postgraduate</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59.6983</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Bachelor's Degree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-71.2778</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OND/HND</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Postgraduate</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103.4355</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OND/HND</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-27.5405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True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Postgraduate</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Secondary</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-130.9761</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True</w:t>
            </w:r>
          </w:p>
        </w:tc>
      </w:tr>
    </w:tbl>
    <w:p>
      <w:pPr>
        <w:spacing w:after="160" w:before="100"/>
      </w:pPr>
      <w:r>
        <w:rPr>
          <w:i/>
          <w:iCs/>
          <w:color w:val="555555"/>
          <w:sz w:val="19"/>
          <w:szCs w:val="19"/>
        </w:rPr>
        <w:t xml:space="preserve">Table 10.7 — Tukey HSD pairwise comparisons for Education → Income.</w:t>
      </w:r>
    </w:p>
    <w:p>
      <w:pPr>
        <w:spacing w:after="140" w:line="276"/>
        <w:jc w:val="both"/>
      </w:pPr>
      <w:r>
        <w:rPr>
          <w:sz w:val="21"/>
          <w:szCs w:val="21"/>
        </w:rPr>
        <w:t xml:space="preserve">Every pairwise comparison between education levels is statistically significant (all adjusted p-values well below .05), confirming that each step up the education ladder is associated with a distinct, non-overlapping income tier in this sample — Secondary &lt; OND/HND &lt; Bachelor's &lt; Postgraduate, with no two adjacent groups being statistically indistinguishable.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Neither region nor product line meaningfully explains differences in spend or satisfaction — UAC Foods' value proposition performs consistently well (or consistently average) nationwide and across its product portfolio, so a uniform national strategy is currently defensible.</w:t>
      </w:r>
    </w:p>
    <w:p>
      <w:pPr>
        <w:pStyle w:val="ListParagraph"/>
        <w:numPr>
          <w:ilvl w:val="0"/>
          <w:numId w:val="1"/>
        </w:numPr>
        <w:spacing w:after="60" w:line="270"/>
      </w:pPr>
      <w:r>
        <w:rPr>
          <w:sz w:val="21"/>
          <w:szCs w:val="21"/>
        </w:rPr>
        <w:t xml:space="preserve">Education is, by a wide margin, the strongest demographic determinant of income identified in this study, and should be used as a segmentation variable for tiered product/pricing strategies (e.g., premium SKUs targeted at postgraduate-educated, higher-income consumers).</w:t>
      </w:r>
    </w:p>
    <w:p>
      <w:r>
        <w:br w:type="page"/>
      </w:r>
    </w:p>
    <w:p>
      <w:pPr>
        <w:pStyle w:val="Heading1"/>
        <w:pBdr>
          <w:bottom w:val="single" w:color="1F3864" w:sz="8" w:space="4"/>
        </w:pBdr>
        <w:spacing w:after="200" w:before="400"/>
      </w:pPr>
      <w:r>
        <w:rPr>
          <w:b/>
          <w:bCs/>
          <w:color w:val="1F3864"/>
          <w:sz w:val="30"/>
          <w:szCs w:val="30"/>
        </w:rPr>
        <w:t xml:space="preserve">11. Kruskal-Wallis H Test (Non-Parametric ANOVA Alternative)</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re-test the Region/Product group comparisons from Section 10 using a rank-based method appropriate for the non-normally distributed and ordinal variables identified in Section 4. This corresponds to Analyze &gt; Nonparametric Tests &gt; Legacy Dialogs &gt; K Independent Samples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Factors: Product, Region. Test variables: OverallSatisfaction, MonthlySpend_NGN.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Nonparametric Tests &gt; Legacy Dialogs &gt; K Independent Samples.</w:t>
      </w:r>
    </w:p>
    <w:p>
      <w:pPr>
        <w:pStyle w:val="ListParagraph"/>
        <w:numPr>
          <w:ilvl w:val="0"/>
          <w:numId w:val="2"/>
        </w:numPr>
        <w:spacing w:after="80" w:line="270"/>
      </w:pPr>
      <w:r>
        <w:rPr>
          <w:sz w:val="21"/>
          <w:szCs w:val="21"/>
        </w:rPr>
        <w:t xml:space="preserve">Move OverallSatisfaction (or MonthlySpend_NGN) into 'Test Variable List' and Product (or Region) into 'Grouping Variable'.</w:t>
      </w:r>
    </w:p>
    <w:p>
      <w:pPr>
        <w:pStyle w:val="ListParagraph"/>
        <w:numPr>
          <w:ilvl w:val="0"/>
          <w:numId w:val="2"/>
        </w:numPr>
        <w:spacing w:after="80" w:line="270"/>
      </w:pPr>
      <w:r>
        <w:rPr>
          <w:sz w:val="21"/>
          <w:szCs w:val="21"/>
        </w:rPr>
        <w:t xml:space="preserve">Click 'Define Range' and specify the minimum and maximum group codes.</w:t>
      </w:r>
    </w:p>
    <w:p>
      <w:pPr>
        <w:pStyle w:val="ListParagraph"/>
        <w:numPr>
          <w:ilvl w:val="0"/>
          <w:numId w:val="2"/>
        </w:numPr>
        <w:spacing w:after="80" w:line="270"/>
      </w:pPr>
      <w:r>
        <w:rPr>
          <w:sz w:val="21"/>
          <w:szCs w:val="21"/>
        </w:rPr>
        <w:t xml:space="preserve">Ensure 'Kruskal-Wallis H' is selected under Test Type.</w:t>
      </w:r>
    </w:p>
    <w:p>
      <w:pPr>
        <w:pStyle w:val="ListParagraph"/>
        <w:numPr>
          <w:ilvl w:val="0"/>
          <w:numId w:val="2"/>
        </w:numPr>
        <w:spacing w:after="80" w:line="270"/>
      </w:pPr>
      <w:r>
        <w:rPr>
          <w:sz w:val="21"/>
          <w:szCs w:val="21"/>
        </w:rPr>
        <w:t xml:space="preserve">Click OK. SPSS outputs Ranks and Test Statistics tables.</w:t>
      </w:r>
    </w:p>
    <w:p>
      <w:pPr>
        <w:pStyle w:val="Heading2"/>
        <w:spacing w:after="120" w:before="260"/>
      </w:pPr>
      <w:r>
        <w:rPr>
          <w:b/>
          <w:bCs/>
          <w:color w:val="B8860B"/>
          <w:sz w:val="24"/>
          <w:szCs w:val="24"/>
        </w:rPr>
        <w:t xml:space="preserve">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Product</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Mean Rank (Satisfaction)</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Gala</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128.97</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Grand Malt</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122.88</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Mr Chips</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111.48</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Supreme Ice Cream</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125.67</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Swan Water</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132.11</w:t>
            </w:r>
          </w:p>
        </w:tc>
      </w:tr>
    </w:tbl>
    <w:p>
      <w:pPr>
        <w:spacing w:after="160" w:before="100"/>
      </w:pPr>
      <w:r>
        <w:rPr>
          <w:i/>
          <w:iCs/>
          <w:color w:val="555555"/>
          <w:sz w:val="19"/>
          <w:szCs w:val="19"/>
        </w:rPr>
        <w:t xml:space="preserve">Table 11.1 — Mean ranks: OverallSatisfaction by Product. Kruskal-Wallis H(4) = 2.268, p = 0.6867.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Region</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Mean Rank (Monthly Spend)</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132.43</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131.35</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127.97</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118.38</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124.92</w:t>
            </w:r>
          </w:p>
        </w:tc>
      </w:tr>
    </w:tbl>
    <w:p>
      <w:pPr>
        <w:spacing w:after="160" w:before="100"/>
      </w:pPr>
      <w:r>
        <w:rPr>
          <w:i/>
          <w:iCs/>
          <w:color w:val="555555"/>
          <w:sz w:val="19"/>
          <w:szCs w:val="19"/>
        </w:rPr>
        <w:t xml:space="preserve">Table 11.2 — Mean ranks: Monthly Spend by Region. Kruskal-Wallis H(4) = 1.584, p = 0.8117.</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Both Kruskal-Wallis tests are non-significant (Product → Satisfaction: H = 2.268, p = 0.6867; Region → Spend: H = 1.584, p = 0.8117), corroborating the parametric ANOVA findings in Section 10 via a distribution-free method robust to the non-normality of these variables. Mean ranks across products and regions are all clustered closely around the overall average rank of 125.5 (the midpoint for N=250), with no group standing out as a clear outlier.</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The conclusion of regional and product-line homogeneity in spend and satisfaction holds regardless of the statistical approach used, giving management high confidence that these are genuine null findings rather than artefacts of test choice.</w:t>
      </w:r>
    </w:p>
    <w:p>
      <w:r>
        <w:br w:type="page"/>
      </w:r>
    </w:p>
    <w:p>
      <w:pPr>
        <w:pStyle w:val="Heading1"/>
        <w:pBdr>
          <w:bottom w:val="single" w:color="1F3864" w:sz="8" w:space="4"/>
        </w:pBdr>
        <w:spacing w:after="200" w:before="400"/>
      </w:pPr>
      <w:r>
        <w:rPr>
          <w:b/>
          <w:bCs/>
          <w:color w:val="1F3864"/>
          <w:sz w:val="30"/>
          <w:szCs w:val="30"/>
        </w:rPr>
        <w:t xml:space="preserve">12. Multiple Linear Regression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identify which variables significantly predict MonthlySpend_NGN, and to quantify how much of the variance in spend they jointly explain. This corresponds to Analyze &gt; Regression &gt; Linear in SPSS, using the 'Enter' method.</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Dependent variable: MonthlySpend_NGN. Independent variables: MonthlyIncome_NGN000, Age, PurchaseFrequency, LoyaltyYears, 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Regression &gt; Linear.</w:t>
      </w:r>
    </w:p>
    <w:p>
      <w:pPr>
        <w:pStyle w:val="ListParagraph"/>
        <w:numPr>
          <w:ilvl w:val="0"/>
          <w:numId w:val="2"/>
        </w:numPr>
        <w:spacing w:after="80" w:line="270"/>
      </w:pPr>
      <w:r>
        <w:rPr>
          <w:sz w:val="21"/>
          <w:szCs w:val="21"/>
        </w:rPr>
        <w:t xml:space="preserve">Move MonthlySpend_NGN into 'Dependent'.</w:t>
      </w:r>
    </w:p>
    <w:p>
      <w:pPr>
        <w:pStyle w:val="ListParagraph"/>
        <w:numPr>
          <w:ilvl w:val="0"/>
          <w:numId w:val="2"/>
        </w:numPr>
        <w:spacing w:after="80" w:line="270"/>
      </w:pPr>
      <w:r>
        <w:rPr>
          <w:sz w:val="21"/>
          <w:szCs w:val="21"/>
        </w:rPr>
        <w:t xml:space="preserve">Move MonthlyIncome_NGN000, Age, PurchaseFrequency, LoyaltyYears, Taste, Price, Packaging, Availability, and OverallSatisfaction into 'Independent(s)'.</w:t>
      </w:r>
    </w:p>
    <w:p>
      <w:pPr>
        <w:pStyle w:val="ListParagraph"/>
        <w:numPr>
          <w:ilvl w:val="0"/>
          <w:numId w:val="2"/>
        </w:numPr>
        <w:spacing w:after="80" w:line="270"/>
      </w:pPr>
      <w:r>
        <w:rPr>
          <w:sz w:val="21"/>
          <w:szCs w:val="21"/>
        </w:rPr>
        <w:t xml:space="preserve">Click Statistics, tick 'Estimates', 'Model fit', 'Confidence intervals', 'Durbin-Watson', and 'Collinearity diagnostics'.</w:t>
      </w:r>
    </w:p>
    <w:p>
      <w:pPr>
        <w:pStyle w:val="ListParagraph"/>
        <w:numPr>
          <w:ilvl w:val="0"/>
          <w:numId w:val="2"/>
        </w:numPr>
        <w:spacing w:after="80" w:line="270"/>
      </w:pPr>
      <w:r>
        <w:rPr>
          <w:sz w:val="21"/>
          <w:szCs w:val="21"/>
        </w:rPr>
        <w:t xml:space="preserve">Click Plots and request a residual histogram/P-P plot to check normality of residuals if desired.</w:t>
      </w:r>
    </w:p>
    <w:p>
      <w:pPr>
        <w:pStyle w:val="ListParagraph"/>
        <w:numPr>
          <w:ilvl w:val="0"/>
          <w:numId w:val="2"/>
        </w:numPr>
        <w:spacing w:after="80" w:line="270"/>
      </w:pPr>
      <w:r>
        <w:rPr>
          <w:sz w:val="21"/>
          <w:szCs w:val="21"/>
        </w:rPr>
        <w:t xml:space="preserve">Click OK. SPSS produces Model Summary, ANOVA, Coefficients, and Collinearity Statistics tables.</w:t>
      </w:r>
    </w:p>
    <w:p>
      <w:pPr>
        <w:pStyle w:val="Heading2"/>
        <w:spacing w:after="120" w:before="260"/>
      </w:pPr>
      <w:r>
        <w:rPr>
          <w:b/>
          <w:bCs/>
          <w:color w:val="B8860B"/>
          <w:sz w:val="24"/>
          <w:szCs w:val="24"/>
        </w:rPr>
        <w:t xml:space="preserve">Output — Model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00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R</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R Square</w:t>
            </w:r>
          </w:p>
        </w:tc>
        <w:tc>
          <w:tcPr>
            <w:tcW w:type="dxa" w:w="2800"/>
            <w:shd w:fill="1F3864" w:val="clear"/>
            <w:tcMar>
              <w:top w:type="dxa" w:w="60"/>
              <w:left w:type="dxa" w:w="100"/>
              <w:bottom w:type="dxa" w:w="60"/>
              <w:right w:type="dxa" w:w="100"/>
            </w:tcMar>
            <w:vAlign w:val="center"/>
          </w:tcPr>
          <w:p>
            <w:pPr>
              <w:jc w:val="center"/>
            </w:pPr>
            <w:r>
              <w:rPr>
                <w:b/>
                <w:bCs/>
                <w:color w:val="FFFFFF"/>
                <w:sz w:val="19"/>
                <w:szCs w:val="19"/>
              </w:rPr>
              <w:t xml:space="preserve">Adjusted R Square</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Durbin-Watson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0.946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0.8954</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0.8913</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1.922</w:t>
            </w:r>
          </w:p>
        </w:tc>
      </w:tr>
    </w:tbl>
    <w:p>
      <w:pPr>
        <w:spacing w:after="160" w:before="100"/>
      </w:pPr>
      <w:r>
        <w:rPr>
          <w:i/>
          <w:iCs/>
          <w:color w:val="555555"/>
          <w:sz w:val="19"/>
          <w:szCs w:val="19"/>
        </w:rPr>
        <w:t xml:space="preserve">Table 12.1 — Model Summary (N = 239).</w:t>
      </w:r>
    </w:p>
    <w:p>
      <w:pPr>
        <w:pStyle w:val="Heading2"/>
        <w:spacing w:after="120" w:before="260"/>
      </w:pPr>
      <w:r>
        <w:rPr>
          <w:b/>
          <w:bCs/>
          <w:color w:val="B8860B"/>
          <w:sz w:val="24"/>
          <w:szCs w:val="24"/>
        </w:rPr>
        <w:t xml:space="preserve">Output — ANOVA (Overall Model Significance)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30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30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Regression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217.832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160" w:before="100"/>
      </w:pPr>
      <w:r>
        <w:rPr>
          <w:i/>
          <w:iCs/>
          <w:color w:val="555555"/>
          <w:sz w:val="19"/>
          <w:szCs w:val="19"/>
        </w:rPr>
        <w:t xml:space="preserve">Table 12.2 — Omnibus F-test for the regression model.</w:t>
      </w:r>
    </w:p>
    <w:p>
      <w:pPr>
        <w:pStyle w:val="Heading2"/>
        <w:spacing w:after="120" w:before="260"/>
      </w:pPr>
      <w:r>
        <w:rPr>
          <w:b/>
          <w:bCs/>
          <w:color w:val="B8860B"/>
          <w:sz w:val="24"/>
          <w:szCs w:val="24"/>
        </w:rPr>
        <w:t xml:space="preserve">Output — Coefficients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800"/>
        <w:gridCol w:w="1000"/>
        <w:gridCol w:w="1300"/>
        <w:gridCol w:w="1300"/>
        <w:gridCol w:w="900"/>
      </w:tblGrid>
      <w:tr>
        <w:trPr>
          <w:tblHeader/>
        </w:trPr>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SE</w:t>
            </w:r>
          </w:p>
        </w:tc>
        <w:tc>
          <w:tcPr>
            <w:tcW w:type="dxa" w:w="800"/>
            <w:shd w:fill="1F3864" w:val="clear"/>
            <w:tcMar>
              <w:top w:type="dxa" w:w="60"/>
              <w:left w:type="dxa" w:w="100"/>
              <w:bottom w:type="dxa" w:w="60"/>
              <w:right w:type="dxa" w:w="100"/>
            </w:tcMar>
            <w:vAlign w:val="center"/>
          </w:tcPr>
          <w:p>
            <w:pPr>
              <w:jc w:val="center"/>
            </w:pPr>
            <w:r>
              <w:rPr>
                <w:b/>
                <w:bCs/>
                <w:color w:val="FFFFFF"/>
                <w:sz w:val="19"/>
                <w:szCs w:val="19"/>
              </w:rPr>
              <w:t xml:space="preserve">t</w:t>
            </w:r>
          </w:p>
        </w:tc>
        <w:tc>
          <w:tcPr>
            <w:tcW w:type="dxa" w:w="10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95% CI Lower</w:t>
            </w:r>
          </w:p>
        </w:tc>
        <w:tc>
          <w:tcPr>
            <w:tcW w:type="dxa" w:w="1300"/>
            <w:shd w:fill="1F3864" w:val="clear"/>
            <w:tcMar>
              <w:top w:type="dxa" w:w="60"/>
              <w:left w:type="dxa" w:w="100"/>
              <w:bottom w:type="dxa" w:w="60"/>
              <w:right w:type="dxa" w:w="100"/>
            </w:tcMar>
            <w:vAlign w:val="center"/>
          </w:tcPr>
          <w:p>
            <w:pPr>
              <w:jc w:val="center"/>
            </w:pPr>
            <w:r>
              <w:rPr>
                <w:b/>
                <w:bCs/>
                <w:color w:val="FFFFFF"/>
                <w:sz w:val="19"/>
                <w:szCs w:val="19"/>
              </w:rPr>
              <w:t xml:space="preserve">95% CI Upper</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VIF</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137.9963</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167.2186</w:t>
            </w:r>
          </w:p>
        </w:tc>
        <w:tc>
          <w:tcPr>
            <w:tcW w:type="dxa" w:w="800"/>
            <w:tcMar>
              <w:top w:type="dxa" w:w="60"/>
              <w:left w:type="dxa" w:w="100"/>
              <w:bottom w:type="dxa" w:w="60"/>
              <w:right w:type="dxa" w:w="100"/>
            </w:tcMar>
            <w:vAlign w:val="center"/>
          </w:tcPr>
          <w:p>
            <w:pPr>
              <w:jc w:val="center"/>
            </w:pPr>
            <w:r>
              <w:rPr>
                <w:b w:val="false"/>
                <w:bCs w:val="false"/>
                <w:color w:val="000000"/>
                <w:sz w:val="19"/>
                <w:szCs w:val="19"/>
              </w:rPr>
              <w:t xml:space="preserve">0.825</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0.41009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-191.4874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467.4799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 Income (₦'000)</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0.3084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0.373</w:t>
            </w:r>
          </w:p>
        </w:tc>
        <w:tc>
          <w:tcPr>
            <w:tcW w:type="dxa" w:w="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0.827</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0.4092</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-0.4265</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1.0433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1.047</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2.5625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1.3993</w:t>
            </w:r>
          </w:p>
        </w:tc>
        <w:tc>
          <w:tcPr>
            <w:tcW w:type="dxa" w:w="800"/>
            <w:tcMar>
              <w:top w:type="dxa" w:w="60"/>
              <w:left w:type="dxa" w:w="100"/>
              <w:bottom w:type="dxa" w:w="60"/>
              <w:right w:type="dxa" w:w="100"/>
            </w:tcMar>
            <w:vAlign w:val="center"/>
          </w:tcPr>
          <w:p>
            <w:pPr>
              <w:jc w:val="center"/>
            </w:pPr>
            <w:r>
              <w:rPr>
                <w:b w:val="false"/>
                <w:bCs w:val="false"/>
                <w:color w:val="000000"/>
                <w:sz w:val="19"/>
                <w:szCs w:val="19"/>
              </w:rPr>
              <w:t xml:space="preserve">1.831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0.06836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-0.1947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5.3196</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1.04</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Purchase Frequency</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144.8994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3.3341</w:t>
            </w:r>
          </w:p>
        </w:tc>
        <w:tc>
          <w:tcPr>
            <w:tcW w:type="dxa" w:w="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43.46</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138.33</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151.4687</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1.034</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Loyalty Years</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-0.2794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4.3699</w:t>
            </w:r>
          </w:p>
        </w:tc>
        <w:tc>
          <w:tcPr>
            <w:tcW w:type="dxa" w:w="800"/>
            <w:tcMar>
              <w:top w:type="dxa" w:w="60"/>
              <w:left w:type="dxa" w:w="100"/>
              <w:bottom w:type="dxa" w:w="60"/>
              <w:right w:type="dxa" w:w="100"/>
            </w:tcMar>
            <w:vAlign w:val="center"/>
          </w:tcPr>
          <w:p>
            <w:pPr>
              <w:jc w:val="center"/>
            </w:pPr>
            <w:r>
              <w:rPr>
                <w:b w:val="false"/>
                <w:bCs w:val="false"/>
                <w:color w:val="000000"/>
                <w:sz w:val="19"/>
                <w:szCs w:val="19"/>
              </w:rPr>
              <w:t xml:space="preserve">-0.064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0.94908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-8.8898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8.331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1.049</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-13.5808</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24.0989</w:t>
            </w:r>
          </w:p>
        </w:tc>
        <w:tc>
          <w:tcPr>
            <w:tcW w:type="dxa" w:w="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-0.564</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0.57361</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-61.0647</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33.903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1.252</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16.3797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22.9667</w:t>
            </w:r>
          </w:p>
        </w:tc>
        <w:tc>
          <w:tcPr>
            <w:tcW w:type="dxa" w:w="800"/>
            <w:tcMar>
              <w:top w:type="dxa" w:w="60"/>
              <w:left w:type="dxa" w:w="100"/>
              <w:bottom w:type="dxa" w:w="60"/>
              <w:right w:type="dxa" w:w="100"/>
            </w:tcMar>
            <w:vAlign w:val="center"/>
          </w:tcPr>
          <w:p>
            <w:pPr>
              <w:jc w:val="center"/>
            </w:pPr>
            <w:r>
              <w:rPr>
                <w:b w:val="false"/>
                <w:bCs w:val="false"/>
                <w:color w:val="000000"/>
                <w:sz w:val="19"/>
                <w:szCs w:val="19"/>
              </w:rPr>
              <w:t xml:space="preserve">0.713</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0.47645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-28.8733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61.6327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1.272</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-31.6992</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22.937</w:t>
            </w:r>
          </w:p>
        </w:tc>
        <w:tc>
          <w:tcPr>
            <w:tcW w:type="dxa" w:w="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-1.382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0.16832</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-76.8938</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13.4954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1.124</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3.5719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22.7201</w:t>
            </w:r>
          </w:p>
        </w:tc>
        <w:tc>
          <w:tcPr>
            <w:tcW w:type="dxa" w:w="800"/>
            <w:tcMar>
              <w:top w:type="dxa" w:w="60"/>
              <w:left w:type="dxa" w:w="100"/>
              <w:bottom w:type="dxa" w:w="60"/>
              <w:right w:type="dxa" w:w="100"/>
            </w:tcMar>
            <w:vAlign w:val="center"/>
          </w:tcPr>
          <w:p>
            <w:pPr>
              <w:jc w:val="center"/>
            </w:pPr>
            <w:r>
              <w:rPr>
                <w:b w:val="false"/>
                <w:bCs w:val="false"/>
                <w:color w:val="000000"/>
                <w:sz w:val="19"/>
                <w:szCs w:val="19"/>
              </w:rPr>
              <w:t xml:space="preserve">0.157</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0.87521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-41.1952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48.3391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1.332</w:t>
            </w:r>
          </w:p>
        </w:tc>
      </w:tr>
      <w:tr>
        <w:tc>
          <w:tcPr>
            <w:tcW w:type="dxa" w:w="2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 Satisfaction</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-27.7166</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39.2362</w:t>
            </w:r>
          </w:p>
        </w:tc>
        <w:tc>
          <w:tcPr>
            <w:tcW w:type="dxa" w:w="8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-0.706</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0.48065</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-105.0266</w:t>
            </w:r>
          </w:p>
        </w:tc>
        <w:tc>
          <w:tcPr>
            <w:tcW w:type="dxa" w:w="1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49.5934</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1.843</w:t>
            </w:r>
          </w:p>
        </w:tc>
      </w:tr>
    </w:tbl>
    <w:p>
      <w:pPr>
        <w:spacing w:after="160" w:before="100"/>
      </w:pPr>
      <w:r>
        <w:rPr>
          <w:i/>
          <w:iCs/>
          <w:color w:val="555555"/>
          <w:sz w:val="19"/>
          <w:szCs w:val="19"/>
        </w:rPr>
        <w:t xml:space="preserve">Table 12.3 — Regression coefficients with 95% confidence intervals and Variance Inflation Factors (VIF) for multicollinearity diagnostics.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Model fit: R² = 0.8954 (Adjusted R² = 0.8913), meaning the nine predictors jointly explain approximately 89.5% of the variance in monthly spend — an exceptionally strong model for survey data. The overall model is highly significant, F = 217.832, p &lt; .001. The Durbin-Watson statistic (1.922) is close to the ideal value of 2, indicating no problematic autocorrelation in the residuals. All VIF values are well below the common threshold of 5 (and mostly below 2), indicating multicollinearity is not a concern.</w:t>
      </w:r>
    </w:p>
    <w:p>
      <w:pPr>
        <w:spacing w:after="140" w:line="276"/>
        <w:jc w:val="both"/>
      </w:pPr>
      <w:r>
        <w:rPr>
          <w:sz w:val="21"/>
          <w:szCs w:val="21"/>
        </w:rPr>
        <w:t xml:space="preserve">Purchase Frequency is overwhelmingly the dominant predictor: B = 144.8994, t = 43.46, p &lt; .001. Holding all else constant, each additional purchase per month is associated with approximately ₦145 more in monthly spend. This single variable is responsible for the vast majority of the model's explanatory power (consistent with the r = .944 correlation reported in Section 7).</w:t>
      </w:r>
    </w:p>
    <w:p>
      <w:pPr>
        <w:spacing w:after="140" w:line="276"/>
        <w:jc w:val="both"/>
      </w:pPr>
      <w:r>
        <w:rPr>
          <w:sz w:val="21"/>
          <w:szCs w:val="21"/>
        </w:rPr>
        <w:t xml:space="preserve">Age shows a marginal, borderline-significant positive association with spend (B = 2.5625, p = 0.06836) — just above the conventional .05 threshold, suggesting a possible weak tendency for slightly older consumers to spend a little more, though this should be treated as suggestive rather than conclusive.</w:t>
      </w:r>
    </w:p>
    <w:p>
      <w:pPr>
        <w:spacing w:after="140" w:line="276"/>
        <w:jc w:val="both"/>
      </w:pPr>
      <w:r>
        <w:rPr>
          <w:sz w:val="21"/>
          <w:szCs w:val="21"/>
        </w:rPr>
        <w:t xml:space="preserve">None of Monthly Income, Loyalty Years, Taste, Price, Packaging, Availability, or Overall Satisfaction reach statistical significance as independent predictors of spend once Purchase Frequency is in the model (all p &gt; .05). This does not mean these factors are unimportant to the business — rather, it means their influence on spend operates indirectly, through frequency, rather than as a separate direct effect once frequency is statistically controlled for.</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Purchase frequency is the single most actionable lever for growing per-customer revenue — initiatives such as loyalty punch-cards, subscription/auto-restock programmes, and multi-buy promotions that increase how often a customer purchases will have a far larger revenue impact than price adjustments or attribute improvements alone.</w:t>
      </w:r>
    </w:p>
    <w:p>
      <w:pPr>
        <w:pStyle w:val="ListParagraph"/>
        <w:numPr>
          <w:ilvl w:val="0"/>
          <w:numId w:val="1"/>
        </w:numPr>
        <w:spacing w:after="60" w:line="270"/>
      </w:pPr>
      <w:r>
        <w:rPr>
          <w:sz w:val="21"/>
          <w:szCs w:val="21"/>
        </w:rPr>
        <w:t xml:space="preserve">Because attribute ratings (Taste, Price, Packaging, Availability, Satisfaction) do not directly predict spend once frequency is accounted for, they should be understood as levers that likely work by increasing purchase frequency (and thus spend indirectly) rather than as direct spend drivers — a mediation analysis would be a valuable next step.</w:t>
      </w:r>
    </w:p>
    <w:p>
      <w:pPr>
        <w:pStyle w:val="ListParagraph"/>
        <w:numPr>
          <w:ilvl w:val="0"/>
          <w:numId w:val="1"/>
        </w:numPr>
        <w:spacing w:after="60" w:line="270"/>
      </w:pPr>
      <w:r>
        <w:rPr>
          <w:sz w:val="21"/>
          <w:szCs w:val="21"/>
        </w:rPr>
        <w:t xml:space="preserve">Multicollinearity is not distorting these results (all VIF &lt; 2), so the coefficients can be interpreted with confidence.</w:t>
      </w:r>
    </w:p>
    <w:p>
      <w:r>
        <w:br w:type="page"/>
      </w:r>
    </w:p>
    <w:p>
      <w:pPr>
        <w:pStyle w:val="Heading1"/>
        <w:pBdr>
          <w:bottom w:val="single" w:color="1F3864" w:sz="8" w:space="4"/>
        </w:pBdr>
        <w:spacing w:after="200" w:before="400"/>
      </w:pPr>
      <w:r>
        <w:rPr>
          <w:b/>
          <w:bCs/>
          <w:color w:val="1F3864"/>
          <w:sz w:val="30"/>
          <w:szCs w:val="30"/>
        </w:rPr>
        <w:t xml:space="preserve">13. Binary Logistic Regression</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identify which variables predict the binary outcome WouldRecommend (Yes/No), and to quantify the odds ratio associated with each predictor. This corresponds to Analyze &gt; Regression &gt; Binary Logistic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Dependent variable: WouldRecommend (coded 1 = Yes, 0 = No). Independent variables: OverallSatisfaction, Taste, Price, Packaging, Availability, MonthlyIncome_NGN000, MonthlySpend_NGN.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Regression &gt; Binary Logistic.</w:t>
      </w:r>
    </w:p>
    <w:p>
      <w:pPr>
        <w:pStyle w:val="ListParagraph"/>
        <w:numPr>
          <w:ilvl w:val="0"/>
          <w:numId w:val="2"/>
        </w:numPr>
        <w:spacing w:after="80" w:line="270"/>
      </w:pPr>
      <w:r>
        <w:rPr>
          <w:sz w:val="21"/>
          <w:szCs w:val="21"/>
        </w:rPr>
        <w:t xml:space="preserve">Move WouldRecommend into 'Dependent' (SPSS will prompt to define which category is the reference/'1' value).</w:t>
      </w:r>
    </w:p>
    <w:p>
      <w:pPr>
        <w:pStyle w:val="ListParagraph"/>
        <w:numPr>
          <w:ilvl w:val="0"/>
          <w:numId w:val="2"/>
        </w:numPr>
        <w:spacing w:after="80" w:line="270"/>
      </w:pPr>
      <w:r>
        <w:rPr>
          <w:sz w:val="21"/>
          <w:szCs w:val="21"/>
        </w:rPr>
        <w:t xml:space="preserve">Move OverallSatisfaction, Taste, Price, Packaging, Availability, MonthlyIncome_NGN000, and MonthlySpend_NGN into 'Covariates'.</w:t>
      </w:r>
    </w:p>
    <w:p>
      <w:pPr>
        <w:pStyle w:val="ListParagraph"/>
        <w:numPr>
          <w:ilvl w:val="0"/>
          <w:numId w:val="2"/>
        </w:numPr>
        <w:spacing w:after="80" w:line="270"/>
      </w:pPr>
      <w:r>
        <w:rPr>
          <w:sz w:val="21"/>
          <w:szCs w:val="21"/>
        </w:rPr>
        <w:t xml:space="preserve">Click Options, tick 'Classification plots', 'Hosmer-Lemeshow goodness-of-fit', and 'CI for exp(B)'.</w:t>
      </w:r>
    </w:p>
    <w:p>
      <w:pPr>
        <w:pStyle w:val="ListParagraph"/>
        <w:numPr>
          <w:ilvl w:val="0"/>
          <w:numId w:val="2"/>
        </w:numPr>
        <w:spacing w:after="80" w:line="270"/>
      </w:pPr>
      <w:r>
        <w:rPr>
          <w:sz w:val="21"/>
          <w:szCs w:val="21"/>
        </w:rPr>
        <w:t xml:space="preserve">Click Continue, then OK. SPSS produces Model Summary (-2LL, Cox &amp; Snell/Nagelkerke R²), Classification Table, and Variables in the Equation tables.</w:t>
      </w:r>
    </w:p>
    <w:p>
      <w:pPr>
        <w:pStyle w:val="Heading2"/>
        <w:spacing w:after="120" w:before="260"/>
      </w:pPr>
      <w:r>
        <w:rPr>
          <w:b/>
          <w:bCs/>
          <w:color w:val="B8860B"/>
          <w:sz w:val="24"/>
          <w:szCs w:val="24"/>
        </w:rPr>
        <w:t xml:space="preserve">Output — Model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400"/>
        <w:gridCol w:w="1700"/>
      </w:tblGrid>
      <w:tr>
        <w:trPr>
          <w:tblHeader/>
        </w:trPr>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-2 Log Likelihood (Model)</w:t>
            </w:r>
          </w:p>
        </w:tc>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-2 Log Likelihood (Null)</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Model χ²</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700"/>
            <w:shd w:fill="1F3864" w:val="clear"/>
            <w:tcMar>
              <w:top w:type="dxa" w:w="60"/>
              <w:left w:type="dxa" w:w="100"/>
              <w:bottom w:type="dxa" w:w="60"/>
              <w:right w:type="dxa" w:w="100"/>
            </w:tcMar>
            <w:vAlign w:val="center"/>
          </w:tcPr>
          <w:p>
            <w:pPr>
              <w:jc w:val="center"/>
            </w:pPr>
            <w:r>
              <w:rPr>
                <w:b/>
                <w:bCs/>
                <w:color w:val="FFFFFF"/>
                <w:sz w:val="19"/>
                <w:szCs w:val="19"/>
              </w:rPr>
              <w:t xml:space="preserve">Nagelkerke R²</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253.24</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258.44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5.194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0.636314</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0.0201</w:t>
            </w:r>
          </w:p>
        </w:tc>
      </w:tr>
    </w:tbl>
    <w:p>
      <w:pPr>
        <w:spacing w:after="160" w:before="100"/>
      </w:pPr>
      <w:r>
        <w:rPr>
          <w:i/>
          <w:iCs/>
          <w:color w:val="555555"/>
          <w:sz w:val="19"/>
          <w:szCs w:val="19"/>
        </w:rPr>
        <w:t xml:space="preserve">Table 13.1 — Model Summary (N = 245).</w:t>
      </w:r>
    </w:p>
    <w:p>
      <w:pPr>
        <w:pStyle w:val="Heading2"/>
        <w:spacing w:after="120" w:before="260"/>
      </w:pPr>
      <w:r>
        <w:rPr>
          <w:b/>
          <w:bCs/>
          <w:color w:val="B8860B"/>
          <w:sz w:val="24"/>
          <w:szCs w:val="24"/>
        </w:rPr>
        <w:t xml:space="preserve">Output — Classification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No</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Yes</w:t>
            </w:r>
          </w:p>
        </w:tc>
        <w:tc>
          <w:tcPr>
            <w:tcW w:type="dxa" w:w="2100"/>
            <w:shd w:fill="1F3864"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Observed: No</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0.0%</w:t>
            </w:r>
          </w:p>
        </w:tc>
      </w:tr>
      <w:tr>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Observed: Yes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191</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160" w:before="100"/>
      </w:pPr>
      <w:r>
        <w:rPr>
          <w:i/>
          <w:iCs/>
          <w:color w:val="555555"/>
          <w:sz w:val="19"/>
          <w:szCs w:val="19"/>
        </w:rPr>
        <w:t xml:space="preserve">Table 13.2 — Classification table (cut-off = 0.5). Overall percentage correct = 78.0%.</w:t>
      </w:r>
    </w:p>
    <w:p>
      <w:pPr>
        <w:pStyle w:val="Heading2"/>
        <w:spacing w:after="120" w:before="260"/>
      </w:pPr>
      <w:r>
        <w:rPr>
          <w:b/>
          <w:bCs/>
          <w:color w:val="B8860B"/>
          <w:sz w:val="24"/>
          <w:szCs w:val="24"/>
        </w:rPr>
        <w:t xml:space="preserve">Output — Variables in the Equation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900"/>
        <w:gridCol w:w="1400"/>
        <w:gridCol w:w="1000"/>
        <w:gridCol w:w="1600"/>
      </w:tblGrid>
      <w:tr>
        <w:trPr>
          <w:tblHeader/>
        </w:trPr>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100"/>
            <w:shd w:fill="1F3864"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900"/>
            <w:shd w:fill="1F3864" w:val="clear"/>
            <w:tcMar>
              <w:top w:type="dxa" w:w="60"/>
              <w:left w:type="dxa" w:w="100"/>
              <w:bottom w:type="dxa" w:w="60"/>
              <w:right w:type="dxa" w:w="100"/>
            </w:tcMar>
            <w:vAlign w:val="center"/>
          </w:tcPr>
          <w:p>
            <w:pPr>
              <w:jc w:val="center"/>
            </w:pPr>
            <w:r>
              <w:rPr>
                <w:b/>
                <w:bCs/>
                <w:color w:val="FFFFFF"/>
                <w:sz w:val="19"/>
                <w:szCs w:val="19"/>
              </w:rPr>
              <w:t xml:space="preserve">SE</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Wald (z²)</w:t>
            </w:r>
          </w:p>
        </w:tc>
        <w:tc>
          <w:tcPr>
            <w:tcW w:type="dxa" w:w="10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Exp(B) [Odds Ratio]</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-0.0061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1.2207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0.000</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0.99602</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0.994</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 Satisfaction</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0.3613</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0.3209</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1.268</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0.26022</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1.435</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0.2064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0.192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1.156</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0.28226</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1.229</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-0.087</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0.1893</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0.212</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0.64573</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0.917</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0.0214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0.1849</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0.013</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0.90783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1.022</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-0.1637</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0.1855</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0.778</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0.3776</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0.849</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Monthly Income (₦'000)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0.0021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0.0031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0.458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0.49814</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1.002</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Monthly Spend (₦)</w:t>
            </w:r>
          </w:p>
        </w:tc>
        <w:tc>
          <w:tcPr>
            <w:tcW w:type="dxa" w:w="1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-0.0001</w:t>
            </w:r>
          </w:p>
        </w:tc>
        <w:tc>
          <w:tcPr>
            <w:tcW w:type="dxa" w:w="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0.0002</w:t>
            </w:r>
          </w:p>
        </w:tc>
        <w:tc>
          <w:tcPr>
            <w:tcW w:type="dxa" w:w="14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0.333</w:t>
            </w:r>
          </w:p>
        </w:tc>
        <w:tc>
          <w:tcPr>
            <w:tcW w:type="dxa" w:w="1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0.56365</w:t>
            </w:r>
          </w:p>
        </w:tc>
        <w:tc>
          <w:tcPr>
            <w:tcW w:type="dxa" w:w="1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r>
    </w:tbl>
    <w:p>
      <w:pPr>
        <w:spacing w:after="160" w:before="100"/>
      </w:pPr>
      <w:r>
        <w:rPr>
          <w:i/>
          <w:iCs/>
          <w:color w:val="555555"/>
          <w:sz w:val="19"/>
          <w:szCs w:val="19"/>
        </w:rPr>
        <w:t xml:space="preserve">Table 13.3 — Logistic regression coefficients and odds ratios.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Model fit: the overall model χ² = 5.194, p = 0.636314 is not statistically significant, and Nagelkerke R² = 0.0201 indicates the seven predictors jointly explain only about 2.0% of the variation in recommendation behaviour — a very weak model. The classification table shows 78.0% overall accuracy, but this is barely above the 78.4% accuracy achievable simply by predicting "Yes" for everyone (since 78.4% of respondents said Yes) — in other words, the model adds essentially no predictive power beyond the base rate, and it in fact classifies zero "No" cases correctly (see the 0 in the top-left cell), a classic sign of a model that has learned to always predict the majority class.</w:t>
      </w:r>
    </w:p>
    <w:p>
      <w:pPr>
        <w:spacing w:after="140" w:line="276"/>
        <w:jc w:val="both"/>
      </w:pPr>
      <w:r>
        <w:rPr>
          <w:sz w:val="21"/>
          <w:szCs w:val="21"/>
        </w:rPr>
        <w:t xml:space="preserve">None of the seven predictors — Overall Satisfaction, Taste, Price, Packaging, Availability, Monthly Income, or Monthly Spend — reach statistical significance (all p &gt; .05). Overall Satisfaction and Taste show the largest (though still non-significant) positive odds ratios (Exp(B) = 1.44 and 1.23 respectively), hinting at a directionally plausible but statistically inconclusive relationship in this sample.</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Willingness to recommend a UAC product cannot currently be reliably predicted from satisfaction ratings, attribute perceptions, income, or spend — the decision to recommend appears to be driven by factors not captured in this survey (e.g., word-of-mouth culture, brand trust, specific service incidents, or packaging occasions), which UAC Foods should investigate with additional qualitative research or an expanded questionnaire (e.g., adding Net Promoter Score drivers, brand trust items, or specific complaint/incident history).</w:t>
      </w:r>
    </w:p>
    <w:p>
      <w:pPr>
        <w:pStyle w:val="ListParagraph"/>
        <w:numPr>
          <w:ilvl w:val="0"/>
          <w:numId w:val="1"/>
        </w:numPr>
        <w:spacing w:after="60" w:line="270"/>
      </w:pPr>
      <w:r>
        <w:rPr>
          <w:sz w:val="21"/>
          <w:szCs w:val="21"/>
        </w:rPr>
        <w:t xml:space="preserve">Because the model cannot discriminate 'No' respondents from 'Yes' respondents, UAC should not rely on satisfaction-attribute scores alone to identify at-risk detractors — a more targeted diagnostic (e.g., a dedicated 'why would you not recommend us' follow-up question) is recommended.</w:t>
      </w:r>
    </w:p>
    <w:p>
      <w:r>
        <w:br w:type="page"/>
      </w:r>
    </w:p>
    <w:p>
      <w:pPr>
        <w:pStyle w:val="Heading1"/>
        <w:pBdr>
          <w:bottom w:val="single" w:color="1F3864" w:sz="8" w:space="4"/>
        </w:pBdr>
        <w:spacing w:after="200" w:before="400"/>
      </w:pPr>
      <w:r>
        <w:rPr>
          <w:b/>
          <w:bCs/>
          <w:color w:val="1F3864"/>
          <w:sz w:val="30"/>
          <w:szCs w:val="30"/>
        </w:rPr>
        <w:t xml:space="preserve">14. Factor Analysis (Principal Component / Exploratory Factor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examine whether the five Likert items (Taste, Price, Packaging, Availability, OverallSatisfaction) reduce to a smaller number of underlying latent dimensions ('factors'), and to determine whether the data are even suitable for factor analysis in the first place. This corresponds to Analyze &gt; Dimension Reduction &gt; Factor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Taste, Price, Packaging, Availability, OverallSatisfaction.</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Dimension Reduction &gt; Factor.</w:t>
      </w:r>
    </w:p>
    <w:p>
      <w:pPr>
        <w:pStyle w:val="ListParagraph"/>
        <w:numPr>
          <w:ilvl w:val="0"/>
          <w:numId w:val="2"/>
        </w:numPr>
        <w:spacing w:after="80" w:line="270"/>
      </w:pPr>
      <w:r>
        <w:rPr>
          <w:sz w:val="21"/>
          <w:szCs w:val="21"/>
        </w:rPr>
        <w:t xml:space="preserve">Move Taste, Price, Packaging, Availability, and OverallSatisfaction into 'Variables'.</w:t>
      </w:r>
    </w:p>
    <w:p>
      <w:pPr>
        <w:pStyle w:val="ListParagraph"/>
        <w:numPr>
          <w:ilvl w:val="0"/>
          <w:numId w:val="2"/>
        </w:numPr>
        <w:spacing w:after="80" w:line="270"/>
      </w:pPr>
      <w:r>
        <w:rPr>
          <w:sz w:val="21"/>
          <w:szCs w:val="21"/>
        </w:rPr>
        <w:t xml:space="preserve">Click Descriptives, tick 'KMO and Bartlett's Test of Sphericity' and 'Coefficients'.</w:t>
      </w:r>
    </w:p>
    <w:p>
      <w:pPr>
        <w:pStyle w:val="ListParagraph"/>
        <w:numPr>
          <w:ilvl w:val="0"/>
          <w:numId w:val="2"/>
        </w:numPr>
        <w:spacing w:after="80" w:line="270"/>
      </w:pPr>
      <w:r>
        <w:rPr>
          <w:sz w:val="21"/>
          <w:szCs w:val="21"/>
        </w:rPr>
        <w:t xml:space="preserve">Click Extraction, select 'Principal Components' (or 'Principal Axis Factoring'), extract factors with Eigenvalues &gt; 1.</w:t>
      </w:r>
    </w:p>
    <w:p>
      <w:pPr>
        <w:pStyle w:val="ListParagraph"/>
        <w:numPr>
          <w:ilvl w:val="0"/>
          <w:numId w:val="2"/>
        </w:numPr>
        <w:spacing w:after="80" w:line="270"/>
      </w:pPr>
      <w:r>
        <w:rPr>
          <w:sz w:val="21"/>
          <w:szCs w:val="21"/>
        </w:rPr>
        <w:t xml:space="preserve">Click Rotation, select 'Varimax'.</w:t>
      </w:r>
    </w:p>
    <w:p>
      <w:pPr>
        <w:pStyle w:val="ListParagraph"/>
        <w:numPr>
          <w:ilvl w:val="0"/>
          <w:numId w:val="2"/>
        </w:numPr>
        <w:spacing w:after="80" w:line="270"/>
      </w:pPr>
      <w:r>
        <w:rPr>
          <w:sz w:val="21"/>
          <w:szCs w:val="21"/>
        </w:rPr>
        <w:t xml:space="preserve">Click OK. SPSS produces the KMO/Bartlett table, Total Variance Explained table, and Rotated Component Matrix.</w:t>
      </w:r>
    </w:p>
    <w:p>
      <w:pPr>
        <w:pStyle w:val="Heading2"/>
        <w:spacing w:after="120" w:before="260"/>
      </w:pPr>
      <w:r>
        <w:rPr>
          <w:b/>
          <w:bCs/>
          <w:color w:val="B8860B"/>
          <w:sz w:val="24"/>
          <w:szCs w:val="24"/>
        </w:rPr>
        <w:t xml:space="preserve">Output — KMO and Bartlett's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200"/>
        <w:gridCol w:w="1600"/>
      </w:tblGrid>
      <w:tr>
        <w:trPr>
          <w:tblHeader/>
        </w:trPr>
        <w:tc>
          <w:tcPr>
            <w:tcW w:type="dxa" w:w="4000"/>
            <w:shd w:fill="1F3864" w:val="clear"/>
            <w:tcMar>
              <w:top w:type="dxa" w:w="60"/>
              <w:left w:type="dxa" w:w="100"/>
              <w:bottom w:type="dxa" w:w="60"/>
              <w:right w:type="dxa" w:w="100"/>
            </w:tcMar>
            <w:vAlign w:val="center"/>
          </w:tcPr>
          <w:p>
            <w:pPr>
              <w:jc w:val="center"/>
            </w:pPr>
            <w:r>
              <w:rPr>
                <w:b/>
                <w:bCs/>
                <w:color w:val="FFFFFF"/>
                <w:sz w:val="19"/>
                <w:szCs w:val="19"/>
              </w:rPr>
              <w:t xml:space="preserve">Kaiser-Meyer-Olkin (KMO) Measure of Sampling Adequacy</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Bartlett's Test χ²</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6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4000"/>
            <w:tcMar>
              <w:top w:type="dxa" w:w="60"/>
              <w:left w:type="dxa" w:w="100"/>
              <w:bottom w:type="dxa" w:w="60"/>
              <w:right w:type="dxa" w:w="100"/>
            </w:tcMar>
            <w:vAlign w:val="center"/>
          </w:tcPr>
          <w:p>
            <w:pPr>
              <w:jc w:val="left"/>
            </w:pPr>
            <w:r>
              <w:rPr>
                <w:b w:val="false"/>
                <w:bCs w:val="false"/>
                <w:color w:val="000000"/>
                <w:sz w:val="19"/>
                <w:szCs w:val="19"/>
              </w:rPr>
              <w:t xml:space="preserve">0.347</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150.475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160" w:before="100"/>
      </w:pPr>
      <w:r>
        <w:rPr>
          <w:i/>
          <w:iCs/>
          <w:color w:val="555555"/>
          <w:sz w:val="19"/>
          <w:szCs w:val="19"/>
        </w:rPr>
        <w:t xml:space="preserve">Table 14.1 — KMO and Bartlett's Test of Sphericity.</w:t>
      </w:r>
    </w:p>
    <w:p>
      <w:pPr>
        <w:pStyle w:val="Heading2"/>
        <w:spacing w:after="120" w:before="260"/>
      </w:pPr>
      <w:r>
        <w:rPr>
          <w:b/>
          <w:bCs/>
          <w:color w:val="B8860B"/>
          <w:sz w:val="24"/>
          <w:szCs w:val="24"/>
        </w:rPr>
        <w:t xml:space="preserve">Output — Total Variance Explained (Eigenvalues)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Component</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Eigenvalue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 of Variance</w:t>
            </w:r>
          </w:p>
        </w:tc>
        <w:tc>
          <w:tcPr>
            <w:tcW w:type="dxa" w:w="2000"/>
            <w:shd w:fill="1F3864" w:val="clear"/>
            <w:tcMar>
              <w:top w:type="dxa" w:w="60"/>
              <w:left w:type="dxa" w:w="100"/>
              <w:bottom w:type="dxa" w:w="60"/>
              <w:right w:type="dxa" w:w="100"/>
            </w:tcMar>
            <w:vAlign w:val="center"/>
          </w:tcPr>
          <w:p>
            <w:pPr>
              <w:jc w:val="center"/>
            </w:pPr>
            <w:r>
              <w:rPr>
                <w:b/>
                <w:bCs/>
                <w:color w:val="FFFFFF"/>
                <w:sz w:val="19"/>
                <w:szCs w:val="19"/>
              </w:rPr>
              <w:t xml:space="preserve">Cumulative %</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1.666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33.3%</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33.32</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Component 2</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1.061</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21.2%</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54.54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1.036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20.7%</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75.25999999999999</w:t>
            </w:r>
          </w:p>
        </w:tc>
      </w:tr>
      <w:tr>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Component 4</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0.912</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18.2%</w:t>
            </w:r>
          </w:p>
        </w:tc>
        <w:tc>
          <w:tcPr>
            <w:tcW w:type="dxa" w:w="20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93.5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Component 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0.325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6.5%</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100</w:t>
            </w:r>
          </w:p>
        </w:tc>
      </w:tr>
    </w:tbl>
    <w:p>
      <w:pPr>
        <w:spacing w:after="160" w:before="100"/>
      </w:pPr>
      <w:r>
        <w:rPr>
          <w:i/>
          <w:iCs/>
          <w:color w:val="555555"/>
          <w:sz w:val="19"/>
          <w:szCs w:val="19"/>
        </w:rPr>
        <w:t xml:space="preserve">Table 14.2 — Eigenvalues for all five components; 3 component(s) have eigenvalues greater than 1 (Kaiser's criterion) and are retained.</w:t>
      </w:r>
    </w:p>
    <w:p>
      <w:pPr>
        <w:pStyle w:val="Heading2"/>
        <w:spacing w:after="120" w:before="260"/>
      </w:pPr>
      <w:r>
        <w:rPr>
          <w:b/>
          <w:bCs/>
          <w:color w:val="B8860B"/>
          <w:sz w:val="24"/>
          <w:szCs w:val="24"/>
        </w:rPr>
        <w:t xml:space="preserve">Output — Rotated Component Matrix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rPr>
          <w:tblHeader/>
        </w:trPr>
        <w:tc>
          <w:tcPr>
            <w:tcW w:type="dxa" w:w="2400"/>
            <w:shd w:fill="1F3864"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Component 1</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Component 2</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Component 3</w:t>
            </w:r>
          </w:p>
        </w:tc>
        <w:tc>
          <w:tcPr>
            <w:tcW w:type="dxa" w:w="1900"/>
            <w:shd w:fill="1F3864" w:val="clear"/>
            <w:tcMar>
              <w:top w:type="dxa" w:w="60"/>
              <w:left w:type="dxa" w:w="100"/>
              <w:bottom w:type="dxa" w:w="60"/>
              <w:right w:type="dxa" w:w="100"/>
            </w:tcMar>
            <w:vAlign w:val="center"/>
          </w:tcPr>
          <w:p>
            <w:pPr>
              <w:jc w:val="center"/>
            </w:pPr>
            <w:r>
              <w:rPr>
                <w:b/>
                <w:bCs/>
                <w:color w:val="FFFFFF"/>
                <w:sz w:val="19"/>
                <w:szCs w:val="19"/>
              </w:rPr>
              <w:t xml:space="preserve">Communality</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-0.011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0.998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0.997</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0.998</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-0.012</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0.029</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0.997</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-0.048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0.23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0.055</w:t>
            </w:r>
          </w:p>
        </w:tc>
      </w:tr>
      <w:tr>
        <w:tc>
          <w:tcPr>
            <w:tcW w:type="dxa" w:w="2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-0.047</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0.042</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0.42</w:t>
            </w:r>
          </w:p>
        </w:tc>
        <w:tc>
          <w:tcPr>
            <w:tcW w:type="dxa" w:w="1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0.181</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0.321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0.316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0.898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1.01</w:t>
            </w:r>
          </w:p>
        </w:tc>
      </w:tr>
    </w:tbl>
    <w:p>
      <w:pPr>
        <w:spacing w:after="160" w:before="100"/>
      </w:pPr>
      <w:r>
        <w:rPr>
          <w:i/>
          <w:iCs/>
          <w:color w:val="555555"/>
          <w:sz w:val="19"/>
          <w:szCs w:val="19"/>
        </w:rPr>
        <w:t xml:space="preserve">Table 14.3 — Rotated component loadings (Varimax) and communalities.</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Sampling adequacy: KMO = 0.347. This falls well below the minimum acceptable threshold of 0.60 (Kaiser's guideline classifies values below 0.50 as 'unacceptable' and 0.50–0.59 as 'miserable') — indicating the correlations among these five items are too weak, relative to their partial correlations, to support meaningful factor extraction. Bartlett's Test of Sphericity is nonetheless statistically significant (χ² = 150.475, p &lt; .001), which only confirms the correlation matrix is not a perfect identity matrix — a low bar that is easily met even when KMO is poor with N=250.</w:t>
      </w:r>
    </w:p>
    <w:p>
      <w:pPr>
        <w:spacing w:after="140" w:line="276"/>
        <w:jc w:val="both"/>
      </w:pPr>
      <w:r>
        <w:rPr>
          <w:sz w:val="21"/>
          <w:szCs w:val="21"/>
        </w:rPr>
        <w:t xml:space="preserve">Kaiser's criterion retains 3 components with eigenvalues above 1, which for a 5-item scale is a strong warning sign: when the number of retained factors approaches the number of items, it means the items are not sharing common variance in a way that supports meaningful data reduction — each item is essentially its own dimension. The rotated loadings confirm this: each item loads strongly (~0.9–1.0) onto a different component with near-zero cross-loadings, meaning Taste, Price, Packaging, and Availability are not consolidating into shared underlying factors; OverallSatisfaction loads moderately across multiple components (0.32, 0.32, 0.90), suggesting it draws diffusely on several attributes without being cleanly explained by any single one.</w:t>
      </w:r>
    </w:p>
    <w:p>
      <w:pPr>
        <w:spacing w:after="140" w:line="276"/>
        <w:jc w:val="both"/>
      </w:pPr>
      <w:r>
        <w:rPr>
          <w:sz w:val="21"/>
          <w:szCs w:val="21"/>
        </w:rPr>
        <w:t xml:space="preserve">This result is fully consistent with, and reinforces, the poor Cronbach's Alpha reliability finding in Section 6: these five variables measure genuinely distinct constructs and cannot be statistically or meaningfully condensed into a smaller number of composite 'satisfaction dimensions'.</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Factor analysis formally confirms that UAC Foods' four core attribute perceptions (Taste, Price, Packaging, Availability) are empirically distinct constructs, not sub-facets of one 'quality' dimension — survey design and dashboards should treat them as four separate KPIs, not one blended index.</w:t>
      </w:r>
    </w:p>
    <w:p>
      <w:pPr>
        <w:pStyle w:val="ListParagraph"/>
        <w:numPr>
          <w:ilvl w:val="0"/>
          <w:numId w:val="1"/>
        </w:numPr>
        <w:spacing w:after="60" w:line="270"/>
      </w:pPr>
      <w:r>
        <w:rPr>
          <w:sz w:val="21"/>
          <w:szCs w:val="21"/>
        </w:rPr>
        <w:t xml:space="preserve">Any future questionnaire redesign aiming to build a genuine multi-item 'Customer Satisfaction Index' would need additional, more inter-correlated items per construct (e.g., 3–4 items specifically about taste) rather than one single-item measure per attribute, since single indicators cannot by definition form a reliable multi-item factor.</w:t>
      </w:r>
    </w:p>
    <w:p>
      <w:r>
        <w:br w:type="page"/>
      </w:r>
    </w:p>
    <w:p>
      <w:pPr>
        <w:pStyle w:val="Heading1"/>
        <w:pBdr>
          <w:bottom w:val="single" w:color="1F3864" w:sz="8" w:space="4"/>
        </w:pBdr>
        <w:spacing w:after="200" w:before="400"/>
      </w:pPr>
      <w:r>
        <w:rPr>
          <w:b/>
          <w:bCs/>
          <w:color w:val="1F3864"/>
          <w:sz w:val="30"/>
          <w:szCs w:val="30"/>
        </w:rPr>
        <w:t xml:space="preserve">15. Cluster Analysis (K-Means)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segment respondents into distinct behavioural groups based on their purchasing patterns, in order to support targeted marketing. This corresponds to Analyze &gt; Classify &gt; K-Means Cluster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PurchaseFrequency, LoyaltyYears, MonthlySpend_NGN, OverallSatisfaction (all standardised to Z-scores prior to clustering, as SPSS recommends via Analyze &gt; Descriptive Statistics &gt; Descriptives &gt; Save standardized values, since these variables are on very different scales).</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Standardise PurchaseFrequency, LoyaltyYears, MonthlySpend_NGN, and OverallSatisfaction into Z-scores (Analyze &gt; Descriptive Statistics &gt; Descriptives, tick 'Save standardized values as variables').</w:t>
      </w:r>
    </w:p>
    <w:p>
      <w:pPr>
        <w:pStyle w:val="ListParagraph"/>
        <w:numPr>
          <w:ilvl w:val="0"/>
          <w:numId w:val="2"/>
        </w:numPr>
        <w:spacing w:after="80" w:line="270"/>
      </w:pPr>
      <w:r>
        <w:rPr>
          <w:sz w:val="21"/>
          <w:szCs w:val="21"/>
        </w:rPr>
        <w:t xml:space="preserve">Analyze &gt; Classify &gt; K-Means Cluster.</w:t>
      </w:r>
    </w:p>
    <w:p>
      <w:pPr>
        <w:pStyle w:val="ListParagraph"/>
        <w:numPr>
          <w:ilvl w:val="0"/>
          <w:numId w:val="2"/>
        </w:numPr>
        <w:spacing w:after="80" w:line="270"/>
      </w:pPr>
      <w:r>
        <w:rPr>
          <w:sz w:val="21"/>
          <w:szCs w:val="21"/>
        </w:rPr>
        <w:t xml:space="preserve">Move the four standardised (Z-score) variables into 'Variables'.</w:t>
      </w:r>
    </w:p>
    <w:p>
      <w:pPr>
        <w:pStyle w:val="ListParagraph"/>
        <w:numPr>
          <w:ilvl w:val="0"/>
          <w:numId w:val="2"/>
        </w:numPr>
        <w:spacing w:after="80" w:line="270"/>
      </w:pPr>
      <w:r>
        <w:rPr>
          <w:sz w:val="21"/>
          <w:szCs w:val="21"/>
        </w:rPr>
        <w:t xml:space="preserve">Set 'Number of Clusters' — an elbow-plot comparison of within-cluster sum of squares across k = 2 to 6 clusters supports k = 3 as a reasonable, interpretable solution.</w:t>
      </w:r>
    </w:p>
    <w:p>
      <w:pPr>
        <w:pStyle w:val="ListParagraph"/>
        <w:numPr>
          <w:ilvl w:val="0"/>
          <w:numId w:val="2"/>
        </w:numPr>
        <w:spacing w:after="80" w:line="270"/>
      </w:pPr>
      <w:r>
        <w:rPr>
          <w:sz w:val="21"/>
          <w:szCs w:val="21"/>
        </w:rPr>
        <w:t xml:space="preserve">Click Save, tick 'Cluster Membership' to append a new grouping variable to the dataset.</w:t>
      </w:r>
    </w:p>
    <w:p>
      <w:pPr>
        <w:pStyle w:val="ListParagraph"/>
        <w:numPr>
          <w:ilvl w:val="0"/>
          <w:numId w:val="2"/>
        </w:numPr>
        <w:spacing w:after="80" w:line="270"/>
      </w:pPr>
      <w:r>
        <w:rPr>
          <w:sz w:val="21"/>
          <w:szCs w:val="21"/>
        </w:rPr>
        <w:t xml:space="preserve">Click OK. SPSS outputs Initial/Final Cluster Centers, Number of Cases in each Cluster, and an ANOVA table validating that clusters differ significantly on the clustering variables.</w:t>
      </w:r>
    </w:p>
    <w:p>
      <w:pPr>
        <w:pStyle w:val="Heading2"/>
        <w:spacing w:after="120" w:before="260"/>
      </w:pPr>
      <w:r>
        <w:rPr>
          <w:b/>
          <w:bCs/>
          <w:color w:val="B8860B"/>
          <w:sz w:val="24"/>
          <w:szCs w:val="24"/>
        </w:rPr>
        <w:t xml:space="preserve">Output — Elbow Method (Within-Cluster Sum of Squares by 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k (Number of Clusters)</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Within-Cluster SS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626.76</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508.65</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411.75</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351.03</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309.39</w:t>
            </w:r>
          </w:p>
        </w:tc>
      </w:tr>
    </w:tbl>
    <w:p>
      <w:pPr>
        <w:spacing w:after="160" w:before="100"/>
      </w:pPr>
      <w:r>
        <w:rPr>
          <w:i/>
          <w:iCs/>
          <w:color w:val="555555"/>
          <w:sz w:val="19"/>
          <w:szCs w:val="19"/>
        </w:rPr>
        <w:t xml:space="preserve">Table 15.1 — Total within-cluster sum of squares for k = 2 to 6; the 'elbow' (diminishing marginal reduction) appears around k = 3.</w:t>
      </w:r>
    </w:p>
    <w:p>
      <w:pPr>
        <w:pStyle w:val="Heading2"/>
        <w:spacing w:after="120" w:before="260"/>
      </w:pPr>
      <w:r>
        <w:rPr>
          <w:b/>
          <w:bCs/>
          <w:color w:val="B8860B"/>
          <w:sz w:val="24"/>
          <w:szCs w:val="24"/>
        </w:rPr>
        <w:t xml:space="preserve">Output — Final Cluster Centers (k = 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0</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1</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Cluster 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PurchaseFrequency</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5.84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16.26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6.88</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LoyaltyYears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6.77</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8.4</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6.38</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890.05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2471.19</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1074.25</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2.84</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3.39</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4.09</w:t>
            </w:r>
          </w:p>
        </w:tc>
      </w:tr>
    </w:tbl>
    <w:p>
      <w:pPr>
        <w:spacing w:after="160" w:before="100"/>
      </w:pPr>
      <w:r>
        <w:rPr>
          <w:i/>
          <w:iCs/>
          <w:color w:val="555555"/>
          <w:sz w:val="19"/>
          <w:szCs w:val="19"/>
        </w:rPr>
        <w:t xml:space="preserve">Table 15.2 — Cluster means on original (unstandardised) scales. Cluster sizes: Cluster 0 n=73, Cluster 1 n=113, Cluster 2 n=64.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1700"/>
      </w:tblGrid>
      <w:tr>
        <w:trPr>
          <w:tblHeader/>
        </w:trPr>
        <w:tc>
          <w:tcPr>
            <w:tcW w:type="dxa" w:w="5500"/>
            <w:shd w:fill="1F3864" w:val="clear"/>
            <w:tcMar>
              <w:top w:type="dxa" w:w="60"/>
              <w:left w:type="dxa" w:w="100"/>
              <w:bottom w:type="dxa" w:w="60"/>
              <w:right w:type="dxa" w:w="100"/>
            </w:tcMar>
            <w:vAlign w:val="center"/>
          </w:tcPr>
          <w:p>
            <w:pPr>
              <w:jc w:val="center"/>
            </w:pPr>
            <w:r>
              <w:rPr>
                <w:b/>
                <w:bCs/>
                <w:color w:val="FFFFFF"/>
                <w:sz w:val="19"/>
                <w:szCs w:val="19"/>
              </w:rPr>
              <w:t xml:space="preserve">Validation Check</w:t>
            </w:r>
          </w:p>
        </w:tc>
        <w:tc>
          <w:tcPr>
            <w:tcW w:type="dxa" w:w="1800"/>
            <w:shd w:fill="1F3864"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1700"/>
            <w:shd w:fill="1F3864"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5500"/>
            <w:tcMar>
              <w:top w:type="dxa" w:w="60"/>
              <w:left w:type="dxa" w:w="100"/>
              <w:bottom w:type="dxa" w:w="60"/>
              <w:right w:type="dxa" w:w="100"/>
            </w:tcMar>
            <w:vAlign w:val="center"/>
          </w:tcPr>
          <w:p>
            <w:pPr>
              <w:jc w:val="left"/>
            </w:pPr>
            <w:r>
              <w:rPr>
                <w:b w:val="false"/>
                <w:bCs w:val="false"/>
                <w:color w:val="000000"/>
                <w:sz w:val="19"/>
                <w:szCs w:val="19"/>
              </w:rPr>
              <w:t xml:space="preserve">One-way ANOVA: MonthlySpend_NGN by Cluster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288.007</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160" w:before="100"/>
      </w:pPr>
      <w:r>
        <w:rPr>
          <w:i/>
          <w:iCs/>
          <w:color w:val="555555"/>
          <w:sz w:val="19"/>
          <w:szCs w:val="19"/>
        </w:rPr>
        <w:t xml:space="preserve">Table 15.3 — Validation that clusters differ significantly on spend (a variable used in cluster formation, so this confirms internal cohesion, not external validity).</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Three clearly interpretable segments emerge from the k=3 solution:</w:t>
      </w:r>
    </w:p>
    <w:p>
      <w:pPr>
        <w:pStyle w:val="ListParagraph"/>
        <w:numPr>
          <w:ilvl w:val="0"/>
          <w:numId w:val="1"/>
        </w:numPr>
        <w:spacing w:after="60" w:line="270"/>
      </w:pPr>
      <w:r>
        <w:rPr>
          <w:sz w:val="21"/>
          <w:szCs w:val="21"/>
        </w:rPr>
        <w:t xml:space="preserve">Cluster 0 — "Occasional Low-Spenders / Least Satisfied" (n=73, 29% of sample): low purchase frequency (5.84/month), moderate loyalty (6.77 years), the lowest monthly spend (₦890.05), and the lowest satisfaction (2.84/5).</w:t>
      </w:r>
    </w:p>
    <w:p>
      <w:pPr>
        <w:pStyle w:val="ListParagraph"/>
        <w:numPr>
          <w:ilvl w:val="0"/>
          <w:numId w:val="1"/>
        </w:numPr>
        <w:spacing w:after="60" w:line="270"/>
      </w:pPr>
      <w:r>
        <w:rPr>
          <w:sz w:val="21"/>
          <w:szCs w:val="21"/>
        </w:rPr>
        <w:t xml:space="preserve">Cluster 1 — "Frequent High-Value Buyers" (n=113, 45% of sample): the highest purchase frequency (16.26/month), longest loyalty (8.4 years), and by far the highest monthly spend (₦2471.19) — this is UAC's core revenue-driving segment, despite only moderate satisfaction (3.39/5).</w:t>
      </w:r>
    </w:p>
    <w:p>
      <w:pPr>
        <w:pStyle w:val="ListParagraph"/>
        <w:numPr>
          <w:ilvl w:val="0"/>
          <w:numId w:val="1"/>
        </w:numPr>
        <w:spacing w:after="60" w:line="270"/>
      </w:pPr>
      <w:r>
        <w:rPr>
          <w:sz w:val="21"/>
          <w:szCs w:val="21"/>
        </w:rPr>
        <w:t xml:space="preserve">Cluster 2 — "Satisfied Light Buyers" (n=64, 26% of sample): low-to-moderate frequency (6.88/month) and modest spend (₦1074.25), but the highest satisfaction of the three clusters (4.09/5) — a small-basket but highly contented group.</w:t>
      </w:r>
    </w:p>
    <w:p>
      <w:pPr>
        <w:spacing w:after="140" w:line="276"/>
        <w:jc w:val="both"/>
      </w:pPr>
      <w:r>
        <w:rPr>
          <w:sz w:val="21"/>
          <w:szCs w:val="21"/>
        </w:rPr>
        <w:t xml:space="preserve">The validation ANOVA confirms the three clusters differ significantly on Monthly Spend (F = 288.007, p &lt; .001), demonstrating the segments are statistically well-separated and not an artefact of random grouping.</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Cluster 1 (Frequent High-Value Buyers) generates disproportionate revenue and should receive priority retention investment (loyalty rewards, early access to new products) even though their satisfaction is only moderate — losing this group would be costly, and their moderate satisfaction score is a warning sign worth monitoring closely.</w:t>
      </w:r>
    </w:p>
    <w:p>
      <w:pPr>
        <w:pStyle w:val="ListParagraph"/>
        <w:numPr>
          <w:ilvl w:val="0"/>
          <w:numId w:val="1"/>
        </w:numPr>
        <w:spacing w:after="60" w:line="270"/>
      </w:pPr>
      <w:r>
        <w:rPr>
          <w:sz w:val="21"/>
          <w:szCs w:val="21"/>
        </w:rPr>
        <w:t xml:space="preserve">Cluster 2 (Satisfied Light Buyers) represents a 'convert-to-frequency' growth opportunity: they already like the product (highest satisfaction) but buy infrequently — targeted frequency-boosting promotions (reminder marketing, bundle discounts) could migrate this group toward Cluster 1's spend level.</w:t>
      </w:r>
    </w:p>
    <w:p>
      <w:pPr>
        <w:pStyle w:val="ListParagraph"/>
        <w:numPr>
          <w:ilvl w:val="0"/>
          <w:numId w:val="1"/>
        </w:numPr>
        <w:spacing w:after="60" w:line="270"/>
      </w:pPr>
      <w:r>
        <w:rPr>
          <w:sz w:val="21"/>
          <w:szCs w:val="21"/>
        </w:rPr>
        <w:t xml:space="preserve">Cluster 0 (Occasional Low-Spenders / Least Satisfied) is the highest-risk segment for churn and warrants root-cause investigation (e.g., why satisfaction is lowest here) before investing further marketing spend on this group.</w:t>
      </w:r>
    </w:p>
    <w:p>
      <w:r>
        <w:br w:type="page"/>
      </w:r>
    </w:p>
    <w:p>
      <w:pPr>
        <w:pStyle w:val="Heading1"/>
        <w:pBdr>
          <w:bottom w:val="single" w:color="1F3864" w:sz="8" w:space="4"/>
        </w:pBdr>
        <w:spacing w:after="200" w:before="400"/>
      </w:pPr>
      <w:r>
        <w:rPr>
          <w:b/>
          <w:bCs/>
          <w:color w:val="1F3864"/>
          <w:sz w:val="30"/>
          <w:szCs w:val="30"/>
        </w:rPr>
        <w:t xml:space="preserve">16. Discriminant Analysis</w:t>
      </w:r>
    </w:p>
    <w:p>
      <w:pPr>
        <w:pStyle w:val="Heading2"/>
        <w:spacing w:after="120" w:before="260"/>
      </w:pPr>
      <w:r>
        <w:rPr>
          <w:b/>
          <w:bCs/>
          <w:color w:val="B8860B"/>
          <w:sz w:val="24"/>
          <w:szCs w:val="24"/>
        </w:rPr>
        <w:t xml:space="preserve">Aim of the Analysis</w:t>
      </w:r>
    </w:p>
    <w:p>
      <w:pPr>
        <w:spacing w:after="140" w:line="276"/>
        <w:jc w:val="both"/>
      </w:pPr>
      <w:r>
        <w:rPr>
          <w:sz w:val="21"/>
          <w:szCs w:val="21"/>
        </w:rPr>
        <w:t xml:space="preserve">To determine which combination of continuous variables best discriminates between respondents who Would Recommend the product versus those who would not, offering a classification-oriented alternative and cross-check to the logistic regression in Section 13. This corresponds to Analyze &gt; Classify &gt; Discriminant in SPSS.</w:t>
      </w:r>
    </w:p>
    <w:p>
      <w:pPr>
        <w:pStyle w:val="Heading2"/>
        <w:spacing w:after="120" w:before="260"/>
      </w:pPr>
      <w:r>
        <w:rPr>
          <w:b/>
          <w:bCs/>
          <w:color w:val="B8860B"/>
          <w:sz w:val="24"/>
          <w:szCs w:val="24"/>
        </w:rPr>
        <w:t xml:space="preserve">Columns Involved</w:t>
      </w:r>
    </w:p>
    <w:p>
      <w:pPr>
        <w:spacing w:after="140" w:line="276"/>
        <w:jc w:val="both"/>
      </w:pPr>
      <w:r>
        <w:rPr>
          <w:sz w:val="21"/>
          <w:szCs w:val="21"/>
        </w:rPr>
        <w:t xml:space="preserve">Grouping variable: WouldRecommend. Predictors: MonthlySpend_NGN, OverallSatisfaction, Taste, Price, Packaging, Availability.</w:t>
      </w:r>
    </w:p>
    <w:p>
      <w:pPr>
        <w:pStyle w:val="Heading2"/>
        <w:spacing w:after="120" w:before="260"/>
      </w:pPr>
      <w:r>
        <w:rPr>
          <w:b/>
          <w:bCs/>
          <w:color w:val="B8860B"/>
          <w:sz w:val="24"/>
          <w:szCs w:val="24"/>
        </w:rPr>
        <w:t xml:space="preserve">Step-by-Step Procedure in SPSS</w:t>
      </w:r>
    </w:p>
    <w:p>
      <w:pPr>
        <w:pStyle w:val="ListParagraph"/>
        <w:numPr>
          <w:ilvl w:val="0"/>
          <w:numId w:val="2"/>
        </w:numPr>
        <w:spacing w:after="80" w:line="270"/>
      </w:pPr>
      <w:r>
        <w:rPr>
          <w:sz w:val="21"/>
          <w:szCs w:val="21"/>
        </w:rPr>
        <w:t xml:space="preserve">Analyze &gt; Classify &gt; Discriminant.</w:t>
      </w:r>
    </w:p>
    <w:p>
      <w:pPr>
        <w:pStyle w:val="ListParagraph"/>
        <w:numPr>
          <w:ilvl w:val="0"/>
          <w:numId w:val="2"/>
        </w:numPr>
        <w:spacing w:after="80" w:line="270"/>
      </w:pPr>
      <w:r>
        <w:rPr>
          <w:sz w:val="21"/>
          <w:szCs w:val="21"/>
        </w:rPr>
        <w:t xml:space="preserve">Move WouldRecommend into 'Grouping Variable' and click 'Define Range' (minimum=0, maximum=1, after coding No=0, Yes=1).</w:t>
      </w:r>
    </w:p>
    <w:p>
      <w:pPr>
        <w:pStyle w:val="ListParagraph"/>
        <w:numPr>
          <w:ilvl w:val="0"/>
          <w:numId w:val="2"/>
        </w:numPr>
        <w:spacing w:after="80" w:line="270"/>
      </w:pPr>
      <w:r>
        <w:rPr>
          <w:sz w:val="21"/>
          <w:szCs w:val="21"/>
        </w:rPr>
        <w:t xml:space="preserve">Move MonthlySpend_NGN, OverallSatisfaction, Taste, Price, Packaging, and Availability into 'Independents'.</w:t>
      </w:r>
    </w:p>
    <w:p>
      <w:pPr>
        <w:pStyle w:val="ListParagraph"/>
        <w:numPr>
          <w:ilvl w:val="0"/>
          <w:numId w:val="2"/>
        </w:numPr>
        <w:spacing w:after="80" w:line="270"/>
      </w:pPr>
      <w:r>
        <w:rPr>
          <w:sz w:val="21"/>
          <w:szCs w:val="21"/>
        </w:rPr>
        <w:t xml:space="preserve">Click Statistics, tick 'Means', 'Univariate ANOVAs', and 'Fisher's classification function coefficients'.</w:t>
      </w:r>
    </w:p>
    <w:p>
      <w:pPr>
        <w:pStyle w:val="ListParagraph"/>
        <w:numPr>
          <w:ilvl w:val="0"/>
          <w:numId w:val="2"/>
        </w:numPr>
        <w:spacing w:after="80" w:line="270"/>
      </w:pPr>
      <w:r>
        <w:rPr>
          <w:sz w:val="21"/>
          <w:szCs w:val="21"/>
        </w:rPr>
        <w:t xml:space="preserve">Click Classify, tick 'Summary table'.</w:t>
      </w:r>
    </w:p>
    <w:p>
      <w:pPr>
        <w:pStyle w:val="ListParagraph"/>
        <w:numPr>
          <w:ilvl w:val="0"/>
          <w:numId w:val="2"/>
        </w:numPr>
        <w:spacing w:after="80" w:line="270"/>
      </w:pPr>
      <w:r>
        <w:rPr>
          <w:sz w:val="21"/>
          <w:szCs w:val="21"/>
        </w:rPr>
        <w:t xml:space="preserve">Click OK. SPSS outputs Group Statistics, the Canonical Discriminant Function Coefficients, and a Classification Results table.</w:t>
      </w:r>
    </w:p>
    <w:p>
      <w:pPr>
        <w:pStyle w:val="Heading2"/>
        <w:spacing w:after="120" w:before="260"/>
      </w:pPr>
      <w:r>
        <w:rPr>
          <w:b/>
          <w:bCs/>
          <w:color w:val="B8860B"/>
          <w:sz w:val="24"/>
          <w:szCs w:val="24"/>
        </w:rPr>
        <w:t xml:space="preserve">Output — Group Means on Predictors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Group: No</w:t>
            </w:r>
          </w:p>
        </w:tc>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Group: Yes</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1691.91</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1640.86</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3.44</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3.41</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3.63</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2.93</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2.95</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3.56</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3.6</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3.54</w:t>
            </w:r>
          </w:p>
        </w:tc>
        <w:tc>
          <w:tcPr>
            <w:tcW w:type="dxa" w:w="33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3.49</w:t>
            </w:r>
          </w:p>
        </w:tc>
      </w:tr>
    </w:tbl>
    <w:p>
      <w:pPr>
        <w:spacing w:after="160" w:before="100"/>
      </w:pPr>
      <w:r>
        <w:rPr>
          <w:i/>
          <w:iCs/>
          <w:color w:val="555555"/>
          <w:sz w:val="19"/>
          <w:szCs w:val="19"/>
        </w:rPr>
        <w:t xml:space="preserve">Table 16.1 — Group means for respondents who would vs would not recommend.</w:t>
      </w:r>
    </w:p>
    <w:p>
      <w:pPr>
        <w:pStyle w:val="Heading2"/>
        <w:spacing w:after="120" w:before="260"/>
      </w:pPr>
      <w:r>
        <w:rPr>
          <w:b/>
          <w:bCs/>
          <w:color w:val="B8860B"/>
          <w:sz w:val="24"/>
          <w:szCs w:val="24"/>
        </w:rPr>
        <w:t xml:space="preserve">Output — Canonical Discriminant Function Coefficients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4500"/>
            <w:shd w:fill="1F3864" w:val="clear"/>
            <w:tcMar>
              <w:top w:type="dxa" w:w="60"/>
              <w:left w:type="dxa" w:w="100"/>
              <w:bottom w:type="dxa" w:w="60"/>
              <w:right w:type="dxa" w:w="100"/>
            </w:tcMar>
            <w:vAlign w:val="center"/>
          </w:tcPr>
          <w:p>
            <w:pPr>
              <w:jc w:val="center"/>
            </w:pPr>
            <w:r>
              <w:rPr>
                <w:b/>
                <w:bCs/>
                <w:color w:val="FFFFFF"/>
                <w:sz w:val="19"/>
                <w:szCs w:val="19"/>
              </w:rPr>
              <w:t xml:space="preserve">Standardised Coefficient</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MonthlySpend_NGN</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-0.0001</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0.3464</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Taste</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0.2001</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-0.0517</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Packaging</w:t>
            </w:r>
          </w:p>
        </w:tc>
        <w:tc>
          <w:tcPr>
            <w:tcW w:type="dxa" w:w="4500"/>
            <w:tcMar>
              <w:top w:type="dxa" w:w="60"/>
              <w:left w:type="dxa" w:w="100"/>
              <w:bottom w:type="dxa" w:w="60"/>
              <w:right w:type="dxa" w:w="100"/>
            </w:tcMar>
            <w:vAlign w:val="center"/>
          </w:tcPr>
          <w:p>
            <w:pPr>
              <w:jc w:val="center"/>
            </w:pPr>
            <w:r>
              <w:rPr>
                <w:b w:val="false"/>
                <w:bCs w:val="false"/>
                <w:color w:val="000000"/>
                <w:sz w:val="19"/>
                <w:szCs w:val="19"/>
              </w:rPr>
              <w:t xml:space="preserve">0.018</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Availability</w:t>
            </w:r>
          </w:p>
        </w:tc>
        <w:tc>
          <w:tcPr>
            <w:tcW w:type="dxa" w:w="45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-0.1545</w:t>
            </w:r>
          </w:p>
        </w:tc>
      </w:tr>
    </w:tbl>
    <w:p>
      <w:pPr>
        <w:spacing w:after="160" w:before="100"/>
      </w:pPr>
      <w:r>
        <w:rPr>
          <w:i/>
          <w:iCs/>
          <w:color w:val="555555"/>
          <w:sz w:val="19"/>
          <w:szCs w:val="19"/>
        </w:rPr>
        <w:t xml:space="preserve">Table 16.2 — Discriminant function coefficients (relative contribution of each predictor to separating the two groups).</w:t>
      </w:r>
    </w:p>
    <w:p>
      <w:pPr>
        <w:pStyle w:val="Heading2"/>
        <w:spacing w:after="120" w:before="260"/>
      </w:pPr>
      <w:r>
        <w:rPr>
          <w:b/>
          <w:bCs/>
          <w:color w:val="B8860B"/>
          <w:sz w:val="24"/>
          <w:szCs w:val="24"/>
        </w:rPr>
        <w:t xml:space="preserve">Output — Classification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No</w:t>
            </w:r>
          </w:p>
        </w:tc>
        <w:tc>
          <w:tcPr>
            <w:tcW w:type="dxa" w:w="2200"/>
            <w:shd w:fill="1F3864" w:val="clear"/>
            <w:tcMar>
              <w:top w:type="dxa" w:w="60"/>
              <w:left w:type="dxa" w:w="100"/>
              <w:bottom w:type="dxa" w:w="60"/>
              <w:right w:type="dxa" w:w="100"/>
            </w:tcMar>
            <w:vAlign w:val="center"/>
          </w:tcPr>
          <w:p>
            <w:pPr>
              <w:jc w:val="center"/>
            </w:pPr>
            <w:r>
              <w:rPr>
                <w:b/>
                <w:bCs/>
                <w:color w:val="FFFFFF"/>
                <w:sz w:val="19"/>
                <w:szCs w:val="19"/>
              </w:rPr>
              <w:t xml:space="preserve">Predicted: Yes</w:t>
            </w:r>
          </w:p>
        </w:tc>
        <w:tc>
          <w:tcPr>
            <w:tcW w:type="dxa" w:w="2100"/>
            <w:shd w:fill="1F3864"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Observed: No</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0.0%</w:t>
            </w:r>
          </w:p>
        </w:tc>
      </w:tr>
      <w:tr>
        <w:tc>
          <w:tcPr>
            <w:tcW w:type="dxa" w:w="2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Observed: Yes</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2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196</w:t>
            </w:r>
          </w:p>
        </w:tc>
        <w:tc>
          <w:tcPr>
            <w:tcW w:type="dxa" w:w="21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160" w:before="100"/>
      </w:pPr>
      <w:r>
        <w:rPr>
          <w:i/>
          <w:iCs/>
          <w:color w:val="555555"/>
          <w:sz w:val="19"/>
          <w:szCs w:val="19"/>
        </w:rPr>
        <w:t xml:space="preserve">Table 16.3 — Classification results. Overall correctly classified = 78.4%.</w:t>
      </w:r>
    </w:p>
    <w:p>
      <w:pPr>
        <w:pStyle w:val="Heading2"/>
        <w:spacing w:after="120" w:before="260"/>
      </w:pPr>
      <w:r>
        <w:rPr>
          <w:b/>
          <w:bCs/>
          <w:color w:val="B8860B"/>
          <w:sz w:val="24"/>
          <w:szCs w:val="24"/>
        </w:rPr>
        <w:t xml:space="preserve">Interpretation</w:t>
      </w:r>
    </w:p>
    <w:p>
      <w:pPr>
        <w:spacing w:after="140" w:line="276"/>
        <w:jc w:val="both"/>
      </w:pPr>
      <w:r>
        <w:rPr>
          <w:sz w:val="21"/>
          <w:szCs w:val="21"/>
        </w:rPr>
        <w:t xml:space="preserve">Group means show minimal separation between those who would and would not recommend across all six predictors, mirroring the logistic regression finding. Overall Satisfaction (coefficient = 0.3464) and Taste (0.2001) carry the largest standardised weights in the discriminant function, echoing their (non-significant but directionally largest) role in the logistic model.</w:t>
      </w:r>
    </w:p>
    <w:p>
      <w:pPr>
        <w:spacing w:after="140" w:line="276"/>
        <w:jc w:val="both"/>
      </w:pPr>
      <w:r>
        <w:rPr>
          <w:sz w:val="21"/>
          <w:szCs w:val="21"/>
        </w:rPr>
        <w:t xml:space="preserve">Despite 78.4% overall classification accuracy, the model — like the logistic regression — achieves this almost entirely by defaulting to the majority "Yes" class (see the 0 in the top-left of the classification table), meaning it has essentially no ability to correctly identify the "No" (non-recommender) group. This corroborates, via an entirely independent method, the logistic regression's conclusion in Section 13.</w:t>
      </w:r>
    </w:p>
    <w:p>
      <w:pPr>
        <w:pStyle w:val="Heading2"/>
        <w:spacing w:after="120" w:before="260"/>
      </w:pPr>
      <w:r>
        <w:rPr>
          <w:b/>
          <w:bCs/>
          <w:color w:val="B8860B"/>
          <w:sz w:val="24"/>
          <w:szCs w:val="24"/>
        </w:rPr>
        <w:t xml:space="preserve">Insights Generated</w:t>
      </w:r>
    </w:p>
    <w:p>
      <w:pPr>
        <w:pStyle w:val="ListParagraph"/>
        <w:numPr>
          <w:ilvl w:val="0"/>
          <w:numId w:val="1"/>
        </w:numPr>
        <w:spacing w:after="60" w:line="270"/>
      </w:pPr>
      <w:r>
        <w:rPr>
          <w:sz w:val="21"/>
          <w:szCs w:val="21"/>
        </w:rPr>
        <w:t xml:space="preserve">Two independent classification methods (logistic regression and discriminant analysis) agree: the currently collected variables cannot distinguish recommenders from non-recommenders. This is a robust, method-triangulated finding, not a quirk of one technique.</w:t>
      </w:r>
    </w:p>
    <w:p>
      <w:pPr>
        <w:pStyle w:val="ListParagraph"/>
        <w:numPr>
          <w:ilvl w:val="0"/>
          <w:numId w:val="1"/>
        </w:numPr>
        <w:spacing w:after="60" w:line="270"/>
      </w:pPr>
      <w:r>
        <w:rPr>
          <w:sz w:val="21"/>
          <w:szCs w:val="21"/>
        </w:rPr>
        <w:t xml:space="preserve">UAC Foods should prioritise collecting new data — such as specific service-failure incidents, competitor-switching intent, or open-ended reasons for reluctance to recommend — to build a model capable of identifying at-risk customers before they become detractors.</w:t>
      </w:r>
    </w:p>
    <w:p>
      <w:r>
        <w:br w:type="page"/>
      </w:r>
    </w:p>
    <w:p>
      <w:pPr>
        <w:pStyle w:val="Heading1"/>
        <w:pBdr>
          <w:bottom w:val="single" w:color="1F3864" w:sz="8" w:space="4"/>
        </w:pBdr>
        <w:spacing w:after="200" w:before="400"/>
      </w:pPr>
      <w:r>
        <w:rPr>
          <w:b/>
          <w:bCs/>
          <w:color w:val="1F3864"/>
          <w:sz w:val="30"/>
          <w:szCs w:val="30"/>
        </w:rPr>
        <w:t xml:space="preserve">17. Consolidated Summary of Insights and Recommendations</w:t>
      </w:r>
    </w:p>
    <w:p>
      <w:pPr>
        <w:pStyle w:val="Heading2"/>
        <w:spacing w:after="120" w:before="260"/>
      </w:pPr>
      <w:r>
        <w:rPr>
          <w:b/>
          <w:bCs/>
          <w:color w:val="B8860B"/>
          <w:sz w:val="24"/>
          <w:szCs w:val="24"/>
        </w:rPr>
        <w:t xml:space="preserve">Summary Table of All Analyses Performed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00"/>
      </w:tblGrid>
      <w:tr>
        <w:trPr>
          <w:tblHeader/>
        </w:trPr>
        <w:tc>
          <w:tcPr>
            <w:tcW w:type="dxa" w:w="500"/>
            <w:shd w:fill="1F3864" w:val="clear"/>
            <w:tcMar>
              <w:top w:type="dxa" w:w="60"/>
              <w:left w:type="dxa" w:w="100"/>
              <w:bottom w:type="dxa" w:w="60"/>
              <w:right w:type="dxa" w:w="100"/>
            </w:tcMar>
            <w:vAlign w:val="center"/>
          </w:tcPr>
          <w:p>
            <w:pPr>
              <w:jc w:val="center"/>
            </w:pPr>
            <w:r>
              <w:rPr>
                <w:b/>
                <w:bCs/>
                <w:color w:val="FFFFFF"/>
                <w:sz w:val="19"/>
                <w:szCs w:val="19"/>
              </w:rPr>
              <w:t xml:space="preserve">#</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Analysis</w:t>
            </w:r>
          </w:p>
        </w:tc>
        <w:tc>
          <w:tcPr>
            <w:tcW w:type="dxa" w:w="5900"/>
            <w:shd w:fill="1F3864" w:val="clear"/>
            <w:tcMar>
              <w:top w:type="dxa" w:w="60"/>
              <w:left w:type="dxa" w:w="100"/>
              <w:bottom w:type="dxa" w:w="60"/>
              <w:right w:type="dxa" w:w="100"/>
            </w:tcMar>
            <w:vAlign w:val="center"/>
          </w:tcPr>
          <w:p>
            <w:pPr>
              <w:jc w:val="center"/>
            </w:pPr>
            <w:r>
              <w:rPr>
                <w:b/>
                <w:bCs/>
                <w:color w:val="FFFFFF"/>
                <w:sz w:val="19"/>
                <w:szCs w:val="19"/>
              </w:rPr>
              <w:t xml:space="preserve">Key Finding</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Missing Value Analysis</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Data quality high; &lt;2.5% missing on Age/Income; no other missingness.</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Frequency Analysis</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78.4% would recommend; Lagos-heavy sample; Taste most positively rated attribute.</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Descriptive Statistics</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Wide spend range (₦200–₦3,564); 7+ year average loyalty tenure.</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Normality Tests (Explore)</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All variables non-normal (p&lt;.05); Likert items especially — non-parametric tests used throughout.</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Chi-Square / Crosstabs</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No significant association between demographics/product and WouldRecommend.</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Reliability (Cronbach's Alpha)</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α = .36 (5-item), α = -.02 (4-item) — attributes are NOT a unified scale.</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Correlation (Pearson/Spearman)</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Spend ↔ Frequency r=.94 (very strong); attributes uncorrelated with each other.</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8-9</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T-Test / Mann-Whitney (Gender)</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No significant gender differences in spend, satisfaction, or attributes.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10-11</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ANOVA / Kruskal-Wallis</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No regional/product differences in spend/satisfaction; Education strongly predicts Income (η²=.72).</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12</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Multiple Linear Regression</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R²=.90; Purchase Frequency is the dominant, near-sole significant predictor of spend.</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Logistic Regression</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Pseudo-R²=.02; cannot meaningfully predict WouldRecommend from current variables.</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Factor Analysis</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KMO=.35 (unacceptable); attributes do not reduce to shared latent factors.</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Cluster Analysis (K-Means)</w:t>
            </w:r>
          </w:p>
        </w:tc>
        <w:tc>
          <w:tcPr>
            <w:tcW w:type="dxa" w:w="5900"/>
            <w:tcMar>
              <w:top w:type="dxa" w:w="60"/>
              <w:left w:type="dxa" w:w="100"/>
              <w:bottom w:type="dxa" w:w="60"/>
              <w:right w:type="dxa" w:w="100"/>
            </w:tcMar>
            <w:vAlign w:val="center"/>
          </w:tcPr>
          <w:p>
            <w:pPr>
              <w:jc w:val="center"/>
            </w:pPr>
            <w:r>
              <w:rPr>
                <w:b w:val="false"/>
                <w:bCs w:val="false"/>
                <w:color w:val="000000"/>
                <w:sz w:val="19"/>
                <w:szCs w:val="19"/>
              </w:rPr>
              <w:t xml:space="preserve">3 segments: Occasional Low-Spenders, Frequent High-Value Buyers, Satisfied Light Buyers.</w:t>
            </w:r>
          </w:p>
        </w:tc>
      </w:tr>
      <w:tr>
        <w:tc>
          <w:tcPr>
            <w:tcW w:type="dxa" w:w="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16</w:t>
            </w:r>
          </w:p>
        </w:tc>
        <w:tc>
          <w:tcPr>
            <w:tcW w:type="dxa" w:w="26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Discriminant Analysis</w:t>
            </w:r>
          </w:p>
        </w:tc>
        <w:tc>
          <w:tcPr>
            <w:tcW w:type="dxa" w:w="5900"/>
            <w:shd w:fill="F2F2F2" w:val="clear"/>
            <w:tcMar>
              <w:top w:type="dxa" w:w="60"/>
              <w:left w:type="dxa" w:w="100"/>
              <w:bottom w:type="dxa" w:w="60"/>
              <w:right w:type="dxa" w:w="100"/>
            </w:tcMar>
            <w:vAlign w:val="center"/>
          </w:tcPr>
          <w:p>
            <w:pPr>
              <w:jc w:val="center"/>
            </w:pPr>
            <w:r>
              <w:rPr>
                <w:b w:val="false"/>
                <w:bCs w:val="false"/>
                <w:color w:val="000000"/>
                <w:sz w:val="19"/>
                <w:szCs w:val="19"/>
              </w:rPr>
              <w:t xml:space="preserve">Corroborates logistic regression: cannot classify recommenders vs non-recommenders.</w:t>
            </w:r>
          </w:p>
        </w:tc>
      </w:tr>
    </w:tbl>
    <w:p>
      <w:pPr>
        <w:spacing w:after="160" w:before="100"/>
      </w:pPr>
      <w:r>
        <w:rPr>
          <w:i/>
          <w:iCs/>
          <w:color w:val="555555"/>
          <w:sz w:val="19"/>
          <w:szCs w:val="19"/>
        </w:rPr>
        <w:t xml:space="preserve">Table 17.1 — One-line summary of every statistical procedure performed in this report.</w:t>
      </w:r>
    </w:p>
    <w:p>
      <w:pPr>
        <w:pStyle w:val="Heading2"/>
        <w:spacing w:after="120" w:before="260"/>
      </w:pPr>
      <w:r>
        <w:rPr>
          <w:b/>
          <w:bCs/>
          <w:color w:val="B8860B"/>
          <w:sz w:val="24"/>
          <w:szCs w:val="24"/>
        </w:rPr>
        <w:t xml:space="preserve">Overarching Insights for UAC Foods</w:t>
      </w:r>
    </w:p>
    <w:p>
      <w:pPr>
        <w:pStyle w:val="ListParagraph"/>
        <w:numPr>
          <w:ilvl w:val="0"/>
          <w:numId w:val="1"/>
        </w:numPr>
        <w:spacing w:after="60" w:line="270"/>
      </w:pPr>
      <w:r>
        <w:rPr>
          <w:sz w:val="21"/>
          <w:szCs w:val="21"/>
        </w:rPr>
        <w:t xml:space="preserve">Purchase frequency is the single most powerful and actionable driver of revenue per customer, dwarfing income, demographics, and even attribute satisfaction in the regression model. Any initiative that increases how often existing customers buy (loyalty programmes, subscription/auto-restock, multi-buy bundles, reminder marketing) will have an outsized impact on revenue.</w:t>
      </w:r>
    </w:p>
    <w:p>
      <w:pPr>
        <w:pStyle w:val="ListParagraph"/>
        <w:numPr>
          <w:ilvl w:val="0"/>
          <w:numId w:val="1"/>
        </w:numPr>
        <w:spacing w:after="60" w:line="270"/>
      </w:pPr>
      <w:r>
        <w:rPr>
          <w:sz w:val="21"/>
          <w:szCs w:val="21"/>
        </w:rPr>
        <w:t xml:space="preserve">Taste, Price, Packaging, and Availability are statistically independent attributes — not facets of one 'quality' construct. UAC Foods should track and manage each on its own dashboard/KPI rather than blending them into a single satisfaction index, since doing so would mask real, uncorrelated variation.</w:t>
      </w:r>
    </w:p>
    <w:p>
      <w:pPr>
        <w:pStyle w:val="ListParagraph"/>
        <w:numPr>
          <w:ilvl w:val="0"/>
          <w:numId w:val="1"/>
        </w:numPr>
        <w:spacing w:after="60" w:line="270"/>
      </w:pPr>
      <w:r>
        <w:rPr>
          <w:sz w:val="21"/>
          <w:szCs w:val="21"/>
        </w:rPr>
        <w:t xml:space="preserve">Education level is a powerful, statistically robust segmentation variable for income (and by extension, purchasing power) — far more useful for tiered pricing/product strategy than age, gender, or region, none of which showed significant effects in this dataset.</w:t>
      </w:r>
    </w:p>
    <w:p>
      <w:pPr>
        <w:pStyle w:val="ListParagraph"/>
        <w:numPr>
          <w:ilvl w:val="0"/>
          <w:numId w:val="1"/>
        </w:numPr>
        <w:spacing w:after="60" w:line="270"/>
      </w:pPr>
      <w:r>
        <w:rPr>
          <w:sz w:val="21"/>
          <w:szCs w:val="21"/>
        </w:rPr>
        <w:t xml:space="preserve">Demographic and geographic homogeneity is a genuine strength: gender, region, and product line do not significantly differentiate spend, satisfaction, or recommendation behaviour, meaning UAC Foods' current national strategy performs consistently across these groups — there is no urgent need for region- or gender-specific interventions based on this data.</w:t>
      </w:r>
    </w:p>
    <w:p>
      <w:pPr>
        <w:pStyle w:val="ListParagraph"/>
        <w:numPr>
          <w:ilvl w:val="0"/>
          <w:numId w:val="1"/>
        </w:numPr>
        <w:spacing w:after="60" w:line="270"/>
      </w:pPr>
      <w:r>
        <w:rPr>
          <w:sz w:val="21"/>
          <w:szCs w:val="21"/>
        </w:rPr>
        <w:t xml:space="preserve">Willingness to recommend (WouldRecommend) remains statistically unexplained by the variables collected (both logistic regression and discriminant analysis agree, Pseudo-R² ≈ .02). This is the most important gap identified in this study: UAC Foods cannot currently predict — and therefore cannot proactively manage — who will become a detractor. This should be addressed with follow-up qualitative research or an expanded survey instrument capturing brand trust, service incidents, and competitor comparisons.</w:t>
      </w:r>
    </w:p>
    <w:p>
      <w:pPr>
        <w:pStyle w:val="ListParagraph"/>
        <w:numPr>
          <w:ilvl w:val="0"/>
          <w:numId w:val="1"/>
        </w:numPr>
        <w:spacing w:after="60" w:line="270"/>
      </w:pPr>
      <w:r>
        <w:rPr>
          <w:sz w:val="21"/>
          <w:szCs w:val="21"/>
        </w:rPr>
        <w:t xml:space="preserve">The K-Means segmentation identifies a clear, high-value 'Frequent High-Value Buyer' segment that should be prioritised for retention, and a 'Satisfied Light Buyer' segment that represents the clearest growth opportunity — already happy, but not yet buying often.</w:t>
      </w:r>
    </w:p>
    <w:p>
      <w:pPr>
        <w:pStyle w:val="Heading2"/>
        <w:spacing w:after="120" w:before="260"/>
      </w:pPr>
      <w:r>
        <w:rPr>
          <w:b/>
          <w:bCs/>
          <w:color w:val="B8860B"/>
          <w:sz w:val="24"/>
          <w:szCs w:val="24"/>
        </w:rPr>
        <w:t xml:space="preserve">Recommended Next Steps</w:t>
      </w:r>
    </w:p>
    <w:p>
      <w:pPr>
        <w:pStyle w:val="ListParagraph"/>
        <w:numPr>
          <w:ilvl w:val="0"/>
          <w:numId w:val="3"/>
        </w:numPr>
        <w:spacing w:after="80" w:line="270"/>
      </w:pPr>
      <w:r>
        <w:rPr>
          <w:sz w:val="21"/>
          <w:szCs w:val="21"/>
        </w:rPr>
        <w:t xml:space="preserve">Design and launch a frequency-boosting loyalty programme (points, multi-buy discounts, or subscription/auto-restock) targeted first at the 'Satisfied Light Buyer' cluster to convert their existing goodwill into higher purchase frequency.</w:t>
      </w:r>
    </w:p>
    <w:p>
      <w:pPr>
        <w:pStyle w:val="ListParagraph"/>
        <w:numPr>
          <w:ilvl w:val="0"/>
          <w:numId w:val="3"/>
        </w:numPr>
        <w:spacing w:after="80" w:line="270"/>
      </w:pPr>
      <w:r>
        <w:rPr>
          <w:sz w:val="21"/>
          <w:szCs w:val="21"/>
        </w:rPr>
        <w:t xml:space="preserve">Retain and reward the 'Frequent High-Value Buyer' segment with priority access, personalised offers, or premium loyalty tiers — protecting this segment is a revenue-protection priority even though its measured satisfaction is only moderate.</w:t>
      </w:r>
    </w:p>
    <w:p>
      <w:pPr>
        <w:pStyle w:val="ListParagraph"/>
        <w:numPr>
          <w:ilvl w:val="0"/>
          <w:numId w:val="3"/>
        </w:numPr>
        <w:spacing w:after="80" w:line="270"/>
      </w:pPr>
      <w:r>
        <w:rPr>
          <w:sz w:val="21"/>
          <w:szCs w:val="21"/>
        </w:rPr>
        <w:t xml:space="preserve">Commission a supplementary qualitative or expanded quantitative study (adding items on brand trust, service-failure history, and competitor switching) specifically to uncover what actually drives the decision to recommend, since none of the currently collected variables explain it.</w:t>
      </w:r>
    </w:p>
    <w:p>
      <w:pPr>
        <w:pStyle w:val="ListParagraph"/>
        <w:numPr>
          <w:ilvl w:val="0"/>
          <w:numId w:val="3"/>
        </w:numPr>
        <w:spacing w:after="80" w:line="270"/>
      </w:pPr>
      <w:r>
        <w:rPr>
          <w:sz w:val="21"/>
          <w:szCs w:val="21"/>
        </w:rPr>
        <w:t xml:space="preserve">Continue reporting Taste, Price, Packaging, and Availability as four separate KPIs rather than a blended score, and investigate the 'Occasional Low-Spenders / Least Satisfied' cluster in more depth to identify root causes of their comparatively low satisfaction.</w:t>
      </w:r>
    </w:p>
    <w:p>
      <w:pPr>
        <w:pStyle w:val="ListParagraph"/>
        <w:numPr>
          <w:ilvl w:val="0"/>
          <w:numId w:val="3"/>
        </w:numPr>
        <w:spacing w:after="80" w:line="270"/>
      </w:pPr>
      <w:r>
        <w:rPr>
          <w:sz w:val="21"/>
          <w:szCs w:val="21"/>
        </w:rPr>
        <w:t xml:space="preserve">Use Education level (rather than Age, Gender, or Region) as the primary basis for any future income-tiered product or pricing strategy, given its outsized and statistically robust effect on income in this sample.</w:t>
      </w:r>
    </w:p>
    <w:p>
      <w:pPr>
        <w:pStyle w:val="Heading2"/>
        <w:spacing w:after="120" w:before="260"/>
      </w:pPr>
      <w:r>
        <w:rPr>
          <w:b/>
          <w:bCs/>
          <w:color w:val="B8860B"/>
          <w:sz w:val="24"/>
          <w:szCs w:val="24"/>
        </w:rPr>
        <w:t xml:space="preserve">Methodological Note</w:t>
      </w:r>
    </w:p>
    <w:p>
      <w:pPr>
        <w:spacing w:after="140" w:line="276"/>
        <w:jc w:val="both"/>
      </w:pPr>
      <w:r>
        <w:rPr>
          <w:sz w:val="21"/>
          <w:szCs w:val="21"/>
        </w:rPr>
        <w:t xml:space="preserve">All analyses in this report were computed directly from the uploaded dataset (UAC_Foods_Survey.csv / .xlsx, N = 250) using statistical routines equivalent to those SPSS implements (Shapiro-Wilk/Kolmogorov-Smirnov normality tests, Pearson chi-square with Yates' continuity where applicable, Cronbach's alpha, Pearson/Spearman correlation, independent-samples and Welch t-tests, one-way ANOVA with Tukey HSD post-hoc, Mann-Whitney U, Kruskal-Wallis H, OLS multiple regression with VIF diagnostics, binary logistic regression via maximum likelihood, principal component/exploratory factor analysis with Varimax rotation, K-means clustering, and linear discriminant analysis). Readers reproducing this analysis directly in IBM SPSS Statistics using the step-by-step menu paths provided in each section should obtain results matching those reported here, subject to minor rounding and to SPSS's default handling of missing data (pairwise vs listwise), which should be set to match the listwise approach used throughout this report for full replication.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UAC Foods Consumer Survey — SPSS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2026-07-17T23:28:47.785Z</dcterms:created>
  <dcterms:modified xsi:type="dcterms:W3CDTF">2026-07-17T23:28:47.796Z</dcterms:modified>
</cp:coreProperties>
</file>

<file path=docProps/custom.xml><?xml version="1.0" encoding="utf-8"?>
<Properties xmlns="http://schemas.openxmlformats.org/officeDocument/2006/custom-properties" xmlns:vt="http://schemas.openxmlformats.org/officeDocument/2006/docPropsVTypes"/>
</file>