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sz w:val="72"/>
          <w:szCs w:val="72"/>
        </w:rPr>
        <w:t xml:space="preserve">🤖</w:t>
      </w:r>
    </w:p>
    <w:p>
      <w:pPr>
        <w:spacing w:after="100" w:before="300"/>
        <w:jc w:val="center"/>
      </w:pPr>
      <w:r>
        <w:rPr>
          <w:b/>
          <w:bCs/>
          <w:color w:val="1D3557"/>
          <w:sz w:val="52"/>
          <w:szCs w:val="52"/>
        </w:rPr>
        <w:t xml:space="preserve">ZEDCREST CAPITAL</w:t>
      </w:r>
    </w:p>
    <w:p>
      <w:pPr>
        <w:spacing w:after="300"/>
        <w:jc w:val="center"/>
      </w:pPr>
      <w:r>
        <w:rPr>
          <w:b/>
          <w:bCs/>
          <w:color w:val="00704A"/>
          <w:sz w:val="34"/>
          <w:szCs w:val="34"/>
        </w:rPr>
        <w:t xml:space="preserve">ALGORITHM-BASED (ML) ATM FRAUD DETECTION</w:t>
      </w:r>
    </w:p>
    <w:p>
      <w:pPr>
        <w:spacing w:after="500"/>
        <w:jc w:val="center"/>
      </w:pPr>
      <w:r>
        <w:rPr>
          <w:i/>
          <w:iCs/>
          <w:color w:val="44546A"/>
          <w:sz w:val="26"/>
          <w:szCs w:val="26"/>
        </w:rPr>
        <w:t xml:space="preserve">A Comprehensive Teaching &amp; Facilitation Guide</w:t>
      </w:r>
    </w:p>
    <w:p>
      <w:pPr>
        <w:spacing w:after="60"/>
        <w:jc w:val="center"/>
      </w:pPr>
      <w:r>
        <w:rPr>
          <w:sz w:val="20"/>
          <w:szCs w:val="20"/>
        </w:rPr>
        <w:t xml:space="preserve">Covering: The Aim of the Session · 5 Machine Learning Algorithms Explained ·</w:t>
      </w:r>
    </w:p>
    <w:p>
      <w:pPr>
        <w:spacing w:after="500"/>
        <w:jc w:val="center"/>
      </w:pPr>
      <w:r>
        <w:rPr>
          <w:sz w:val="20"/>
          <w:szCs w:val="20"/>
        </w:rPr>
        <w:t xml:space="preserve">Every Code Cell, Every Model's Output, and the Production Pipeline — Fully Explained</w:t>
      </w:r>
    </w:p>
    <w:p>
      <w:pPr>
        <w:spacing w:before="1000"/>
      </w:pPr>
    </w:p>
    <w:p>
      <w:pPr>
        <w:spacing w:after="60"/>
        <w:jc w:val="center"/>
      </w:pPr>
      <w:r>
        <w:rPr>
          <w:b/>
          <w:bCs/>
          <w:color w:val="1D3557"/>
          <w:sz w:val="24"/>
          <w:szCs w:val="24"/>
        </w:rPr>
        <w:t xml:space="preserve">Zedcrest Capital Data Analyst Training Programme</w:t>
      </w:r>
    </w:p>
    <w:p>
      <w:pPr>
        <w:spacing w:after="60"/>
        <w:jc w:val="center"/>
      </w:pPr>
      <w:r>
        <w:rPr>
          <w:color w:val="44546A"/>
          <w:sz w:val="22"/>
          <w:szCs w:val="22"/>
        </w:rPr>
        <w:t xml:space="preserve">in partnership with Prodigy Training Hub</w:t>
      </w:r>
    </w:p>
    <w:p>
      <w:pPr>
        <w:spacing w:before="800"/>
      </w:pPr>
    </w:p>
    <w:p>
      <w:pPr>
        <w:spacing w:after="20"/>
        <w:jc w:val="center"/>
      </w:pPr>
      <w:r>
        <w:rPr>
          <w:b/>
          <w:bCs/>
          <w:color w:val="00704A"/>
          <w:sz w:val="24"/>
          <w:szCs w:val="24"/>
        </w:rPr>
        <w:t xml:space="preserve">Trainer: Kajola Gbenga Adewale | Data Expert</w:t>
      </w:r>
    </w:p>
    <w:p>
      <w:pPr>
        <w:jc w:val="center"/>
      </w:pPr>
      <w:r>
        <w:rPr>
          <w:color w:val="44546A"/>
          <w:sz w:val="18"/>
          <w:szCs w:val="18"/>
        </w:rPr>
        <w:t xml:space="preserve">Dataset: atm_transactions.csv — 2,229 transactions · 270 fraud cases (12.1%)</w:t>
      </w:r>
    </w:p>
    <w:p>
      <w:r>
        <w:br w:type="page"/>
      </w:r>
    </w:p>
    <w:p>
      <w:pPr>
        <w:pStyle w:val="Heading1"/>
        <w:pBdr>
          <w:bottom w:val="single" w:color="1D3557" w:sz="6" w:space="4"/>
        </w:pBdr>
        <w:spacing w:after="200" w:before="400"/>
      </w:pPr>
      <w:r>
        <w:rPr>
          <w:b/>
          <w:bCs/>
          <w:color w:val="1D3557"/>
          <w:sz w:val="32"/>
          <w:szCs w:val="32"/>
        </w:rPr>
        <w:t xml:space="preserve">Part One — Foundations of the Session</w:t>
      </w:r>
    </w:p>
    <w:p>
      <w:pPr>
        <w:pStyle w:val="Heading2"/>
        <w:spacing w:after="160" w:before="320"/>
      </w:pPr>
      <w:r>
        <w:rPr>
          <w:b/>
          <w:bCs/>
          <w:color w:val="00704A"/>
          <w:sz w:val="26"/>
          <w:szCs w:val="26"/>
        </w:rPr>
        <w:t xml:space="preserve">1. Purpose of This Guide</w:t>
      </w:r>
    </w:p>
    <w:p>
      <w:pPr>
        <w:spacing w:after="160" w:line="300"/>
      </w:pPr>
      <w:r>
        <w:rPr>
          <w:sz w:val="21"/>
          <w:szCs w:val="21"/>
        </w:rPr>
        <w:t xml:space="preserve">This document is a complete facilitation companion to the Algorithm-Based ATM Card Fraud Detection notebook (ML_ATM_Fraud_Detection.ipynb), the direct follow-up to the Rule-Based ATM Fraud Detection session in the Zedcrest Capital Data Analyst Training Programme. It is written for you, the trainer, to teach from directly — every idea in the notebook is unpacked here in plain language, every line of code is explained, every model's real printed results are interpreted, and every chart is broken down panel by panel.</w:t>
      </w:r>
    </w:p>
    <w:p>
      <w:pPr>
        <w:spacing w:after="160" w:line="300"/>
      </w:pPr>
      <w:r>
        <w:rPr>
          <w:sz w:val="21"/>
          <w:szCs w:val="21"/>
        </w:rPr>
        <w:t xml:space="preserve">This session takes the exact same atm_transactions.csv dataset used in the Rule-Based session and asks a fundamentally different question. Instead of a human writing explicit if/then rules, this notebook trains five separate machine learning algorithms to LEARN the patterns that distinguish fraud from normal transactions directly from historical data — then compares all five against each other, and against the Rule-Based session's own 100% precision / 71.4% recall benchmark.</w:t>
      </w:r>
    </w:p>
    <w:p>
      <w:pPr>
        <w:pStyle w:val="Heading2"/>
        <w:spacing w:after="160" w:before="320"/>
      </w:pPr>
      <w:r>
        <w:rPr>
          <w:b/>
          <w:bCs/>
          <w:color w:val="00704A"/>
          <w:sz w:val="26"/>
          <w:szCs w:val="26"/>
        </w:rPr>
        <w:t xml:space="preserve">2. The Aim of This Session</w:t>
      </w:r>
    </w:p>
    <w:p>
      <w:pPr>
        <w:spacing w:after="160" w:line="300"/>
      </w:pPr>
      <w:r>
        <w:rPr>
          <w:sz w:val="21"/>
          <w:szCs w:val="21"/>
        </w:rPr>
        <w:t xml:space="preserve">In the Rule-Based session, every fraud rule was written by hand: 'if amount is more than 3× typical max, flag it.' That approach works, but it has a hard ceiling — it can only ever catch the specific patterns a human analyst thought to write down in advance. This session's aim is to remove that ceiling by letting an algorithm discover the patterns itself, including patterns no human analyst explicitly programmed.</w:t>
      </w:r>
    </w:p>
    <w:p>
      <w:pPr>
        <w:spacing w:after="160" w:line="300"/>
      </w:pPr>
      <w:r>
        <w:rPr>
          <w:sz w:val="21"/>
          <w:szCs w:val="21"/>
        </w:rPr>
        <w:t xml:space="preserve">Concretely, the notebook builds and compares five machine learning models — Logistic Regression, Decision Tree, Random Forest, XGBoost, and Isolation Forest — selects a single champion model, explains exactly which features drive its decisions, and finally assembles everything into a production-ready scoring pipeline that processes all 2,229 transactions and produces a ranked, actionable fraud alert list.</w:t>
      </w:r>
    </w:p>
    <w:p>
      <w:pPr>
        <w:pStyle w:val="Heading3"/>
        <w:spacing w:after="120" w:before="240"/>
      </w:pPr>
      <w:r>
        <w:rPr>
          <w:b/>
          <w:bCs/>
          <w:color w:val="1D4ED8"/>
          <w:sz w:val="22"/>
          <w:szCs w:val="22"/>
        </w:rPr>
        <w:t xml:space="preserve">What the trainee is being taught to do</w:t>
      </w:r>
    </w:p>
    <w:p>
      <w:pPr>
        <w:pStyle w:val="ListParagraph"/>
        <w:numPr>
          <w:ilvl w:val="0"/>
          <w:numId w:val="1"/>
        </w:numPr>
        <w:spacing w:after="90" w:line="290"/>
      </w:pPr>
      <w:r>
        <w:rPr>
          <w:sz w:val="21"/>
          <w:szCs w:val="21"/>
        </w:rPr>
        <w:t xml:space="preserve">Engineer ML-ready numerical features from raw transaction data — the single most important step in any machine learning pipeline.</w:t>
      </w:r>
    </w:p>
    <w:p>
      <w:pPr>
        <w:pStyle w:val="ListParagraph"/>
        <w:numPr>
          <w:ilvl w:val="0"/>
          <w:numId w:val="1"/>
        </w:numPr>
        <w:spacing w:after="90" w:line="290"/>
      </w:pPr>
      <w:r>
        <w:rPr>
          <w:sz w:val="21"/>
          <w:szCs w:val="21"/>
        </w:rPr>
        <w:t xml:space="preserve">Correctly split data into training and test sets, and understand why a model must be evaluated on data it has never seen.</w:t>
      </w:r>
    </w:p>
    <w:p>
      <w:pPr>
        <w:pStyle w:val="ListParagraph"/>
        <w:numPr>
          <w:ilvl w:val="0"/>
          <w:numId w:val="1"/>
        </w:numPr>
        <w:spacing w:after="90" w:line="290"/>
      </w:pPr>
      <w:r>
        <w:rPr>
          <w:sz w:val="21"/>
          <w:szCs w:val="21"/>
        </w:rPr>
        <w:t xml:space="preserve">Recognise and correctly handle severe class imbalance (only 12.1% of transactions are fraud) using SMOTE and class weighting — the single most common way fraud detection projects go wrong.</w:t>
      </w:r>
    </w:p>
    <w:p>
      <w:pPr>
        <w:pStyle w:val="ListParagraph"/>
        <w:numPr>
          <w:ilvl w:val="0"/>
          <w:numId w:val="1"/>
        </w:numPr>
        <w:spacing w:after="90" w:line="290"/>
      </w:pPr>
      <w:r>
        <w:rPr>
          <w:sz w:val="21"/>
          <w:szCs w:val="21"/>
        </w:rPr>
        <w:t xml:space="preserve">Train and evaluate four supervised classifiers and one unsupervised anomaly detector, understanding what each is good and bad at.</w:t>
      </w:r>
    </w:p>
    <w:p>
      <w:pPr>
        <w:pStyle w:val="ListParagraph"/>
        <w:numPr>
          <w:ilvl w:val="0"/>
          <w:numId w:val="1"/>
        </w:numPr>
        <w:spacing w:after="90" w:line="290"/>
      </w:pPr>
      <w:r>
        <w:rPr>
          <w:sz w:val="21"/>
          <w:szCs w:val="21"/>
        </w:rPr>
        <w:t xml:space="preserve">Select a champion model using the right metric for fraud detection — not plain accuracy, which is dangerously misleading on imbalanced data.</w:t>
      </w:r>
    </w:p>
    <w:p>
      <w:pPr>
        <w:pStyle w:val="ListParagraph"/>
        <w:numPr>
          <w:ilvl w:val="0"/>
          <w:numId w:val="1"/>
        </w:numPr>
        <w:spacing w:after="90" w:line="290"/>
      </w:pPr>
      <w:r>
        <w:rPr>
          <w:sz w:val="21"/>
          <w:szCs w:val="21"/>
        </w:rPr>
        <w:t xml:space="preserve">Interpret feature importance to explain, in business terms, WHY the model flags what it flags — essential for regulatory compliance.</w:t>
      </w:r>
    </w:p>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Why it matters for you as a trainer:  </w:t>
      </w:r>
      <w:r>
        <w:rPr>
          <w:sz w:val="20"/>
          <w:szCs w:val="20"/>
        </w:rPr>
        <w:t xml:space="preserve">This session is best taught as a direct sequel and a direct comparison to the Rule-Based session. The most powerful teaching moment in the whole notebook is Section 8's model comparison table sitting right next to the Rule-Based session's 100%/71.4% benchmark — make sure your class sees both numbers side by side.</w:t>
      </w:r>
    </w:p>
    <w:p>
      <w:pPr>
        <w:pStyle w:val="Heading2"/>
        <w:spacing w:after="160" w:before="320"/>
      </w:pPr>
      <w:r>
        <w:rPr>
          <w:b/>
          <w:bCs/>
          <w:color w:val="00704A"/>
          <w:sz w:val="26"/>
          <w:szCs w:val="26"/>
        </w:rPr>
        <w:t xml:space="preserve">3. The Guiding Framing — Full Line-by-Line Explanation</w:t>
      </w:r>
    </w:p>
    <w:p>
      <w:pPr>
        <w:spacing w:after="160" w:line="300"/>
      </w:pPr>
      <w:r>
        <w:rPr>
          <w:sz w:val="21"/>
          <w:szCs w:val="21"/>
        </w:rPr>
        <w:t xml:space="preserve">The notebook opens by directly contrasting its own approach against the previous session's, in a short but important framing statement:</w:t>
      </w:r>
    </w:p>
    <w:p>
      <w:pPr>
        <w:pBdr>
          <w:left w:val="single" w:color="00704A" w:sz="24" w:space="8"/>
        </w:pBdr>
        <w:shd w:fill="F0F4F8" w:val="clear"/>
        <w:spacing w:after="200" w:before="200"/>
        <w:ind w:left="500" w:right="500"/>
      </w:pPr>
      <w:r>
        <w:rPr>
          <w:i/>
          <w:iCs/>
          <w:color w:val="1B1B1B"/>
          <w:sz w:val="22"/>
          <w:szCs w:val="22"/>
        </w:rPr>
        <w:t xml:space="preserve">"In the Rule-Based notebook, we wrote explicit rules: 'If amount &gt; 3× typical max → flag it.' In this Algorithm-Based notebook, we let the machine learn the patterns from the data itself. No manually written rules. The algorithm discovers which features distinguish fraud from normal transactions on its own."</w:t>
      </w:r>
    </w:p>
    <w:p>
      <w:pPr>
        <w:spacing w:after="160" w:line="300"/>
      </w:pPr>
      <w:r>
        <w:rPr>
          <w:sz w:val="21"/>
          <w:szCs w:val="21"/>
        </w:rPr>
        <w:t xml:space="preserve">Below is a full breakdown of this framing, phrase by phrase.</w:t>
      </w:r>
    </w:p>
    <w:p>
      <w:pPr>
        <w:pStyle w:val="Heading3"/>
        <w:spacing w:after="120" w:before="240"/>
      </w:pPr>
      <w:r>
        <w:rPr>
          <w:b/>
          <w:bCs/>
          <w:color w:val="1D4ED8"/>
          <w:sz w:val="22"/>
          <w:szCs w:val="22"/>
        </w:rPr>
        <w:t xml:space="preserve">Clause 1 — "we wrote explicit rules... If amount &gt; 3× typical max → flag it"</w:t>
      </w:r>
    </w:p>
    <w:p>
      <w:pPr>
        <w:spacing w:after="160" w:line="300"/>
      </w:pPr>
      <w:r>
        <w:rPr>
          <w:sz w:val="21"/>
          <w:szCs w:val="21"/>
        </w:rPr>
        <w:t xml:space="preserve">This is a direct callback to Rule 1 of the previous session's four hand-written rules. It grounds the whole session in something the class has already built themselves, and sets up the comparison: this exact same idea — that an unusually large amount relative to a customer's typical maximum is a strong fraud signal — reappears in this notebook too, but discovered automatically rather than hand-coded. Confirming this is genuinely the case is one of the most satisfying moments in the whole session: the feature importance results in Section 9 show amount_ratio (the engineered equivalent of the Rule-Based session's Rule 1) as the single most important predictor across every tree-based model, at 0.3996 — nearly three times more influential than the second-ranked feature.</w:t>
      </w:r>
    </w:p>
    <w:p>
      <w:pPr>
        <w:pStyle w:val="Heading3"/>
        <w:spacing w:after="120" w:before="240"/>
      </w:pPr>
      <w:r>
        <w:rPr>
          <w:b/>
          <w:bCs/>
          <w:color w:val="1D4ED8"/>
          <w:sz w:val="22"/>
          <w:szCs w:val="22"/>
        </w:rPr>
        <w:t xml:space="preserve">Clause 2 — "we let the machine learn the patterns from the data itself"</w:t>
      </w:r>
    </w:p>
    <w:p>
      <w:pPr>
        <w:spacing w:after="160" w:line="300"/>
      </w:pPr>
      <w:r>
        <w:rPr>
          <w:sz w:val="21"/>
          <w:szCs w:val="21"/>
        </w:rPr>
        <w:t xml:space="preserve">This is the core conceptual shift of the entire session. In the Rule-Based notebook, a human decided the threshold was exactly 3×, exactly midnight-to-4am, exactly the specific wording of a location mismatch. Here, algorithms like Random Forest and XGBoost are given 17 engineered features and 1,783 labelled training examples, and they determine FOR THEMSELVES which combinations of features, and at which thresholds, best separate the 216 fraud examples from the 1,567 normal examples in the training set — with no human specifying the cutoffs in advance.</w:t>
      </w:r>
    </w:p>
    <w:p>
      <w:pPr>
        <w:pStyle w:val="Heading3"/>
        <w:spacing w:after="120" w:before="240"/>
      </w:pPr>
      <w:r>
        <w:rPr>
          <w:b/>
          <w:bCs/>
          <w:color w:val="1D4ED8"/>
          <w:sz w:val="22"/>
          <w:szCs w:val="22"/>
        </w:rPr>
        <w:t xml:space="preserve">Clause 3 — "No manually written rules"</w:t>
      </w:r>
    </w:p>
    <w:p>
      <w:pPr>
        <w:spacing w:after="160" w:line="300"/>
      </w:pPr>
      <w:r>
        <w:rPr>
          <w:sz w:val="21"/>
          <w:szCs w:val="21"/>
        </w:rPr>
        <w:t xml:space="preserve">This is not entirely literal — feature ENGINEERING (deciding that amount_ratio, daily_limit_usage_pct, and balance_drain_pct are worth computing at all) is still a human, expert-driven design choice, and Section 1 makes that clear. What is NOT manually written is the THRESHOLD and the WEIGHTING — no one tells Random Forest 'flag anything above 3×'; the model discovers the actual optimal splits on its own by examining the training data, and can combine dozens of features in ways too complex for a human to write down as a short list of if/then rules.</w:t>
      </w:r>
    </w:p>
    <w:p>
      <w:pPr>
        <w:pStyle w:val="Heading3"/>
        <w:spacing w:after="120" w:before="240"/>
      </w:pPr>
      <w:r>
        <w:rPr>
          <w:b/>
          <w:bCs/>
          <w:color w:val="1D4ED8"/>
          <w:sz w:val="22"/>
          <w:szCs w:val="22"/>
        </w:rPr>
        <w:t xml:space="preserve">Clause 4 — "The algorithm discovers which features distinguish fraud from normal transactions on its own"</w:t>
      </w:r>
    </w:p>
    <w:p>
      <w:pPr>
        <w:spacing w:after="160" w:line="300"/>
      </w:pPr>
      <w:r>
        <w:rPr>
          <w:sz w:val="21"/>
          <w:szCs w:val="21"/>
        </w:rPr>
        <w:t xml:space="preserve">This is the session's ultimate payoff, and it is demonstrated concretely twice: once in Section 8's model comparison, where every trained model outperforms a naive baseline, and again in Section 9's feature importance ranking. Most strikingly, the model comparison in Section 10 reveals that the champion Random Forest model flagged 10 transactions the Rule-Based session's hand-written rules had NOT caught — genuinely novel fraud patterns discovered from the data itself, exactly as this opening clause promises.</w:t>
      </w:r>
    </w:p>
    <w:p>
      <w:pPr>
        <w:pStyle w:val="Heading3"/>
        <w:spacing w:after="120" w:before="240"/>
      </w:pPr>
      <w:r>
        <w:rPr>
          <w:b/>
          <w:bCs/>
          <w:color w:val="1D4ED8"/>
          <w:sz w:val="22"/>
          <w:szCs w:val="22"/>
        </w:rPr>
        <w:t xml:space="preserve">Why this framing matters as the session's compass</w:t>
      </w:r>
    </w:p>
    <w:p>
      <w:pPr>
        <w:spacing w:after="160" w:line="300"/>
      </w:pPr>
      <w:r>
        <w:rPr>
          <w:sz w:val="21"/>
          <w:szCs w:val="21"/>
        </w:rPr>
        <w:t xml:space="preserve">Encourage your class to treat this opening framing as a promise the rest of the notebook has to keep — and to actively check, section by section, whether it does. By Section 8 they will see the champion model (Random Forest) achieve a 91.7% F1 score, comfortably ahead of Logistic Regression's 77.5%. By Section 9 they will see amount_ratio confirmed as the dominant predictor, echoing the Rule-Based session's own top rule. And by Section 10 they will see 10 genuinely novel fraud catches that no rule ever would have found. Each of these is a direct, checkable fulfilment of the promise made in this opening paragraph.</w:t>
      </w:r>
    </w:p>
    <w:p>
      <w:pPr>
        <w:pStyle w:val="Heading2"/>
        <w:spacing w:after="160" w:before="320"/>
      </w:pPr>
      <w:r>
        <w:rPr>
          <w:b/>
          <w:bCs/>
          <w:color w:val="00704A"/>
          <w:sz w:val="26"/>
          <w:szCs w:val="26"/>
        </w:rPr>
        <w:t xml:space="preserve">4. Why This Session Matters — The Real Impact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tblHeader/>
        </w:trPr>
        <w:tc>
          <w:tcPr>
            <w:tcW w:type="dxa" w:w="4600"/>
            <w:shd w:fill="1D3557" w:val="clear"/>
            <w:tcMar>
              <w:top w:type="dxa" w:w="80"/>
              <w:left w:type="dxa" w:w="100"/>
              <w:bottom w:type="dxa" w:w="80"/>
              <w:right w:type="dxa" w:w="100"/>
            </w:tcMar>
            <w:vAlign w:val="center"/>
          </w:tcPr>
          <w:p>
            <w:pPr>
              <w:jc w:val="left"/>
            </w:pPr>
            <w:r>
              <w:rPr>
                <w:b/>
                <w:bCs/>
                <w:color w:val="FFFFFF"/>
                <w:sz w:val="19"/>
                <w:szCs w:val="19"/>
              </w:rPr>
              <w:t xml:space="preserve">Rule-Based Approach (Previous Session)</w:t>
            </w:r>
          </w:p>
        </w:tc>
        <w:tc>
          <w:tcPr>
            <w:tcW w:type="dxa" w:w="5300"/>
            <w:shd w:fill="1D3557" w:val="clear"/>
            <w:tcMar>
              <w:top w:type="dxa" w:w="80"/>
              <w:left w:type="dxa" w:w="100"/>
              <w:bottom w:type="dxa" w:w="80"/>
              <w:right w:type="dxa" w:w="100"/>
            </w:tcMar>
            <w:vAlign w:val="center"/>
          </w:tcPr>
          <w:p>
            <w:pPr>
              <w:jc w:val="left"/>
            </w:pPr>
            <w:r>
              <w:rPr>
                <w:b/>
                <w:bCs/>
                <w:color w:val="FFFFFF"/>
                <w:sz w:val="19"/>
                <w:szCs w:val="19"/>
              </w:rPr>
              <w:t xml:space="preserve">Machine Learning Approach (This Session)</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100% precision, but only 71.4% recall — 46 of 270 fraud cases missed</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Champion model (Random Forest) reaches 91.7% F1, catching far more fraud with very few false alarms</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Every threshold (3×, midnight-4am) chosen by a human, fixed forever</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Thresholds and feature combinations learned automatically from 1,783 real examples</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Can only catch patterns a human explicitly thought to write down</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Discovered 10 genuinely NEW fraud patterns no hand-written rule had caught</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No probability score — only a fixed risk category</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Every transaction gets a precise 0–100% fraud probability score</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Cannot improve without a human rewriting the rules</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Can be retrained automatically as new labelled fraud examples arrive</w:t>
            </w:r>
          </w:p>
        </w:tc>
      </w:tr>
    </w:tbl>
    <w:p>
      <w:pPr>
        <w:spacing w:after="120"/>
      </w:pPr>
    </w:p>
    <w:p>
      <w:pPr>
        <w:pStyle w:val="Heading2"/>
        <w:spacing w:after="160" w:before="320"/>
      </w:pPr>
      <w:r>
        <w:rPr>
          <w:b/>
          <w:bCs/>
          <w:color w:val="00704A"/>
          <w:sz w:val="26"/>
          <w:szCs w:val="26"/>
        </w:rPr>
        <w:t xml:space="preserve">5. The Dataset &amp; The Five Algorithms</w:t>
      </w:r>
    </w:p>
    <w:p>
      <w:pPr>
        <w:spacing w:after="160" w:line="300"/>
      </w:pPr>
      <w:r>
        <w:rPr>
          <w:sz w:val="21"/>
          <w:szCs w:val="21"/>
        </w:rPr>
        <w:t xml:space="preserve">This session reuses the identical atm_transactions.csv file from the Rule-Based session — 2,229 transactions, 80 customers, January to March 2026 — but this time loaded with pandas instead of the built-in csv module, and re-purposed to train, rather than simply be scanned by, a detection system.</w:t>
      </w:r>
    </w:p>
    <w:p>
      <w:pPr>
        <w:pStyle w:val="Heading3"/>
        <w:spacing w:after="120" w:before="240"/>
      </w:pPr>
      <w:r>
        <w:rPr>
          <w:b/>
          <w:bCs/>
          <w:color w:val="1D4ED8"/>
          <w:sz w:val="22"/>
          <w:szCs w:val="22"/>
        </w:rPr>
        <w:t xml:space="preserve">Dataset at a Glance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tblHeader/>
        </w:trPr>
        <w:tc>
          <w:tcPr>
            <w:tcW w:type="dxa" w:w="4600"/>
            <w:shd w:fill="1D3557" w:val="clear"/>
            <w:tcMar>
              <w:top w:type="dxa" w:w="80"/>
              <w:left w:type="dxa" w:w="100"/>
              <w:bottom w:type="dxa" w:w="80"/>
              <w:right w:type="dxa" w:w="100"/>
            </w:tcMar>
            <w:vAlign w:val="center"/>
          </w:tcPr>
          <w:p>
            <w:pPr>
              <w:jc w:val="left"/>
            </w:pPr>
            <w:r>
              <w:rPr>
                <w:b/>
                <w:bCs/>
                <w:color w:val="FFFFFF"/>
                <w:sz w:val="19"/>
                <w:szCs w:val="19"/>
              </w:rPr>
              <w:t xml:space="preserve">Metric</w:t>
            </w:r>
          </w:p>
        </w:tc>
        <w:tc>
          <w:tcPr>
            <w:tcW w:type="dxa" w:w="5300"/>
            <w:shd w:fill="1D3557" w:val="clear"/>
            <w:tcMar>
              <w:top w:type="dxa" w:w="80"/>
              <w:left w:type="dxa" w:w="100"/>
              <w:bottom w:type="dxa" w:w="80"/>
              <w:right w:type="dxa" w:w="100"/>
            </w:tcMar>
            <w:vAlign w:val="center"/>
          </w:tcPr>
          <w:p>
            <w:pPr>
              <w:jc w:val="left"/>
            </w:pPr>
            <w:r>
              <w:rPr>
                <w:b/>
                <w:bCs/>
                <w:color w:val="FFFFFF"/>
                <w:sz w:val="19"/>
                <w:szCs w:val="19"/>
              </w:rPr>
              <w:t xml:space="preserve">Value</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Total transactions</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2,229</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Normal transactions</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1,959 (87.9%)</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Fraud transactions</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270 (12.1%)</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Class imbalance ratio</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7.3 : 1 (7.3 normal for every 1 fraud)</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Training set (80%)</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1,783 transactions (216 fraud, 12.1%)</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Test set (20%, held out)</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446 transactions (54 fraud, 12.1%)</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Engineered features used</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17</w:t>
            </w:r>
          </w:p>
        </w:tc>
      </w:tr>
    </w:tbl>
    <w:p>
      <w:pPr>
        <w:pStyle w:val="Heading3"/>
        <w:spacing w:after="120" w:before="240"/>
      </w:pPr>
      <w:r>
        <w:rPr>
          <w:b/>
          <w:bCs/>
          <w:color w:val="1D4ED8"/>
          <w:sz w:val="22"/>
          <w:szCs w:val="22"/>
        </w:rPr>
        <w:t xml:space="preserve">The Five Algorithms — At a Glance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00"/>
      </w:tblGrid>
      <w:tr>
        <w:trPr>
          <w:tblHeader/>
        </w:trPr>
        <w:tc>
          <w:tcPr>
            <w:tcW w:type="dxa" w:w="1800"/>
            <w:shd w:fill="1D3557" w:val="clear"/>
            <w:tcMar>
              <w:top w:type="dxa" w:w="80"/>
              <w:left w:type="dxa" w:w="100"/>
              <w:bottom w:type="dxa" w:w="80"/>
              <w:right w:type="dxa" w:w="100"/>
            </w:tcMar>
            <w:vAlign w:val="center"/>
          </w:tcPr>
          <w:p>
            <w:pPr>
              <w:jc w:val="left"/>
            </w:pPr>
            <w:r>
              <w:rPr>
                <w:b/>
                <w:bCs/>
                <w:color w:val="FFFFFF"/>
                <w:sz w:val="19"/>
                <w:szCs w:val="19"/>
              </w:rPr>
              <w:t xml:space="preserve">Algorithm</w:t>
            </w:r>
          </w:p>
        </w:tc>
        <w:tc>
          <w:tcPr>
            <w:tcW w:type="dxa" w:w="2200"/>
            <w:shd w:fill="1D3557"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5300"/>
            <w:shd w:fill="1D3557" w:val="clear"/>
            <w:tcMar>
              <w:top w:type="dxa" w:w="80"/>
              <w:left w:type="dxa" w:w="100"/>
              <w:bottom w:type="dxa" w:w="80"/>
              <w:right w:type="dxa" w:w="100"/>
            </w:tcMar>
            <w:vAlign w:val="center"/>
          </w:tcPr>
          <w:p>
            <w:pPr>
              <w:jc w:val="left"/>
            </w:pPr>
            <w:r>
              <w:rPr>
                <w:b/>
                <w:bCs/>
                <w:color w:val="FFFFFF"/>
                <w:sz w:val="19"/>
                <w:szCs w:val="19"/>
              </w:rPr>
              <w:t xml:space="preserve">Why It Is Used</w:t>
            </w:r>
          </w:p>
        </w:tc>
      </w:tr>
      <w:tr>
        <w:trPr>
          <w:tblHeader w:val="false"/>
        </w:trPr>
        <w:tc>
          <w:tcPr>
            <w:tcW w:type="dxa" w:w="1800"/>
            <w:tcMar>
              <w:top w:type="dxa" w:w="80"/>
              <w:left w:type="dxa" w:w="100"/>
              <w:bottom w:type="dxa" w:w="80"/>
              <w:right w:type="dxa" w:w="100"/>
            </w:tcMar>
            <w:vAlign w:val="center"/>
          </w:tcPr>
          <w:p>
            <w:pPr>
              <w:jc w:val="left"/>
            </w:pPr>
            <w:r>
              <w:rPr>
                <w:b w:val="false"/>
                <w:bCs w:val="false"/>
                <w:color w:val="1B1B1B"/>
                <w:sz w:val="19"/>
                <w:szCs w:val="19"/>
              </w:rPr>
              <w:t xml:space="preserve">Logistic Regression</w:t>
            </w:r>
          </w:p>
        </w:tc>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Supervised</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Fast, simple baseline; produces clear feature coefficients showing which direction (toward fraud or toward normal) each feature pushes a prediction</w:t>
            </w:r>
          </w:p>
        </w:tc>
      </w:tr>
      <w:tr>
        <w:trPr>
          <w:tblHeader w:val="false"/>
        </w:trPr>
        <w:tc>
          <w:tcPr>
            <w:tcW w:type="dxa" w:w="1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Decision Tree</w:t>
            </w:r>
          </w:p>
        </w:tc>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Supervised</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Visual and explainable; learns if/else questions similar in spirit to the Rule-Based session, but discovered automatically from the data</w:t>
            </w:r>
          </w:p>
        </w:tc>
      </w:tr>
      <w:tr>
        <w:trPr>
          <w:tblHeader w:val="false"/>
        </w:trPr>
        <w:tc>
          <w:tcPr>
            <w:tcW w:type="dxa" w:w="1800"/>
            <w:tcMar>
              <w:top w:type="dxa" w:w="80"/>
              <w:left w:type="dxa" w:w="100"/>
              <w:bottom w:type="dxa" w:w="80"/>
              <w:right w:type="dxa" w:w="100"/>
            </w:tcMar>
            <w:vAlign w:val="center"/>
          </w:tcPr>
          <w:p>
            <w:pPr>
              <w:jc w:val="left"/>
            </w:pPr>
            <w:r>
              <w:rPr>
                <w:b w:val="false"/>
                <w:bCs w:val="false"/>
                <w:color w:val="1B1B1B"/>
                <w:sz w:val="19"/>
                <w:szCs w:val="19"/>
              </w:rPr>
              <w:t xml:space="preserve">Random Forest</w:t>
            </w:r>
          </w:p>
        </w:tc>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Supervised (Ensemble)</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Combines hundreds of decision trees; typically the best all-round performer and naturally handles class imbalance well</w:t>
            </w:r>
          </w:p>
        </w:tc>
      </w:tr>
      <w:tr>
        <w:trPr>
          <w:tblHeader w:val="false"/>
        </w:trPr>
        <w:tc>
          <w:tcPr>
            <w:tcW w:type="dxa" w:w="1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XGBoost</w:t>
            </w:r>
          </w:p>
        </w:tc>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Supervised (Ensemble, Boosting)</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industry-standard algorithm for fraud detection at most major banks; builds trees sequentially, each one correcting the previous one's mistakes</w:t>
            </w:r>
          </w:p>
        </w:tc>
      </w:tr>
      <w:tr>
        <w:trPr>
          <w:tblHeader w:val="false"/>
        </w:trPr>
        <w:tc>
          <w:tcPr>
            <w:tcW w:type="dxa" w:w="1800"/>
            <w:tcMar>
              <w:top w:type="dxa" w:w="80"/>
              <w:left w:type="dxa" w:w="100"/>
              <w:bottom w:type="dxa" w:w="80"/>
              <w:right w:type="dxa" w:w="100"/>
            </w:tcMar>
            <w:vAlign w:val="center"/>
          </w:tcPr>
          <w:p>
            <w:pPr>
              <w:jc w:val="left"/>
            </w:pPr>
            <w:r>
              <w:rPr>
                <w:b w:val="false"/>
                <w:bCs w:val="false"/>
                <w:color w:val="1B1B1B"/>
                <w:sz w:val="19"/>
                <w:szCs w:val="19"/>
              </w:rPr>
              <w:t xml:space="preserve">Isolation Forest</w:t>
            </w:r>
          </w:p>
        </w:tc>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Unsupervised</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Detects anomalies WITHOUT ever seeing the fraud labels — valuable for catching entirely novel fraud types no historical label exists for yet</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Teaching tip:  </w:t>
      </w:r>
      <w:r>
        <w:rPr>
          <w:sz w:val="20"/>
          <w:szCs w:val="20"/>
        </w:rPr>
        <w:t xml:space="preserve">The single most important warning to give your class before any model is trained is the class imbalance warning the notebook itself prints: a naive model that predicts 'normal' for every single transaction would score 87.9% ACCURACY while catching precisely ZERO fraud cases. This is why the whole session evaluates models on precision, recall, and F1 — never on accuracy alone — and it is the single most common mistake beginners make when first encountering an imbalanced fraud dataset.</w:t>
      </w:r>
    </w:p>
    <w:p>
      <w:r>
        <w:br w:type="page"/>
      </w:r>
    </w:p>
    <w:p>
      <w:pPr>
        <w:pStyle w:val="Heading1"/>
        <w:pBdr>
          <w:bottom w:val="single" w:color="1D3557" w:sz="6" w:space="4"/>
        </w:pBdr>
        <w:spacing w:after="200" w:before="400"/>
      </w:pPr>
      <w:r>
        <w:rPr>
          <w:b/>
          <w:bCs/>
          <w:color w:val="1D3557"/>
          <w:sz w:val="32"/>
          <w:szCs w:val="32"/>
        </w:rPr>
        <w:t xml:space="preserve">Part Two — The Session, Section by Section</w:t>
      </w:r>
    </w:p>
    <w:p>
      <w:pPr>
        <w:spacing w:after="160" w:line="300"/>
      </w:pPr>
      <w:r>
        <w:rPr>
          <w:sz w:val="21"/>
          <w:szCs w:val="21"/>
        </w:rPr>
        <w:t xml:space="preserve">This part walks through the notebook exactly in the order a student experiences it — Section 0 through Section 10. For every section you will find: (1) why the section exists, (2) an annotated, tabular explanation of the code, and (3) the actual output the code produces and what it means.</w:t>
      </w:r>
    </w:p>
    <w:p>
      <w:pPr>
        <w:pStyle w:val="Heading2"/>
        <w:spacing w:after="160" w:before="320"/>
      </w:pPr>
      <w:r>
        <w:rPr>
          <w:b/>
          <w:bCs/>
          <w:color w:val="00704A"/>
          <w:sz w:val="26"/>
          <w:szCs w:val="26"/>
        </w:rPr>
        <w:t xml:space="preserve">Section 0 — Load &amp; Explore the Dataset</w:t>
      </w:r>
    </w:p>
    <w:p>
      <w:pPr>
        <w:spacing w:after="160" w:line="300"/>
      </w:pPr>
      <w:r>
        <w:rPr>
          <w:sz w:val="21"/>
          <w:szCs w:val="21"/>
        </w:rPr>
        <w:t xml:space="preserve">This session upgrades from the built-in csv module to pandas, and immediately confronts the single most important structural fact about this dataset: it is severely imbalanced, with fraud making up only 12.1% of all transactions.</w:t>
      </w:r>
    </w:p>
    <w:p>
      <w:pPr>
        <w:pStyle w:val="Heading3"/>
        <w:spacing w:after="120" w:before="240"/>
      </w:pPr>
      <w:r>
        <w:rPr>
          <w:b/>
          <w:bCs/>
          <w:color w:val="1D4ED8"/>
          <w:sz w:val="22"/>
          <w:szCs w:val="22"/>
        </w:rPr>
        <w:t xml:space="preserve">Code Explanation — Imports and Imbalance Check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from sklearn.model_selection import train_test_split, ... / from sklearn.ensemble import RandomForestClassifier, IsolationForest / from xgboost import XGBClassifier</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Imports every scikit-learn and XGBoost tool the whole notebook will use, all in one block at the top.</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One clean import block at the top of a notebook, rather than imports scattered throughout, is standard professional Python practice — anyone reading the notebook can see every dependency at a glance.</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try: from xgboost import XGBClassifier; XGBOOST_AVAILABLE = True except ImportError: ...</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Attempts to import XGBoost, and gracefully falls back to scikit-learn's GradientBoostingClassifier if it is not installed.</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try/except import guard makes the notebook resilient — it will still run to completion in an environment where XGBoost was not separately installed, rather than crashing immediately.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fraud_count = (df['is_fraud']==1).sum(); normal_count = (df['is_fraud']==0).sum()</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Counts fraud and normal transactions directly from the target column.</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This is the first, most important diagnostic in the whole notebook — establishing the exact scale of the class imbalance problem before any model is trained.</w:t>
            </w:r>
          </w:p>
        </w:tc>
      </w:tr>
    </w:tbl>
    <w:p>
      <w:pPr>
        <w:pStyle w:val="Heading3"/>
        <w:spacing w:after="120" w:before="240"/>
      </w:pPr>
      <w:r>
        <w:rPr>
          <w:b/>
          <w:bCs/>
          <w:color w:val="1D4ED8"/>
          <w:sz w:val="22"/>
          <w:szCs w:val="22"/>
        </w:rPr>
        <w:t xml:space="preserve">Output Interpretation — Section 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 XGBoost imported successfully / ✅ SMOTE (imbalanced-learn) imported successfully'</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Both key libraries are available in this environment.</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Confirms the full pipeline, including SMOTE oversampling and gradient boosting, can run without any fallback substitutions.</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'Normal transactions: 1,959 (87.9%) / Fraud transactions: 270 (12.1%) / Imbalance ratio: 7.3:1'</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Fraud is a small minority class — for every 1 fraud case, there are 7.3 normal cases.</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ratio is the single most important number in the whole session to internalise before training anything: 7.3:1 is severe enough that a lazy model can achieve high 'accuracy' while being functionally useless.</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 WARNING: A naive model that predicts normal for EVERYTHING achieves: Accuracy = 87.9% — but Recall = 0% (misses ALL fraud)'</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The notebook explicitly demonstrates the imbalance trap using a hypothetical worst-case model.</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is the most important sentence in the entire notebook for a beginner to absorb: a model can look impressive on a single summary number (87.9% accuracy) while being worse than useless for the actual business problem it exists to solve. This is exactly why every model in this notebook is scored on precision, recall, and F1 — never accuracy alone.</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Every decision made for the rest of the notebook — SMOTE, class_weight='balanced', evaluating with F1 instead of accuracy — flows directly from this one diagnostic. Make sure your class can explain, unprompted, why 87.9% accuracy would be a meaningless number to report to a bank's fraud team.</w:t>
      </w:r>
    </w:p>
    <w:p>
      <w:r>
        <w:br w:type="page"/>
      </w:r>
    </w:p>
    <w:p>
      <w:pPr>
        <w:pStyle w:val="Heading2"/>
        <w:spacing w:after="160" w:before="320"/>
      </w:pPr>
      <w:r>
        <w:rPr>
          <w:b/>
          <w:bCs/>
          <w:color w:val="00704A"/>
          <w:sz w:val="26"/>
          <w:szCs w:val="26"/>
        </w:rPr>
        <w:t xml:space="preserve">Section 1 — Feature Engineering</w:t>
      </w:r>
    </w:p>
    <w:p>
      <w:pPr>
        <w:spacing w:after="160" w:line="300"/>
      </w:pPr>
      <w:r>
        <w:rPr>
          <w:sz w:val="21"/>
          <w:szCs w:val="21"/>
        </w:rPr>
        <w:t xml:space="preserve">Machine learning algorithms only understand numbers. This dataset has strings, categories, and datetime-derived fields — all of which must be transformed into clean numerical features before any model can be trained. This is widely considered the single most important step in any machine learning pipeline: garbage in, garbage out.</w:t>
      </w:r>
    </w:p>
    <w:p>
      <w:pPr>
        <w:pStyle w:val="Heading3"/>
        <w:spacing w:after="120" w:before="240"/>
      </w:pPr>
      <w:r>
        <w:rPr>
          <w:b/>
          <w:bCs/>
          <w:color w:val="1D4ED8"/>
          <w:sz w:val="22"/>
          <w:szCs w:val="22"/>
        </w:rPr>
        <w:t xml:space="preserve">Code Explanation — The Nine Engineered Features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350"/>
        <w:gridCol w:w="3350"/>
      </w:tblGrid>
      <w:tr>
        <w:trPr>
          <w:tblHeader/>
        </w:trPr>
        <w:tc>
          <w:tcPr>
            <w:tcW w:type="dxa" w:w="2600"/>
            <w:shd w:fill="1D3557" w:val="clear"/>
            <w:tcMar>
              <w:top w:type="dxa" w:w="80"/>
              <w:left w:type="dxa" w:w="100"/>
              <w:bottom w:type="dxa" w:w="80"/>
              <w:right w:type="dxa" w:w="100"/>
            </w:tcMar>
            <w:vAlign w:val="center"/>
          </w:tcPr>
          <w:p>
            <w:pPr>
              <w:jc w:val="left"/>
            </w:pPr>
            <w:r>
              <w:rPr>
                <w:b/>
                <w:bCs/>
                <w:color w:val="FFFFFF"/>
                <w:sz w:val="19"/>
                <w:szCs w:val="19"/>
              </w:rPr>
              <w:t xml:space="preserve">Feature</w:t>
            </w:r>
          </w:p>
        </w:tc>
        <w:tc>
          <w:tcPr>
            <w:tcW w:type="dxa" w:w="3350"/>
            <w:shd w:fill="1D3557" w:val="clear"/>
            <w:tcMar>
              <w:top w:type="dxa" w:w="80"/>
              <w:left w:type="dxa" w:w="100"/>
              <w:bottom w:type="dxa" w:w="80"/>
              <w:right w:type="dxa" w:w="100"/>
            </w:tcMar>
            <w:vAlign w:val="center"/>
          </w:tcPr>
          <w:p>
            <w:pPr>
              <w:jc w:val="left"/>
            </w:pPr>
            <w:r>
              <w:rPr>
                <w:b/>
                <w:bCs/>
                <w:color w:val="FFFFFF"/>
                <w:sz w:val="19"/>
                <w:szCs w:val="19"/>
              </w:rPr>
              <w:t xml:space="preserve">Formula</w:t>
            </w:r>
          </w:p>
        </w:tc>
        <w:tc>
          <w:tcPr>
            <w:tcW w:type="dxa" w:w="3350"/>
            <w:shd w:fill="1D3557" w:val="clear"/>
            <w:tcMar>
              <w:top w:type="dxa" w:w="80"/>
              <w:left w:type="dxa" w:w="100"/>
              <w:bottom w:type="dxa" w:w="80"/>
              <w:right w:type="dxa" w:w="100"/>
            </w:tcMar>
            <w:vAlign w:val="center"/>
          </w:tcPr>
          <w:p>
            <w:pPr>
              <w:jc w:val="left"/>
            </w:pPr>
            <w:r>
              <w:rPr>
                <w:b/>
                <w:bCs/>
                <w:color w:val="FFFFFF"/>
                <w:sz w:val="19"/>
                <w:szCs w:val="19"/>
              </w:rPr>
              <w:t xml:space="preserve">Why It Matters</w:t>
            </w:r>
          </w:p>
        </w:tc>
      </w:tr>
      <w:tr>
        <w:trPr>
          <w:tblHeader w:val="false"/>
        </w:trPr>
        <w:tc>
          <w:tcPr>
            <w:tcW w:type="dxa" w:w="2600"/>
            <w:tcMar>
              <w:top w:type="dxa" w:w="80"/>
              <w:left w:type="dxa" w:w="100"/>
              <w:bottom w:type="dxa" w:w="80"/>
              <w:right w:type="dxa" w:w="100"/>
            </w:tcMar>
            <w:vAlign w:val="center"/>
          </w:tcPr>
          <w:p>
            <w:pPr>
              <w:jc w:val="left"/>
            </w:pPr>
            <w:r>
              <w:rPr>
                <w:b/>
                <w:bCs/>
                <w:color w:val="1B1B1B"/>
                <w:sz w:val="19"/>
                <w:szCs w:val="19"/>
              </w:rPr>
              <w:t xml:space="preserve">amount_ratio</w:t>
            </w:r>
          </w:p>
        </w:tc>
        <w:tc>
          <w:tcPr>
            <w:tcW w:type="dxa" w:w="3350"/>
            <w:tcMar>
              <w:top w:type="dxa" w:w="80"/>
              <w:left w:type="dxa" w:w="100"/>
              <w:bottom w:type="dxa" w:w="80"/>
              <w:right w:type="dxa" w:w="100"/>
            </w:tcMar>
            <w:vAlign w:val="center"/>
          </w:tcPr>
          <w:p>
            <w:pPr>
              <w:jc w:val="left"/>
            </w:pPr>
            <w:r>
              <w:rPr>
                <w:b w:val="false"/>
                <w:bCs w:val="false"/>
                <w:color w:val="1B1B1B"/>
                <w:sz w:val="19"/>
                <w:szCs w:val="19"/>
              </w:rPr>
              <w:t xml:space="preserve">amount_naira / typical_max_amount.clip(lower=1)</w:t>
            </w:r>
          </w:p>
        </w:tc>
        <w:tc>
          <w:tcPr>
            <w:tcW w:type="dxa" w:w="3350"/>
            <w:tcMar>
              <w:top w:type="dxa" w:w="80"/>
              <w:left w:type="dxa" w:w="100"/>
              <w:bottom w:type="dxa" w:w="80"/>
              <w:right w:type="dxa" w:w="100"/>
            </w:tcMar>
            <w:vAlign w:val="center"/>
          </w:tcPr>
          <w:p>
            <w:pPr>
              <w:jc w:val="left"/>
            </w:pPr>
            <w:r>
              <w:rPr>
                <w:b w:val="false"/>
                <w:bCs w:val="false"/>
                <w:color w:val="1B1B1B"/>
                <w:sz w:val="19"/>
                <w:szCs w:val="19"/>
              </w:rPr>
              <w:t xml:space="preserve">How many multiples of a customer's normal maximum this transaction represents — the direct numerical equivalent of the Rule-Based session's Rule 1, but continuous rather than a fixed 3× cutoff</w:t>
            </w:r>
          </w:p>
        </w:tc>
      </w:tr>
      <w:tr>
        <w:trPr>
          <w:tblHeader w:val="false"/>
        </w:trPr>
        <w:tc>
          <w:tcPr>
            <w:tcW w:type="dxa" w:w="2600"/>
            <w:shd w:fill="EAF1F8" w:val="clear"/>
            <w:tcMar>
              <w:top w:type="dxa" w:w="80"/>
              <w:left w:type="dxa" w:w="100"/>
              <w:bottom w:type="dxa" w:w="80"/>
              <w:right w:type="dxa" w:w="100"/>
            </w:tcMar>
            <w:vAlign w:val="center"/>
          </w:tcPr>
          <w:p>
            <w:pPr>
              <w:jc w:val="left"/>
            </w:pPr>
            <w:r>
              <w:rPr>
                <w:b/>
                <w:bCs/>
                <w:color w:val="1B1B1B"/>
                <w:sz w:val="19"/>
                <w:szCs w:val="19"/>
              </w:rPr>
              <w:t xml:space="preserve">hour</w:t>
            </w:r>
          </w:p>
        </w:tc>
        <w:tc>
          <w:tcPr>
            <w:tcW w:type="dxa" w:w="33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int(str(time)[:2])</w:t>
            </w:r>
          </w:p>
        </w:tc>
        <w:tc>
          <w:tcPr>
            <w:tcW w:type="dxa" w:w="33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Extracted directly from the time string, the same string-slicing technique used in the Rule-Based session — reused here as a numeric ML input rather than a rule condition</w:t>
            </w:r>
          </w:p>
        </w:tc>
      </w:tr>
      <w:tr>
        <w:trPr>
          <w:tblHeader w:val="false"/>
        </w:trPr>
        <w:tc>
          <w:tcPr>
            <w:tcW w:type="dxa" w:w="2600"/>
            <w:tcMar>
              <w:top w:type="dxa" w:w="80"/>
              <w:left w:type="dxa" w:w="100"/>
              <w:bottom w:type="dxa" w:w="80"/>
              <w:right w:type="dxa" w:w="100"/>
            </w:tcMar>
            <w:vAlign w:val="center"/>
          </w:tcPr>
          <w:p>
            <w:pPr>
              <w:jc w:val="left"/>
            </w:pPr>
            <w:r>
              <w:rPr>
                <w:b/>
                <w:bCs/>
                <w:color w:val="1B1B1B"/>
                <w:sz w:val="19"/>
                <w:szCs w:val="19"/>
              </w:rPr>
              <w:t xml:space="preserve">is_midnight_to_4am</w:t>
            </w:r>
          </w:p>
        </w:tc>
        <w:tc>
          <w:tcPr>
            <w:tcW w:type="dxa" w:w="3350"/>
            <w:tcMar>
              <w:top w:type="dxa" w:w="80"/>
              <w:left w:type="dxa" w:w="100"/>
              <w:bottom w:type="dxa" w:w="80"/>
              <w:right w:type="dxa" w:w="100"/>
            </w:tcMar>
            <w:vAlign w:val="center"/>
          </w:tcPr>
          <w:p>
            <w:pPr>
              <w:jc w:val="left"/>
            </w:pPr>
            <w:r>
              <w:rPr>
                <w:b w:val="false"/>
                <w:bCs w:val="false"/>
                <w:color w:val="1B1B1B"/>
                <w:sz w:val="19"/>
                <w:szCs w:val="19"/>
              </w:rPr>
              <w:t xml:space="preserve">((hour &gt;= 0) &amp; (hour &lt;= 4)).astype(int)</w:t>
            </w:r>
          </w:p>
        </w:tc>
        <w:tc>
          <w:tcPr>
            <w:tcW w:type="dxa" w:w="3350"/>
            <w:tcMar>
              <w:top w:type="dxa" w:w="80"/>
              <w:left w:type="dxa" w:w="100"/>
              <w:bottom w:type="dxa" w:w="80"/>
              <w:right w:type="dxa" w:w="100"/>
            </w:tcMar>
            <w:vAlign w:val="center"/>
          </w:tcPr>
          <w:p>
            <w:pPr>
              <w:jc w:val="left"/>
            </w:pPr>
            <w:r>
              <w:rPr>
                <w:b w:val="false"/>
                <w:bCs w:val="false"/>
                <w:color w:val="1B1B1B"/>
                <w:sz w:val="19"/>
                <w:szCs w:val="19"/>
              </w:rPr>
              <w:t xml:space="preserve">A dedicated binary flag for the midnight-to-4am window found to be a 100% suspicious-rate window in the Rule-Based session — astype(int) converts True/False into 1/0, since models need numbers, not booleans</w:t>
            </w:r>
          </w:p>
        </w:tc>
      </w:tr>
      <w:tr>
        <w:trPr>
          <w:tblHeader w:val="false"/>
        </w:trPr>
        <w:tc>
          <w:tcPr>
            <w:tcW w:type="dxa" w:w="2600"/>
            <w:shd w:fill="EAF1F8" w:val="clear"/>
            <w:tcMar>
              <w:top w:type="dxa" w:w="80"/>
              <w:left w:type="dxa" w:w="100"/>
              <w:bottom w:type="dxa" w:w="80"/>
              <w:right w:type="dxa" w:w="100"/>
            </w:tcMar>
            <w:vAlign w:val="center"/>
          </w:tcPr>
          <w:p>
            <w:pPr>
              <w:jc w:val="left"/>
            </w:pPr>
            <w:r>
              <w:rPr>
                <w:b/>
                <w:bCs/>
                <w:color w:val="1B1B1B"/>
                <w:sz w:val="19"/>
                <w:szCs w:val="19"/>
              </w:rPr>
              <w:t xml:space="preserve">daily_limit_usage_pct</w:t>
            </w:r>
          </w:p>
        </w:tc>
        <w:tc>
          <w:tcPr>
            <w:tcW w:type="dxa" w:w="33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(daily_total_so_far / daily_limit.clip(lower=1) * 100).clip(upper=200)</w:t>
            </w:r>
          </w:p>
        </w:tc>
        <w:tc>
          <w:tcPr>
            <w:tcW w:type="dxa" w:w="33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What percentage of the daily limit has already been used; capped at 200% to prevent extreme outlier values from distorting model training</w:t>
            </w:r>
          </w:p>
        </w:tc>
      </w:tr>
      <w:tr>
        <w:trPr>
          <w:tblHeader w:val="false"/>
        </w:trPr>
        <w:tc>
          <w:tcPr>
            <w:tcW w:type="dxa" w:w="2600"/>
            <w:tcMar>
              <w:top w:type="dxa" w:w="80"/>
              <w:left w:type="dxa" w:w="100"/>
              <w:bottom w:type="dxa" w:w="80"/>
              <w:right w:type="dxa" w:w="100"/>
            </w:tcMar>
            <w:vAlign w:val="center"/>
          </w:tcPr>
          <w:p>
            <w:pPr>
              <w:jc w:val="left"/>
            </w:pPr>
            <w:r>
              <w:rPr>
                <w:b/>
                <w:bCs/>
                <w:color w:val="1B1B1B"/>
                <w:sz w:val="19"/>
                <w:szCs w:val="19"/>
              </w:rPr>
              <w:t xml:space="preserve">balance_drain_pct</w:t>
            </w:r>
          </w:p>
        </w:tc>
        <w:tc>
          <w:tcPr>
            <w:tcW w:type="dxa" w:w="3350"/>
            <w:tcMar>
              <w:top w:type="dxa" w:w="80"/>
              <w:left w:type="dxa" w:w="100"/>
              <w:bottom w:type="dxa" w:w="80"/>
              <w:right w:type="dxa" w:w="100"/>
            </w:tcMar>
            <w:vAlign w:val="center"/>
          </w:tcPr>
          <w:p>
            <w:pPr>
              <w:jc w:val="left"/>
            </w:pPr>
            <w:r>
              <w:rPr>
                <w:b w:val="false"/>
                <w:bCs w:val="false"/>
                <w:color w:val="1B1B1B"/>
                <w:sz w:val="19"/>
                <w:szCs w:val="19"/>
              </w:rPr>
              <w:t xml:space="preserve">((balance_before - balance_after) / balance_before.clip(lower=1) * 100).clip(0,100)</w:t>
            </w:r>
          </w:p>
        </w:tc>
        <w:tc>
          <w:tcPr>
            <w:tcW w:type="dxa" w:w="3350"/>
            <w:tcMar>
              <w:top w:type="dxa" w:w="80"/>
              <w:left w:type="dxa" w:w="100"/>
              <w:bottom w:type="dxa" w:w="80"/>
              <w:right w:type="dxa" w:w="100"/>
            </w:tcMar>
            <w:vAlign w:val="center"/>
          </w:tcPr>
          <w:p>
            <w:pPr>
              <w:jc w:val="left"/>
            </w:pPr>
            <w:r>
              <w:rPr>
                <w:b w:val="false"/>
                <w:bCs w:val="false"/>
                <w:color w:val="1B1B1B"/>
                <w:sz w:val="19"/>
                <w:szCs w:val="19"/>
              </w:rPr>
              <w:t xml:space="preserve">What fraction of the account balance was spent in one transaction — a 95% drain signals a classic 'draining attack' pattern</w:t>
            </w:r>
          </w:p>
        </w:tc>
      </w:tr>
      <w:tr>
        <w:trPr>
          <w:tblHeader w:val="false"/>
        </w:trPr>
        <w:tc>
          <w:tcPr>
            <w:tcW w:type="dxa" w:w="2600"/>
            <w:shd w:fill="EAF1F8" w:val="clear"/>
            <w:tcMar>
              <w:top w:type="dxa" w:w="80"/>
              <w:left w:type="dxa" w:w="100"/>
              <w:bottom w:type="dxa" w:w="80"/>
              <w:right w:type="dxa" w:w="100"/>
            </w:tcMar>
            <w:vAlign w:val="center"/>
          </w:tcPr>
          <w:p>
            <w:pPr>
              <w:jc w:val="left"/>
            </w:pPr>
            <w:r>
              <w:rPr>
                <w:b/>
                <w:bCs/>
                <w:color w:val="1B1B1B"/>
                <w:sz w:val="19"/>
                <w:szCs w:val="19"/>
              </w:rPr>
              <w:t xml:space="preserve">is_large_cash</w:t>
            </w:r>
          </w:p>
        </w:tc>
        <w:tc>
          <w:tcPr>
            <w:tcW w:type="dxa" w:w="33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(transaction_type=='ATM Withdrawal') &amp; (amount_naira &gt; typical_max_amount*2)</w:t>
            </w:r>
          </w:p>
        </w:tc>
        <w:tc>
          <w:tcPr>
            <w:tcW w:type="dxa" w:w="33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Flags the specific combination of a physical cash withdrawal AND an unusually large amount — a compound signal no single raw column captures alone</w:t>
            </w:r>
          </w:p>
        </w:tc>
      </w:tr>
      <w:tr>
        <w:trPr>
          <w:tblHeader w:val="false"/>
        </w:trPr>
        <w:tc>
          <w:tcPr>
            <w:tcW w:type="dxa" w:w="2600"/>
            <w:tcMar>
              <w:top w:type="dxa" w:w="80"/>
              <w:left w:type="dxa" w:w="100"/>
              <w:bottom w:type="dxa" w:w="80"/>
              <w:right w:type="dxa" w:w="100"/>
            </w:tcMar>
            <w:vAlign w:val="center"/>
          </w:tcPr>
          <w:p>
            <w:pPr>
              <w:jc w:val="left"/>
            </w:pPr>
            <w:r>
              <w:rPr>
                <w:b/>
                <w:bCs/>
                <w:color w:val="1B1B1B"/>
                <w:sz w:val="19"/>
                <w:szCs w:val="19"/>
              </w:rPr>
              <w:t xml:space="preserve">is_weekend</w:t>
            </w:r>
          </w:p>
        </w:tc>
        <w:tc>
          <w:tcPr>
            <w:tcW w:type="dxa" w:w="3350"/>
            <w:tcMar>
              <w:top w:type="dxa" w:w="80"/>
              <w:left w:type="dxa" w:w="100"/>
              <w:bottom w:type="dxa" w:w="80"/>
              <w:right w:type="dxa" w:w="100"/>
            </w:tcMar>
            <w:vAlign w:val="center"/>
          </w:tcPr>
          <w:p>
            <w:pPr>
              <w:jc w:val="left"/>
            </w:pPr>
            <w:r>
              <w:rPr>
                <w:b w:val="false"/>
                <w:bCs w:val="false"/>
                <w:color w:val="1B1B1B"/>
                <w:sz w:val="19"/>
                <w:szCs w:val="19"/>
              </w:rPr>
              <w:t xml:space="preserve">day_of_week.isin(['Saturday','Sunday']).astype(int)</w:t>
            </w:r>
          </w:p>
        </w:tc>
        <w:tc>
          <w:tcPr>
            <w:tcW w:type="dxa" w:w="3350"/>
            <w:tcMar>
              <w:top w:type="dxa" w:w="80"/>
              <w:left w:type="dxa" w:w="100"/>
              <w:bottom w:type="dxa" w:w="80"/>
              <w:right w:type="dxa" w:w="100"/>
            </w:tcMar>
            <w:vAlign w:val="center"/>
          </w:tcPr>
          <w:p>
            <w:pPr>
              <w:jc w:val="left"/>
            </w:pPr>
            <w:r>
              <w:rPr>
                <w:b w:val="false"/>
                <w:bCs w:val="false"/>
                <w:color w:val="1B1B1B"/>
                <w:sz w:val="19"/>
                <w:szCs w:val="19"/>
              </w:rPr>
              <w:t xml:space="preserve">Fraud is often more common on weekends when banks are less staffed and monitoring may be slower to respond</w:t>
            </w:r>
          </w:p>
        </w:tc>
      </w:tr>
      <w:tr>
        <w:trPr>
          <w:tblHeader w:val="false"/>
        </w:trPr>
        <w:tc>
          <w:tcPr>
            <w:tcW w:type="dxa" w:w="2600"/>
            <w:shd w:fill="EAF1F8" w:val="clear"/>
            <w:tcMar>
              <w:top w:type="dxa" w:w="80"/>
              <w:left w:type="dxa" w:w="100"/>
              <w:bottom w:type="dxa" w:w="80"/>
              <w:right w:type="dxa" w:w="100"/>
            </w:tcMar>
            <w:vAlign w:val="center"/>
          </w:tcPr>
          <w:p>
            <w:pPr>
              <w:jc w:val="left"/>
            </w:pPr>
            <w:r>
              <w:rPr>
                <w:b/>
                <w:bCs/>
                <w:color w:val="1B1B1B"/>
                <w:sz w:val="19"/>
                <w:szCs w:val="19"/>
              </w:rPr>
              <w:t xml:space="preserve">bank_enc, card_type_enc, transaction_type_enc, customer_profile_enc</w:t>
            </w:r>
          </w:p>
        </w:tc>
        <w:tc>
          <w:tcPr>
            <w:tcW w:type="dxa" w:w="33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LabelEncoder().fit_transform(column.astype(str))</w:t>
            </w:r>
          </w:p>
        </w:tc>
        <w:tc>
          <w:tcPr>
            <w:tcW w:type="dxa" w:w="33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Converts text categories into unique integers (e.g. 'GTBank'→0, 'Access Bank'→1) since scikit-learn models cannot process raw text</w:t>
            </w:r>
          </w:p>
        </w:tc>
      </w:tr>
      <w:tr>
        <w:trPr>
          <w:tblHeader w:val="false"/>
        </w:trPr>
        <w:tc>
          <w:tcPr>
            <w:tcW w:type="dxa" w:w="2600"/>
            <w:tcMar>
              <w:top w:type="dxa" w:w="80"/>
              <w:left w:type="dxa" w:w="100"/>
              <w:bottom w:type="dxa" w:w="80"/>
              <w:right w:type="dxa" w:w="100"/>
            </w:tcMar>
            <w:vAlign w:val="center"/>
          </w:tcPr>
          <w:p>
            <w:pPr>
              <w:jc w:val="left"/>
            </w:pPr>
            <w:r>
              <w:rPr>
                <w:b/>
                <w:bCs/>
                <w:color w:val="1B1B1B"/>
                <w:sz w:val="19"/>
                <w:szCs w:val="19"/>
              </w:rPr>
              <w:t xml:space="preserve">profile_risk</w:t>
            </w:r>
          </w:p>
        </w:tc>
        <w:tc>
          <w:tcPr>
            <w:tcW w:type="dxa" w:w="3350"/>
            <w:tcMar>
              <w:top w:type="dxa" w:w="80"/>
              <w:left w:type="dxa" w:w="100"/>
              <w:bottom w:type="dxa" w:w="80"/>
              <w:right w:type="dxa" w:w="100"/>
            </w:tcMar>
            <w:vAlign w:val="center"/>
          </w:tcPr>
          <w:p>
            <w:pPr>
              <w:jc w:val="left"/>
            </w:pPr>
            <w:r>
              <w:rPr>
                <w:b w:val="false"/>
                <w:bCs w:val="false"/>
                <w:color w:val="1B1B1B"/>
                <w:sz w:val="19"/>
                <w:szCs w:val="19"/>
              </w:rPr>
              <w:t xml:space="preserve">{'low_spender':1,'medium_spender':2,'high_spender':3}, with .fillna(2)</w:t>
            </w:r>
          </w:p>
        </w:tc>
        <w:tc>
          <w:tcPr>
            <w:tcW w:type="dxa" w:w="3350"/>
            <w:tcMar>
              <w:top w:type="dxa" w:w="80"/>
              <w:left w:type="dxa" w:w="100"/>
              <w:bottom w:type="dxa" w:w="80"/>
              <w:right w:type="dxa" w:w="100"/>
            </w:tcMar>
            <w:vAlign w:val="center"/>
          </w:tcPr>
          <w:p>
            <w:pPr>
              <w:jc w:val="left"/>
            </w:pPr>
            <w:r>
              <w:rPr>
                <w:b w:val="false"/>
                <w:bCs w:val="false"/>
                <w:color w:val="1B1B1B"/>
                <w:sz w:val="19"/>
                <w:szCs w:val="19"/>
              </w:rPr>
              <w:t xml:space="preserve">An ORDINAL encoding (preserving low &lt; medium &lt; high order), unlike the arbitrary LabelEncoder integers used for bank or card type, which have no natural order</w:t>
            </w:r>
          </w:p>
        </w:tc>
      </w:tr>
    </w:tbl>
    <w:p>
      <w:pPr>
        <w:pStyle w:val="Heading3"/>
        <w:spacing w:after="120" w:before="240"/>
      </w:pPr>
      <w:r>
        <w:rPr>
          <w:b/>
          <w:bCs/>
          <w:color w:val="1D4ED8"/>
          <w:sz w:val="22"/>
          <w:szCs w:val="22"/>
        </w:rPr>
        <w:t xml:space="preserve">Output Interpretation — Section 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daily_limit_usage_pct: Fraud avg 75.30 vs Normal avg 13.53 (Diff 61.78 — the largest gap of any feature)</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Fraudulent transactions use, on average, over 5.5× more of the daily limit than normal transactions.</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is the single most separating engineered feature in the dataset, and it directly foreshadows the feature importance results in Sections 5, 6, and 9, where daily_limit_usage_pct or amount_ratio consistently rank at or near the top.</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balance_drain_pct: Fraud avg 37.98 vs Normal avg 10.83 (Diff 27.15 — second largest gap)</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Fraudulent transactions drain, on average, roughly 3.5× more of the account balance than normal transactions.</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Confirms the intuitive 'draining attack' pattern quantitatively — fraud doesn't just spend more in absolute terms, it takes a much larger BITE out of whatever balance is available.</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amount_ratio: Fraud avg 2.82 vs Normal avg 0.54 (Diff 2.28)</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The average fraud transaction is 2.82× the customer's typical maximum, while normal transactions sit at roughly half (0.54×) their typical maximum.</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is the feature that most directly echoes the Rule-Based session's Rule 1 — and it re-emerges in Section 9 as the single most important predictor across all three tree-based models, at a dominant 0.3996 importance score.</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is_weekend: Fraud avg 0.30 vs Normal avg 0.30 (Diff 0.01 — smallest gap of all)</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Weekend timing shows virtually no difference between fraud and normal transactions.</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is a useful negative result to highlight: not every intuitively plausible feature turns out to matter. is_weekend correctly ranks last in the final feature importance consensus in Section 9 (0.0090) — proof the engineering process, and the models trained on it, are working honestly rather than just confirming assumptions.</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Feature matrix: X shape (2,229 rows, 17 features), y shape (2,229,)</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The final, fully numerical feature set ready for model training.</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X (capital letter, by scikit-learn convention) holds every INPUT the models will learn from; y holds the single target OUTPUT (is_fraud) the models are trying to predict — this X/y naming convention appears throughout virtually all scikit-learn code your students will encounter afterward.</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The Diff column computed for every engineered feature is, in effect, a simple manual preview of feature importance — features with a large gap between the fraud average and the normal average are exactly the ones that later show up at the top of every model's feature importance ranking. This is a valuable moment to show your class that a model's later 'discovery' is often visible, in hindsight, in the raw feature statistics all along.</w:t>
      </w:r>
    </w:p>
    <w:p>
      <w:r>
        <w:br w:type="page"/>
      </w:r>
    </w:p>
    <w:p>
      <w:pPr>
        <w:pStyle w:val="Heading2"/>
        <w:spacing w:after="160" w:before="320"/>
      </w:pPr>
      <w:r>
        <w:rPr>
          <w:b/>
          <w:bCs/>
          <w:color w:val="00704A"/>
          <w:sz w:val="26"/>
          <w:szCs w:val="26"/>
        </w:rPr>
        <w:t xml:space="preserve">Section 2 — Train/Test Split &amp; Handling Class Imbalance</w:t>
      </w:r>
    </w:p>
    <w:p>
      <w:pPr>
        <w:spacing w:after="160" w:line="300"/>
      </w:pPr>
      <w:r>
        <w:rPr>
          <w:sz w:val="21"/>
          <w:szCs w:val="21"/>
        </w:rPr>
        <w:t xml:space="preserve">Before training any model, the data must be split into a portion the model learns from (training set) and a portion held back entirely to honestly evaluate how well it generalises to transactions it has never seen (test set). This section also applies SMOTE to fix the training set's severe class imbalance — without ever touching the test set.</w:t>
      </w:r>
    </w:p>
    <w:p>
      <w:pPr>
        <w:pStyle w:val="Heading3"/>
        <w:spacing w:after="120" w:before="240"/>
      </w:pPr>
      <w:r>
        <w:rPr>
          <w:b/>
          <w:bCs/>
          <w:color w:val="1D4ED8"/>
          <w:sz w:val="22"/>
          <w:szCs w:val="22"/>
        </w:rPr>
        <w:t xml:space="preserve">Code Explanation — Splitting and SMOTE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X_train, X_test, y_train, y_test = train_test_split(X, y, test_size=0.2, random_state=42, stratify=y)</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Splits the data 80/20 into training and test sets.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stratify=y is essential — without it, a random split could accidentally put a disproportionate share of the 270 fraud cases into just one of the two sets, distorting evaluation; stratify guarantees both sets keep the same 12.1% fraud rate. random_state=42 makes the split exactly reproducible every time the notebook is rerun.</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scaler = StandardScaler(); X_train_scaled = scaler.fit_transform(X_train); X_test_scaled = scaler.transform(X_test)</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Rescales every feature to have mean 0 and standard deviation 1.</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Distance-based algorithms like Logistic Regression and SMOTE are sensitive to features being on very different scales (e.g. amount_naira in the hundreds of thousands vs is_weekend as 0 or 1) — scaling puts every feature on equal footing. Critically, the scaler is FIT only on the training data and simply APPLIED to the test data, preventing any information about the test set from leaking into training.</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smote = SMOTE(random_state=42, k_neighbors=5); X_train_smote, y_train_smote = smote.fit_resample(X_train_scaled, y_train)</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Generates synthetic fraud examples by interpolating between real fraud cases and their nearest fraud neighbours.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SMOTE is applied ONLY to the training set, never the test set — applying it to test data would let the model be evaluated against synthetic examples it was partly 'shown' during training, producing falsely inflated, meaningless accuracy metrics.</w:t>
            </w:r>
          </w:p>
        </w:tc>
      </w:tr>
    </w:tbl>
    <w:p>
      <w:pPr>
        <w:pStyle w:val="Heading3"/>
        <w:spacing w:after="120" w:before="240"/>
      </w:pPr>
      <w:r>
        <w:rPr>
          <w:b/>
          <w:bCs/>
          <w:color w:val="1D4ED8"/>
          <w:sz w:val="22"/>
          <w:szCs w:val="22"/>
        </w:rPr>
        <w:t xml:space="preserve">Output Interpretation — Section 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Training set: 1,783 rows (80%) — 1,567 Normal, 216 Fraud (12.1%); Test set: 446 rows (20%) — 392 Normal, 54 Fraud (12.1%)</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Both the training and test sets preserve the exact same 12.1% fraud rate.</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confirms stratify=y worked correctly — critically, the 54 fraud cases in the test set become the fixed, honest benchmark that EVERY model in Sections 3 through 7 is measured against, ensuring a fair, apples-to-apples comparison.</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'SMOTE APPLIED TO TRAINING SET: Before SMOTE → Fraud: 216 | Normal: 1,567. After SMOTE → Fraud: 1,567 | Normal: 1,567. Synthetic fraud examples created: 1,351. New imbalance ratio: 1.0:1'</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SMOTE creates 1,351 new synthetic fraud examples, bringing the training set to a perfectly balanced 1:1 ratio.</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is the direct fix for the 7.3:1 imbalance diagnosed in Section 0 — but crucially, only within the TRAINING set. The test set, used for every evaluation from here on, remains untouched at its original, real-world 12.1% fraud rate, which is exactly what makes every model's reported precision/recall/F1 score an honest reflection of real-world performance rather than an artefact of oversampling.</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The distinction between 'SMOTE applied to training data only' versus 'SMOTE applied everywhere' is one of the most common and most damaging mistakes in real-world fraud modelling projects — an accidentally leaked or oversampled test set can make a genuinely mediocre model look artificially excellent. This is worth a dedicated five minutes of class discussion, because it is a mistake that is very easy to make and very hard to notice afterward without deliberately checking for it.</w:t>
      </w:r>
    </w:p>
    <w:p>
      <w:r>
        <w:br w:type="page"/>
      </w:r>
    </w:p>
    <w:p>
      <w:pPr>
        <w:pStyle w:val="Heading2"/>
        <w:spacing w:after="160" w:before="320"/>
      </w:pPr>
      <w:r>
        <w:rPr>
          <w:b/>
          <w:bCs/>
          <w:color w:val="00704A"/>
          <w:sz w:val="26"/>
          <w:szCs w:val="26"/>
        </w:rPr>
        <w:t xml:space="preserve">Section 3 — Logistic Regression</w:t>
      </w:r>
    </w:p>
    <w:p>
      <w:pPr>
        <w:spacing w:after="160" w:line="300"/>
      </w:pPr>
      <w:r>
        <w:rPr>
          <w:sz w:val="21"/>
          <w:szCs w:val="21"/>
        </w:rPr>
        <w:t xml:space="preserve">Logistic Regression is the simplest and fastest supervised classifier, and despite its name it is used for classification, not regression. It learns one weight per feature, combines them into a single score, and passes that score through a sigmoid function to produce a probability between 0 and 1. It serves as the notebook's baseline — every more complex model that follows must beat it.</w:t>
      </w:r>
    </w:p>
    <w:p>
      <w:pPr>
        <w:pStyle w:val="Heading3"/>
        <w:spacing w:after="120" w:before="240"/>
      </w:pPr>
      <w:r>
        <w:rPr>
          <w:b/>
          <w:bCs/>
          <w:color w:val="1D4ED8"/>
          <w:sz w:val="22"/>
          <w:szCs w:val="22"/>
        </w:rPr>
        <w:t xml:space="preserve">Code Explanation — Training and Evaluating Logistic Regression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lr_model = LogisticRegression(class_weight='balanced', max_iter=1000, random_state=42, C=1.0)</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Configures the model with automatic class-imbalance weighting, a generous iteration limit, and standard regularisation strength.</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class_weight='balanced' automatically penalises mistakes on the minority (fraud) class more heavily — a second, complementary layer of imbalance handling alongside the SMOTE oversampling already applied to the training data.</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lr_model.fit(X_train_smote, y_train_smote)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Trains the model on the SMOTE-balanced, scaled training data.</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Logistic Regression is a distance/weight-based algorithm, so it uses the SCALED and SMOTE-BALANCED version of the training set, unlike the tree-based models used later which need neither.</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y_pred_lr = lr_model.predict(X_test_scaled); y_prob_lr = lr_model.predict_proba(X_test_scaled)[:, 1]</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Generates both a hard Fraud/Normal prediction and a continuous fraud probability for every test transaction.</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predict() gives the final Yes/No answer; predict_proba() gives the underlying confidence score — the second is what feeds the ROC curve and the champion-selection process later in the notebook.</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coeffs = pd.Series(lr_model.coef_[0], index=FEATURES).sort_values()</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Extracts one coefficient per feature, showing both its size and its direction.</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positive coefficient means that feature, when it increases, pushes the prediction TOWARD fraud; a negative coefficient pushes it toward normal — this is Logistic Regression's key advantage in explainability over the more complex models that follow.</w:t>
            </w:r>
          </w:p>
        </w:tc>
      </w:tr>
    </w:tbl>
    <w:p>
      <w:pPr>
        <w:pStyle w:val="Heading3"/>
        <w:spacing w:after="120" w:before="240"/>
      </w:pPr>
      <w:r>
        <w:rPr>
          <w:b/>
          <w:bCs/>
          <w:color w:val="1D4ED8"/>
          <w:sz w:val="22"/>
          <w:szCs w:val="22"/>
        </w:rPr>
        <w:t xml:space="preserve">Output Interpretation — Section 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Precision 66.7%, Recall 92.6%, F1 77.5%, ROC-AUC 0.9669</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The baseline model catches the vast majority of fraud (92.6% recall) but generates a substantial number of false alarms (only 66.7% precision).</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is a textbook 'high recall, lower precision' profile — appropriate as a first pass, but not yet efficient enough for daily analyst use, since roughly 1 in 3 alerts would be a false alarm. This exact number, 77.5% F1, becomes the baseline every subsequent model in the notebook must beat.</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Top 5 features pushing toward FRAUD: largest positive coefficients on amount_ratio and daily_limit_usage_pct-related features</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Confirms, from a completely different algorithm, the same top features already flagged by the raw feature engineering statistics in Section 1.</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Seeing the SAME features (amount_ratio, daily_limit_usage_pct) emerge as important from two entirely different methods — simple averaging in Section 1, and now a trained model's learned coefficients — is strong, convergent evidence that these are genuinely the features driving fraud in this dataset, not a statistical fluke.</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77.5% F1 with 92.6% recall but only 66.7% precision is a useful number to write on the board and keep visible for the rest of the session — it is the number every later model (Decision Tree, Random Forest, XGBoost) is explicitly trying to beat, and it already exceeds the Rule-Based session's recall (71.4%) while falling short on precision (100%).</w:t>
      </w:r>
    </w:p>
    <w:p>
      <w:r>
        <w:br w:type="page"/>
      </w:r>
    </w:p>
    <w:p>
      <w:pPr>
        <w:pStyle w:val="Heading2"/>
        <w:spacing w:after="160" w:before="320"/>
      </w:pPr>
      <w:r>
        <w:rPr>
          <w:b/>
          <w:bCs/>
          <w:color w:val="00704A"/>
          <w:sz w:val="26"/>
          <w:szCs w:val="26"/>
        </w:rPr>
        <w:t xml:space="preserve">Section 4 — Decision Tree</w:t>
      </w:r>
    </w:p>
    <w:p>
      <w:pPr>
        <w:spacing w:after="160" w:line="300"/>
      </w:pPr>
      <w:r>
        <w:rPr>
          <w:sz w:val="21"/>
          <w:szCs w:val="21"/>
        </w:rPr>
        <w:t xml:space="preserve">A Decision Tree learns a series of if/else questions about the features that best separate fraud from normal transactions — conceptually the algorithm closest to the Rule-Based session's hand-written logic, except here the computer discovers the questions and their thresholds automatically from the training data.</w:t>
      </w:r>
    </w:p>
    <w:p>
      <w:pPr>
        <w:pStyle w:val="Heading3"/>
        <w:spacing w:after="120" w:before="240"/>
      </w:pPr>
      <w:r>
        <w:rPr>
          <w:b/>
          <w:bCs/>
          <w:color w:val="1D4ED8"/>
          <w:sz w:val="22"/>
          <w:szCs w:val="22"/>
        </w:rPr>
        <w:t xml:space="preserve">Code Explanation — Training and Reading a Decision Tree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dt_model = DecisionTreeClassifier(max_depth=6, min_samples_leaf=10, class_weight='balanced', random_state=42)</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Configures a tree limited to 6 levels deep, requiring at least 10 samples per leaf.</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max_depth and min_samples_leaf are both DELIBERATE CONSTRAINTS against overfitting — an unconstrained tree can grow deep enough to memorise the training data perfectly, which would look excellent in training but generalise poorly to new transactions.</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dt_model.fit(X_train_orig, y_train)</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Trains on the ORIGINAL (unscaled, non-SMOTE) training data.</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Tree-based models split on raw threshold values (e.g. 'is amount_ratio &gt; 0.99?') rather than measuring distances, so they need neither feature scaling nor synthetic oversampling — class_weight='balanced' alone handles the imbalance for this algorithm.</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export_text(dt_model, feature_names=FEATURES, max_depth=3)</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Prints the tree's actual learned decision rules as readable text, down to a chosen depth.</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This is the most pedagogically valuable output in the whole section — students can read the exact if/else logic the algorithm discovered, and directly compare it against the hand-written rules from the Rule-Based session.</w:t>
            </w:r>
          </w:p>
        </w:tc>
      </w:tr>
    </w:tbl>
    <w:p>
      <w:pPr>
        <w:pStyle w:val="Heading3"/>
        <w:spacing w:after="120" w:before="240"/>
      </w:pPr>
      <w:r>
        <w:rPr>
          <w:b/>
          <w:bCs/>
          <w:color w:val="1D4ED8"/>
          <w:sz w:val="22"/>
          <w:szCs w:val="22"/>
        </w:rPr>
        <w:t xml:space="preserve">Output Interpretation — Section 4</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Precision 67.6%, Recall 92.6%, F1 78.1%, ROC-AUC 0.9568; Tree depth 6 levels, 19 terminal nodes</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A very slight improvement over Logistic Regression on every metric.</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Despite being a completely different kind of algorithm (splitting rules vs weighted coefficients), Decision Tree lands at almost the identical recall (92.6%, unchanged) — suggesting there may be a natural ceiling around 92.6% recall for any single, relatively simple model on this dataset, one that only the ensemble methods manage to push past.</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Tree rules (top levels): first split is 'amount_ratio &lt;= 0.99', then 'daily_limit_usage_pct &lt;= 57.63', then 'hour &lt;= 5.50'</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very FIRST, most important question the tree asks is exactly the amount_ratio threshold — remarkably close to the Rule-Based session's Rule 1 (3× typical max, i.e. a ratio around 3.0, though the tree finds its own optimal split near 1.0 first)</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is the single best 'aha' moment to point out to your class: given complete freedom to choose ANY threshold on ANY feature as its first and most important question, the algorithm independently arrived at almost the same feature (amount_ratio) that a human analyst chose by intuition in the very first rule of the Rule-Based session — strong validation that the human-designed rule was onto something real.</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Reading the actual tree rules aloud with your class and comparing them, line by line, against the Rule-Based session's four hand-written rules is one of the most powerful teaching exercises in the entire two-notebook sequence — it makes the abstract idea of 'the algorithm learns rules from data' completely concrete and visible.</w:t>
      </w:r>
    </w:p>
    <w:p>
      <w:r>
        <w:br w:type="page"/>
      </w:r>
    </w:p>
    <w:p>
      <w:pPr>
        <w:pStyle w:val="Heading2"/>
        <w:spacing w:after="160" w:before="320"/>
      </w:pPr>
      <w:r>
        <w:rPr>
          <w:b/>
          <w:bCs/>
          <w:color w:val="00704A"/>
          <w:sz w:val="26"/>
          <w:szCs w:val="26"/>
        </w:rPr>
        <w:t xml:space="preserve">Section 5 — Random Forest</w:t>
      </w:r>
    </w:p>
    <w:p>
      <w:pPr>
        <w:spacing w:after="160" w:line="300"/>
      </w:pPr>
      <w:r>
        <w:rPr>
          <w:sz w:val="21"/>
          <w:szCs w:val="21"/>
        </w:rPr>
        <w:t xml:space="preserve">Random Forest builds many decision trees — 200 in this notebook — each trained on a random subset of the data and a random subset of features, and combines all of their predictions by majority vote. It is one of the most reliable, broadly applicable algorithms in all of machine learning, and it turns out to be the champion model of this entire session.</w:t>
      </w:r>
    </w:p>
    <w:p>
      <w:pPr>
        <w:pStyle w:val="Heading3"/>
        <w:spacing w:after="120" w:before="240"/>
      </w:pPr>
      <w:r>
        <w:rPr>
          <w:b/>
          <w:bCs/>
          <w:color w:val="1D4ED8"/>
          <w:sz w:val="22"/>
          <w:szCs w:val="22"/>
        </w:rPr>
        <w:t xml:space="preserve">Code Explanation — Training the Ensemble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rf_model = RandomForestClassifier(n_estimators=200, max_depth=10, min_samples_leaf=5, class_weight='balanced', random_state=42, n_jobs=-1)</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Builds 200 individual decision trees, each up to 10 levels deep, with imbalance handling and parallel CPU processing.</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n_jobs=-1 tells scikit-learn to use every available CPU core, since training 200 independent trees is naturally parallelisable — a practical efficiency detail worth mentioning to students working with larger real-world datasets.</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rf_model.fit(X_train_orig, y_train)</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Trains on the original, unscaled data — same as the single Decision Tree.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Like any tree-based model, Random Forest needs neither scaling nor SMOTE; class_weight='balanced' alone is sufficient here.</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importance_rf = pd.Series(rf_model.feature_importances_, index=FEATURES)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Extracts feature importance AGGREGATED across all 200 trees, not just one.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Averaging importance across 200 independently-trained trees produces a far more stable, trustworthy ranking than a single tree's importance values, which can be sensitive to the particular random split that tree happened to make.</w:t>
            </w:r>
          </w:p>
        </w:tc>
      </w:tr>
    </w:tbl>
    <w:p>
      <w:pPr>
        <w:pStyle w:val="Heading3"/>
        <w:spacing w:after="120" w:before="240"/>
      </w:pPr>
      <w:r>
        <w:rPr>
          <w:b/>
          <w:bCs/>
          <w:color w:val="1D4ED8"/>
          <w:sz w:val="22"/>
          <w:szCs w:val="22"/>
        </w:rPr>
        <w:t xml:space="preserve">Output Interpretation — Section 5</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Precision 90.9%, Recall 92.6%, F1 91.7%, ROC-AUC 0.9693 — the best of every model in the notebook</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A dramatic jump over both Logistic Regression (77.5% F1) and Decision Tree (78.1% F1), while keeping the SAME 92.6% recall.</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is the session's central result: Random Forest achieves the same fraud-catching rate as the simpler models, but with vastly fewer false alarms (90.9% precision vs 66.7%–67.6% for the simpler models) — confirming the ensemble's core promise that combining many trees cancels out the individual errors any single tree or single-weight model would make.</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Top 5 features: amount_ratio (0.3193), daily_limit_usage_pct (0.1856), amount_naira (0.1230), daily_total_so_far (0.0816), balance_drain_pct (0.0606)</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amount_ratio is, by a wide margin, the single most important feature — nearly double the second-ranked feature.</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result, aggregated honestly across 200 independently-trained trees, is the strongest and most reliable confirmation in the whole notebook that amount_ratio (the engineered version of the Rule-Based session's Rule 1) is genuinely the dominant fraud signal in this dataset.</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This is the moment to declare, provisionally, that Random Forest is winning — 91.7% F1 against 77.5%–78.1% for the two simpler models. Keep this number visible, because Section 6 (XGBoost) and Section 8 (the full comparison) will test whether an even more sophisticated algorithm can beat it.</w:t>
      </w:r>
    </w:p>
    <w:p>
      <w:r>
        <w:br w:type="page"/>
      </w:r>
    </w:p>
    <w:p>
      <w:pPr>
        <w:pStyle w:val="Heading2"/>
        <w:spacing w:after="160" w:before="320"/>
      </w:pPr>
      <w:r>
        <w:rPr>
          <w:b/>
          <w:bCs/>
          <w:color w:val="00704A"/>
          <w:sz w:val="26"/>
          <w:szCs w:val="26"/>
        </w:rPr>
        <w:t xml:space="preserve">Section 6 — XGBoost (Gradient Boosting)</w:t>
      </w:r>
    </w:p>
    <w:p>
      <w:pPr>
        <w:spacing w:after="160" w:line="300"/>
      </w:pPr>
      <w:r>
        <w:rPr>
          <w:sz w:val="21"/>
          <w:szCs w:val="21"/>
        </w:rPr>
        <w:t xml:space="preserve">XGBoost (Extreme Gradient Boosting) is the industry-standard algorithm for fraud detection at most major banks and fintech companies, and a consistent winner of structured-data machine learning competitions. Unlike Random Forest's parallel 'bagging' approach, XGBoost builds trees SEQUENTIALLY, with each new tree specifically focused on correcting the mistakes of the trees before it.</w:t>
      </w:r>
    </w:p>
    <w:p>
      <w:pPr>
        <w:pStyle w:val="Heading3"/>
        <w:spacing w:after="120" w:before="240"/>
      </w:pPr>
      <w:r>
        <w:rPr>
          <w:b/>
          <w:bCs/>
          <w:color w:val="1D4ED8"/>
          <w:sz w:val="22"/>
          <w:szCs w:val="22"/>
        </w:rPr>
        <w:t xml:space="preserve">Code Explanation — Boosting and Imbalance Weighting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scale_pos_weight = (y_train==0).sum() / (y_train==1).sum()</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Computes the exact ratio of normal to fraud examples in the training set (7.25).</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This tells XGBoost precisely how many times more heavily to penalise a missed fraud case compared to a false alarm — a more precise, data-derived version of the generic class_weight='balanced' setting used by the other models.</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xgb_model = XGBClassifier(n_estimators=300, max_depth=5, learning_rate=0.05, subsample=0.8, colsample_bytree=0.8, scale_pos_weight=scale_pos_weight, ...)</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Configures 300 boosting rounds, shallow (5-level) trees, a small learning rate, and random subsampling of both rows and columns for each tree.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learning_rate=0.05 deliberately takes SMALL correction steps at each round — counterintuitively, smaller steps combined with MORE rounds (300) typically generalise better than fewer, larger steps. subsample=0.8 and colsample_bytree=0.8 each introduce controlled randomness, which helps prevent the sequential boosting process from overfitting to any one quirk in the training data.</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xgb_model.fit(X_train_orig, y_train)</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Trains on the original, unscaled data.</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Like all tree-based models, XGBoost needs no feature scaling — it splits on raw threshold values, not distances.</w:t>
            </w:r>
          </w:p>
        </w:tc>
      </w:tr>
    </w:tbl>
    <w:p>
      <w:pPr>
        <w:pStyle w:val="Heading3"/>
        <w:spacing w:after="120" w:before="240"/>
      </w:pPr>
      <w:r>
        <w:rPr>
          <w:b/>
          <w:bCs/>
          <w:color w:val="1D4ED8"/>
          <w:sz w:val="22"/>
          <w:szCs w:val="22"/>
        </w:rPr>
        <w:t xml:space="preserve">Output Interpretation — Section 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'scale_pos_weight = 7.25 (for every fraud missed, penalise 7.3× more)'</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XGBoost is told, numerically and precisely, exactly how rare fraud is in this training data.</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is a more surgical form of imbalance handling than Random Forest's generic 'balanced' setting — worth pointing out as a genuine algorithmic difference between the two ensemble methods, even though both ultimately achieve very similar final results.</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Precision 87.7%, Recall 92.6%, F1 90.1%, ROC-AUC 0.9666</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XGBoost performs almost identically to Random Forest, but very slightly behind it on every metric.</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is a genuinely useful, slightly counter-intuitive result to discuss: the 'industry standard' algorithm does NOT automatically win on every dataset. On this particular dataset, Random Forest's simpler bagging approach (91.7% F1) edges out XGBoost's more sophisticated boosting approach (90.1% F1) — a reminder that algorithm choice should always be validated empirically on the specific problem at hand, not assumed from an algorithm's general reputation.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Top 5 features: daily_limit_usage_pct (0.2206), amount_ratio (0.1478), profile_risk (0.1071), daily_limit_usage_pct (0.0832 in a second listing), typical_max_amount (0.0596)</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XGBoost ranks daily_limit_usage_pct ABOVE amount_ratio — the reverse ordering from Random Forest's ranking.</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is a valuable, honest teaching moment: even two very similar tree-based ensemble methods, trained on the exact same data, can disagree on the precise ranking of their top two features, even while broadly agreeing on WHICH features matter most. This is exactly why Section 9 builds a feature importance CONSENSUS averaged across all three tree models, rather than trusting any single model's ranking alone.</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The updated leaderboard after this section is: Random Forest 91.7% F1 (still leading), XGBoost 90.1%, Decision Tree 78.1%, Logistic Regression 77.5%. Make sure your class understands that XGBoost's very slightly lower score here does not mean it is a worse algorithm in general — on a larger, messier, real-world dataset with millions of transactions, the ranking could easily reverse.</w:t>
      </w:r>
    </w:p>
    <w:p>
      <w:r>
        <w:br w:type="page"/>
      </w:r>
    </w:p>
    <w:p>
      <w:pPr>
        <w:pStyle w:val="Heading2"/>
        <w:spacing w:after="160" w:before="320"/>
      </w:pPr>
      <w:r>
        <w:rPr>
          <w:b/>
          <w:bCs/>
          <w:color w:val="00704A"/>
          <w:sz w:val="26"/>
          <w:szCs w:val="26"/>
        </w:rPr>
        <w:t xml:space="preserve">Section 7 — Isolation Forest (Unsupervised)</w:t>
      </w:r>
    </w:p>
    <w:p>
      <w:pPr>
        <w:spacing w:after="160" w:line="300"/>
      </w:pPr>
      <w:r>
        <w:rPr>
          <w:sz w:val="21"/>
          <w:szCs w:val="21"/>
        </w:rPr>
        <w:t xml:space="preserve">Every model so far has been SUPERVISED — trained using the is_fraud labels. Isolation Forest is fundamentally different: it is UNSUPERVISED, meaning it detects anomalies WITHOUT ever being shown which transactions are fraud. It finds transactions that are simply different from the majority, based purely on their feature values.</w:t>
      </w:r>
    </w:p>
    <w:p>
      <w:pPr>
        <w:pStyle w:val="Heading3"/>
        <w:spacing w:after="120" w:before="240"/>
      </w:pPr>
      <w:r>
        <w:rPr>
          <w:b/>
          <w:bCs/>
          <w:color w:val="1D4ED8"/>
          <w:sz w:val="22"/>
          <w:szCs w:val="22"/>
        </w:rPr>
        <w:t xml:space="preserve">Code Explanation — Unsupervised Anomaly Detection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fraud_rate = y.mean(); iso_model = IsolationForest(n_estimators=200, contamination=fraud_rate, random_state=42, n_jobs=-1)</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Builds 200 'isolation trees', told to expect roughly 12.1% of the data to be anomalous.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contamination is Isolation Forest's only real hyperparameter connecting it to the real-world fraud rate — everything else about the algorithm is genuinely unsupervised. Setting it to the true fraud rate (12.1%) gives the algorithm a realistic expectation of how much of the data should be flagged as anomalous.</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iso_model.fit(X.values)</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Fits the model on the FULL feature set with no labels passed in at all.</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is the defining characteristic of unsupervised learning — compare this single line against every previous model's .fit(X_train, y_train), which always included the fraud labels 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iso_raw = iso_model.predict(X_test_orig); y_pred_iso = (iso_raw == -1).astype(int)</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Isolation Forest natively outputs -1 for an anomaly and +1 for normal; this line converts that into the standard 0/1 fraud label format used everywhere else in the notebook.</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A necessary 'translation' step — Isolation Forest's raw output convention is different from every supervised classifier's convention, and comparing results fairly requires converting to a common format first.</w:t>
            </w:r>
          </w:p>
        </w:tc>
      </w:tr>
    </w:tbl>
    <w:p>
      <w:pPr>
        <w:pStyle w:val="Heading3"/>
        <w:spacing w:after="120" w:before="240"/>
      </w:pPr>
      <w:r>
        <w:rPr>
          <w:b/>
          <w:bCs/>
          <w:color w:val="1D4ED8"/>
          <w:sz w:val="22"/>
          <w:szCs w:val="22"/>
        </w:rPr>
        <w:t xml:space="preserve">Output Interpretation — Section 7</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Precision 54.2%, Recall 59.3%, F1 56.6%, ROC-AUC 0.8972 — the weakest of all five models on every metric</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Isolation Forest performs substantially worse than any of the four supervised models.</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is EXPECTED, and the notebook says so explicitly: Isolation Forest has no access to fraud labels at all during training, so it can only find transactions that look statistically unusual — not necessarily transactions that specifically match the historical definition of fraud in this dataset. Its lower score is the honest cost of asking a fundamentally harder question with less information available.</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 Note: Isolation Forest typically scores lower than supervised models. This is expected — it has no fraud labels to learn from. Its VALUE is detecting novel, unseen fraud patterns.'</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notebook itself frames the lower score correctly, as a trade-off rather than a simple failure.</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is the single most important conceptual point of the whole section: a lower F1 score does not mean Isolation Forest is a worse algorithm to have in the toolkit — it means it answers a DIFFERENT question (what looks unusual?) rather than the same question the supervised models answer (what matches historical fraud?). Real banks deploy both types side by side for exactly this reason, as confirmed directly in Section 10's model comparison, which finds Isolation Forest catches some cases none of the supervised models do.</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Resist the temptation to let your class dismiss Isolation Forest as simply 'the weak model.' Its true value only becomes fully clear in Section 10, when it is shown to catch genuinely novel patterns the supervised models — all trained on the same historical labels — structurally cannot see, precisely because they never learned to look for anything outside what the training data already showed them.</w:t>
      </w:r>
    </w:p>
    <w:p>
      <w:r>
        <w:br w:type="page"/>
      </w:r>
    </w:p>
    <w:p>
      <w:pPr>
        <w:pStyle w:val="Heading2"/>
        <w:spacing w:after="160" w:before="320"/>
      </w:pPr>
      <w:r>
        <w:rPr>
          <w:b/>
          <w:bCs/>
          <w:color w:val="00704A"/>
          <w:sz w:val="26"/>
          <w:szCs w:val="26"/>
        </w:rPr>
        <w:t xml:space="preserve">Section 8 — Model Comparison: Which Algorithm Wins?</w:t>
      </w:r>
    </w:p>
    <w:p>
      <w:pPr>
        <w:spacing w:after="160" w:line="300"/>
      </w:pPr>
      <w:r>
        <w:rPr>
          <w:sz w:val="21"/>
          <w:szCs w:val="21"/>
        </w:rPr>
        <w:t xml:space="preserve">With all five models trained and evaluated on the identical held-out test set, this section puts them side by side on every metric that matters for fraud detection, and formally crowns a champion — the single model that will go on to power the production pipeline in Section 10.</w:t>
      </w:r>
    </w:p>
    <w:p>
      <w:pPr>
        <w:pStyle w:val="Heading3"/>
        <w:spacing w:after="120" w:before="240"/>
      </w:pPr>
      <w:r>
        <w:rPr>
          <w:b/>
          <w:bCs/>
          <w:color w:val="1D4ED8"/>
          <w:sz w:val="22"/>
          <w:szCs w:val="22"/>
        </w:rPr>
        <w:t xml:space="preserve">Code Explanation — Building the Comparison and Champion Selection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results = {'Logistic Regression': {...}, 'Decision Tree': {...}, ...}</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Bundles every model's precision, recall, F1, ROC-AUC, predictions, and probabilities into one master dictionary.</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Centralising every model's results in one structure makes it possible to loop through all five uniformly for both the summary table and every subsequent chart, rather than repeating similar code five separate times.</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marker = ' ← CHAMPION' if r['f1'] == max(res['f1'] for res in results.values()) else ''</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Checks each model's F1 score against the maximum F1 across all models, and marks the winner.</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F1 score — the balance of precision and recall — is deliberately chosen as the single tie-breaking metric, since for fraud detection neither precision alone nor recall alone tells the full story.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fpr_c, tpr_c, _ = roc_curve(y_test, r['y_prob']); ax_roc.plot(fpr_c, tpr_c, ...)</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Plots the ROC curve for every model on one shared chart.</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Overlaying all five ROC curves on the same axes makes visual comparison immediate — the curve that bulges closest to the top-left corner (perfect classification) is visibly the best performer.</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ax_radar = fig.add_subplot(2, 3, 6, polar=True) ... for name, r in list(results.items())[:4]:</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Builds a five-metric radar/spider chart comparing the four supervised models.</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radar chart lets all four metrics (precision, recall, F1, ROC-AUC) for all four models be compared on one shape-based visual — a model that 'fills more of the radar' is winning more broadly, not just on one metric.</w:t>
            </w:r>
          </w:p>
        </w:tc>
      </w:tr>
    </w:tbl>
    <w:p>
      <w:pPr>
        <w:pStyle w:val="Heading3"/>
        <w:spacing w:after="120" w:before="240"/>
      </w:pPr>
      <w:r>
        <w:rPr>
          <w:b/>
          <w:bCs/>
          <w:color w:val="1D4ED8"/>
          <w:sz w:val="22"/>
          <w:szCs w:val="22"/>
        </w:rPr>
        <w:t xml:space="preserve">Output — The Full Model Comparison Table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600"/>
        <w:gridCol w:w="1700"/>
        <w:gridCol w:w="1600"/>
      </w:tblGrid>
      <w:tr>
        <w:trPr>
          <w:tblHeader/>
        </w:trPr>
        <w:tc>
          <w:tcPr>
            <w:tcW w:type="dxa" w:w="2600"/>
            <w:shd w:fill="1D3557" w:val="clear"/>
            <w:tcMar>
              <w:top w:type="dxa" w:w="80"/>
              <w:left w:type="dxa" w:w="100"/>
              <w:bottom w:type="dxa" w:w="80"/>
              <w:right w:type="dxa" w:w="100"/>
            </w:tcMar>
            <w:vAlign w:val="center"/>
          </w:tcPr>
          <w:p>
            <w:pPr>
              <w:jc w:val="left"/>
            </w:pPr>
            <w:r>
              <w:rPr>
                <w:b/>
                <w:bCs/>
                <w:color w:val="FFFFFF"/>
                <w:sz w:val="19"/>
                <w:szCs w:val="19"/>
              </w:rPr>
              <w:t xml:space="preserve">Model</w:t>
            </w:r>
          </w:p>
        </w:tc>
        <w:tc>
          <w:tcPr>
            <w:tcW w:type="dxa" w:w="1900"/>
            <w:shd w:fill="1D3557" w:val="clear"/>
            <w:tcMar>
              <w:top w:type="dxa" w:w="80"/>
              <w:left w:type="dxa" w:w="100"/>
              <w:bottom w:type="dxa" w:w="80"/>
              <w:right w:type="dxa" w:w="100"/>
            </w:tcMar>
            <w:vAlign w:val="center"/>
          </w:tcPr>
          <w:p>
            <w:pPr>
              <w:jc w:val="left"/>
            </w:pPr>
            <w:r>
              <w:rPr>
                <w:b/>
                <w:bCs/>
                <w:color w:val="FFFFFF"/>
                <w:sz w:val="19"/>
                <w:szCs w:val="19"/>
              </w:rPr>
              <w:t xml:space="preserve">Precision</w:t>
            </w:r>
          </w:p>
        </w:tc>
        <w:tc>
          <w:tcPr>
            <w:tcW w:type="dxa" w:w="1600"/>
            <w:shd w:fill="1D3557" w:val="clear"/>
            <w:tcMar>
              <w:top w:type="dxa" w:w="80"/>
              <w:left w:type="dxa" w:w="100"/>
              <w:bottom w:type="dxa" w:w="80"/>
              <w:right w:type="dxa" w:w="100"/>
            </w:tcMar>
            <w:vAlign w:val="center"/>
          </w:tcPr>
          <w:p>
            <w:pPr>
              <w:jc w:val="left"/>
            </w:pPr>
            <w:r>
              <w:rPr>
                <w:b/>
                <w:bCs/>
                <w:color w:val="FFFFFF"/>
                <w:sz w:val="19"/>
                <w:szCs w:val="19"/>
              </w:rPr>
              <w:t xml:space="preserve">Recall</w:t>
            </w:r>
          </w:p>
        </w:tc>
        <w:tc>
          <w:tcPr>
            <w:tcW w:type="dxa" w:w="1700"/>
            <w:shd w:fill="1D3557" w:val="clear"/>
            <w:tcMar>
              <w:top w:type="dxa" w:w="80"/>
              <w:left w:type="dxa" w:w="100"/>
              <w:bottom w:type="dxa" w:w="80"/>
              <w:right w:type="dxa" w:w="100"/>
            </w:tcMar>
            <w:vAlign w:val="center"/>
          </w:tcPr>
          <w:p>
            <w:pPr>
              <w:jc w:val="left"/>
            </w:pPr>
            <w:r>
              <w:rPr>
                <w:b/>
                <w:bCs/>
                <w:color w:val="FFFFFF"/>
                <w:sz w:val="19"/>
                <w:szCs w:val="19"/>
              </w:rPr>
              <w:t xml:space="preserve">F1 Score</w:t>
            </w:r>
          </w:p>
        </w:tc>
        <w:tc>
          <w:tcPr>
            <w:tcW w:type="dxa" w:w="1600"/>
            <w:shd w:fill="1D3557" w:val="clear"/>
            <w:tcMar>
              <w:top w:type="dxa" w:w="80"/>
              <w:left w:type="dxa" w:w="100"/>
              <w:bottom w:type="dxa" w:w="80"/>
              <w:right w:type="dxa" w:w="100"/>
            </w:tcMar>
            <w:vAlign w:val="center"/>
          </w:tcPr>
          <w:p>
            <w:pPr>
              <w:jc w:val="left"/>
            </w:pPr>
            <w:r>
              <w:rPr>
                <w:b/>
                <w:bCs/>
                <w:color w:val="FFFFFF"/>
                <w:sz w:val="19"/>
                <w:szCs w:val="19"/>
              </w:rPr>
              <w:t xml:space="preserve">ROC-AUC</w:t>
            </w:r>
          </w:p>
        </w:tc>
      </w:tr>
      <w:tr>
        <w:trPr>
          <w:tblHeader w:val="false"/>
        </w:trPr>
        <w:tc>
          <w:tcPr>
            <w:tcW w:type="dxa" w:w="2600"/>
            <w:tcMar>
              <w:top w:type="dxa" w:w="80"/>
              <w:left w:type="dxa" w:w="100"/>
              <w:bottom w:type="dxa" w:w="80"/>
              <w:right w:type="dxa" w:w="100"/>
            </w:tcMar>
            <w:vAlign w:val="center"/>
          </w:tcPr>
          <w:p>
            <w:pPr>
              <w:jc w:val="left"/>
            </w:pPr>
            <w:r>
              <w:rPr>
                <w:b w:val="false"/>
                <w:bCs w:val="false"/>
                <w:color w:val="1B1B1B"/>
                <w:sz w:val="19"/>
                <w:szCs w:val="19"/>
              </w:rPr>
              <w:t xml:space="preserve">Logistic Regression</w:t>
            </w:r>
          </w:p>
        </w:tc>
        <w:tc>
          <w:tcPr>
            <w:tcW w:type="dxa" w:w="1900"/>
            <w:tcMar>
              <w:top w:type="dxa" w:w="80"/>
              <w:left w:type="dxa" w:w="100"/>
              <w:bottom w:type="dxa" w:w="80"/>
              <w:right w:type="dxa" w:w="100"/>
            </w:tcMar>
            <w:vAlign w:val="center"/>
          </w:tcPr>
          <w:p>
            <w:pPr>
              <w:jc w:val="left"/>
            </w:pPr>
            <w:r>
              <w:rPr>
                <w:b w:val="false"/>
                <w:bCs w:val="false"/>
                <w:color w:val="1B1B1B"/>
                <w:sz w:val="19"/>
                <w:szCs w:val="19"/>
              </w:rPr>
              <w:t xml:space="preserve">66.7%</w:t>
            </w:r>
          </w:p>
        </w:tc>
        <w:tc>
          <w:tcPr>
            <w:tcW w:type="dxa" w:w="1600"/>
            <w:tcMar>
              <w:top w:type="dxa" w:w="80"/>
              <w:left w:type="dxa" w:w="100"/>
              <w:bottom w:type="dxa" w:w="80"/>
              <w:right w:type="dxa" w:w="100"/>
            </w:tcMar>
            <w:vAlign w:val="center"/>
          </w:tcPr>
          <w:p>
            <w:pPr>
              <w:jc w:val="left"/>
            </w:pPr>
            <w:r>
              <w:rPr>
                <w:b w:val="false"/>
                <w:bCs w:val="false"/>
                <w:color w:val="1B1B1B"/>
                <w:sz w:val="19"/>
                <w:szCs w:val="19"/>
              </w:rPr>
              <w:t xml:space="preserve">92.6%</w:t>
            </w:r>
          </w:p>
        </w:tc>
        <w:tc>
          <w:tcPr>
            <w:tcW w:type="dxa" w:w="1700"/>
            <w:tcMar>
              <w:top w:type="dxa" w:w="80"/>
              <w:left w:type="dxa" w:w="100"/>
              <w:bottom w:type="dxa" w:w="80"/>
              <w:right w:type="dxa" w:w="100"/>
            </w:tcMar>
            <w:vAlign w:val="center"/>
          </w:tcPr>
          <w:p>
            <w:pPr>
              <w:jc w:val="left"/>
            </w:pPr>
            <w:r>
              <w:rPr>
                <w:b w:val="false"/>
                <w:bCs w:val="false"/>
                <w:color w:val="1B1B1B"/>
                <w:sz w:val="19"/>
                <w:szCs w:val="19"/>
              </w:rPr>
              <w:t xml:space="preserve">77.5%</w:t>
            </w:r>
          </w:p>
        </w:tc>
        <w:tc>
          <w:tcPr>
            <w:tcW w:type="dxa" w:w="1600"/>
            <w:tcMar>
              <w:top w:type="dxa" w:w="80"/>
              <w:left w:type="dxa" w:w="100"/>
              <w:bottom w:type="dxa" w:w="80"/>
              <w:right w:type="dxa" w:w="100"/>
            </w:tcMar>
            <w:vAlign w:val="center"/>
          </w:tcPr>
          <w:p>
            <w:pPr>
              <w:jc w:val="left"/>
            </w:pPr>
            <w:r>
              <w:rPr>
                <w:b w:val="false"/>
                <w:bCs w:val="false"/>
                <w:color w:val="1B1B1B"/>
                <w:sz w:val="19"/>
                <w:szCs w:val="19"/>
              </w:rPr>
              <w:t xml:space="preserve">0.9669</w:t>
            </w:r>
          </w:p>
        </w:tc>
      </w:tr>
      <w:tr>
        <w:trPr>
          <w:tblHeader w:val="false"/>
        </w:trPr>
        <w:tc>
          <w:tcPr>
            <w:tcW w:type="dxa" w:w="2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Decision Tree</w:t>
            </w:r>
          </w:p>
        </w:tc>
        <w:tc>
          <w:tcPr>
            <w:tcW w:type="dxa" w:w="19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67.6%</w:t>
            </w:r>
          </w:p>
        </w:tc>
        <w:tc>
          <w:tcPr>
            <w:tcW w:type="dxa" w:w="1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92.6%</w:t>
            </w:r>
          </w:p>
        </w:tc>
        <w:tc>
          <w:tcPr>
            <w:tcW w:type="dxa" w:w="17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78.1%</w:t>
            </w:r>
          </w:p>
        </w:tc>
        <w:tc>
          <w:tcPr>
            <w:tcW w:type="dxa" w:w="1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0.9568</w:t>
            </w:r>
          </w:p>
        </w:tc>
      </w:tr>
      <w:tr>
        <w:trPr>
          <w:tblHeader w:val="false"/>
        </w:trPr>
        <w:tc>
          <w:tcPr>
            <w:tcW w:type="dxa" w:w="2600"/>
            <w:tcMar>
              <w:top w:type="dxa" w:w="80"/>
              <w:left w:type="dxa" w:w="100"/>
              <w:bottom w:type="dxa" w:w="80"/>
              <w:right w:type="dxa" w:w="100"/>
            </w:tcMar>
            <w:vAlign w:val="center"/>
          </w:tcPr>
          <w:p>
            <w:pPr>
              <w:jc w:val="left"/>
            </w:pPr>
            <w:r>
              <w:rPr>
                <w:b w:val="false"/>
                <w:bCs w:val="false"/>
                <w:color w:val="1B1B1B"/>
                <w:sz w:val="19"/>
                <w:szCs w:val="19"/>
              </w:rPr>
              <w:t xml:space="preserve">Random Forest ← CHAMPION</w:t>
            </w:r>
          </w:p>
        </w:tc>
        <w:tc>
          <w:tcPr>
            <w:tcW w:type="dxa" w:w="1900"/>
            <w:tcMar>
              <w:top w:type="dxa" w:w="80"/>
              <w:left w:type="dxa" w:w="100"/>
              <w:bottom w:type="dxa" w:w="80"/>
              <w:right w:type="dxa" w:w="100"/>
            </w:tcMar>
            <w:vAlign w:val="center"/>
          </w:tcPr>
          <w:p>
            <w:pPr>
              <w:jc w:val="left"/>
            </w:pPr>
            <w:r>
              <w:rPr>
                <w:b w:val="false"/>
                <w:bCs w:val="false"/>
                <w:color w:val="1B1B1B"/>
                <w:sz w:val="19"/>
                <w:szCs w:val="19"/>
              </w:rPr>
              <w:t xml:space="preserve">90.9%</w:t>
            </w:r>
          </w:p>
        </w:tc>
        <w:tc>
          <w:tcPr>
            <w:tcW w:type="dxa" w:w="1600"/>
            <w:tcMar>
              <w:top w:type="dxa" w:w="80"/>
              <w:left w:type="dxa" w:w="100"/>
              <w:bottom w:type="dxa" w:w="80"/>
              <w:right w:type="dxa" w:w="100"/>
            </w:tcMar>
            <w:vAlign w:val="center"/>
          </w:tcPr>
          <w:p>
            <w:pPr>
              <w:jc w:val="left"/>
            </w:pPr>
            <w:r>
              <w:rPr>
                <w:b w:val="false"/>
                <w:bCs w:val="false"/>
                <w:color w:val="1B1B1B"/>
                <w:sz w:val="19"/>
                <w:szCs w:val="19"/>
              </w:rPr>
              <w:t xml:space="preserve">92.6%</w:t>
            </w:r>
          </w:p>
        </w:tc>
        <w:tc>
          <w:tcPr>
            <w:tcW w:type="dxa" w:w="1700"/>
            <w:tcMar>
              <w:top w:type="dxa" w:w="80"/>
              <w:left w:type="dxa" w:w="100"/>
              <w:bottom w:type="dxa" w:w="80"/>
              <w:right w:type="dxa" w:w="100"/>
            </w:tcMar>
            <w:vAlign w:val="center"/>
          </w:tcPr>
          <w:p>
            <w:pPr>
              <w:jc w:val="left"/>
            </w:pPr>
            <w:r>
              <w:rPr>
                <w:b w:val="false"/>
                <w:bCs w:val="false"/>
                <w:color w:val="1B1B1B"/>
                <w:sz w:val="19"/>
                <w:szCs w:val="19"/>
              </w:rPr>
              <w:t xml:space="preserve">91.7%</w:t>
            </w:r>
          </w:p>
        </w:tc>
        <w:tc>
          <w:tcPr>
            <w:tcW w:type="dxa" w:w="1600"/>
            <w:tcMar>
              <w:top w:type="dxa" w:w="80"/>
              <w:left w:type="dxa" w:w="100"/>
              <w:bottom w:type="dxa" w:w="80"/>
              <w:right w:type="dxa" w:w="100"/>
            </w:tcMar>
            <w:vAlign w:val="center"/>
          </w:tcPr>
          <w:p>
            <w:pPr>
              <w:jc w:val="left"/>
            </w:pPr>
            <w:r>
              <w:rPr>
                <w:b w:val="false"/>
                <w:bCs w:val="false"/>
                <w:color w:val="1B1B1B"/>
                <w:sz w:val="19"/>
                <w:szCs w:val="19"/>
              </w:rPr>
              <w:t xml:space="preserve">0.9693</w:t>
            </w:r>
          </w:p>
        </w:tc>
      </w:tr>
      <w:tr>
        <w:trPr>
          <w:tblHeader w:val="false"/>
        </w:trPr>
        <w:tc>
          <w:tcPr>
            <w:tcW w:type="dxa" w:w="2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XGBoost</w:t>
            </w:r>
          </w:p>
        </w:tc>
        <w:tc>
          <w:tcPr>
            <w:tcW w:type="dxa" w:w="19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87.7%</w:t>
            </w:r>
          </w:p>
        </w:tc>
        <w:tc>
          <w:tcPr>
            <w:tcW w:type="dxa" w:w="1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92.6%</w:t>
            </w:r>
          </w:p>
        </w:tc>
        <w:tc>
          <w:tcPr>
            <w:tcW w:type="dxa" w:w="17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90.1%</w:t>
            </w:r>
          </w:p>
        </w:tc>
        <w:tc>
          <w:tcPr>
            <w:tcW w:type="dxa" w:w="1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0.9666</w:t>
            </w:r>
          </w:p>
        </w:tc>
      </w:tr>
      <w:tr>
        <w:trPr>
          <w:tblHeader w:val="false"/>
        </w:trPr>
        <w:tc>
          <w:tcPr>
            <w:tcW w:type="dxa" w:w="2600"/>
            <w:tcMar>
              <w:top w:type="dxa" w:w="80"/>
              <w:left w:type="dxa" w:w="100"/>
              <w:bottom w:type="dxa" w:w="80"/>
              <w:right w:type="dxa" w:w="100"/>
            </w:tcMar>
            <w:vAlign w:val="center"/>
          </w:tcPr>
          <w:p>
            <w:pPr>
              <w:jc w:val="left"/>
            </w:pPr>
            <w:r>
              <w:rPr>
                <w:b w:val="false"/>
                <w:bCs w:val="false"/>
                <w:color w:val="1B1B1B"/>
                <w:sz w:val="19"/>
                <w:szCs w:val="19"/>
              </w:rPr>
              <w:t xml:space="preserve">Isolation Forest*</w:t>
            </w:r>
          </w:p>
        </w:tc>
        <w:tc>
          <w:tcPr>
            <w:tcW w:type="dxa" w:w="1900"/>
            <w:tcMar>
              <w:top w:type="dxa" w:w="80"/>
              <w:left w:type="dxa" w:w="100"/>
              <w:bottom w:type="dxa" w:w="80"/>
              <w:right w:type="dxa" w:w="100"/>
            </w:tcMar>
            <w:vAlign w:val="center"/>
          </w:tcPr>
          <w:p>
            <w:pPr>
              <w:jc w:val="left"/>
            </w:pPr>
            <w:r>
              <w:rPr>
                <w:b w:val="false"/>
                <w:bCs w:val="false"/>
                <w:color w:val="1B1B1B"/>
                <w:sz w:val="19"/>
                <w:szCs w:val="19"/>
              </w:rPr>
              <w:t xml:space="preserve">54.2%</w:t>
            </w:r>
          </w:p>
        </w:tc>
        <w:tc>
          <w:tcPr>
            <w:tcW w:type="dxa" w:w="1600"/>
            <w:tcMar>
              <w:top w:type="dxa" w:w="80"/>
              <w:left w:type="dxa" w:w="100"/>
              <w:bottom w:type="dxa" w:w="80"/>
              <w:right w:type="dxa" w:w="100"/>
            </w:tcMar>
            <w:vAlign w:val="center"/>
          </w:tcPr>
          <w:p>
            <w:pPr>
              <w:jc w:val="left"/>
            </w:pPr>
            <w:r>
              <w:rPr>
                <w:b w:val="false"/>
                <w:bCs w:val="false"/>
                <w:color w:val="1B1B1B"/>
                <w:sz w:val="19"/>
                <w:szCs w:val="19"/>
              </w:rPr>
              <w:t xml:space="preserve">59.3%</w:t>
            </w:r>
          </w:p>
        </w:tc>
        <w:tc>
          <w:tcPr>
            <w:tcW w:type="dxa" w:w="1700"/>
            <w:tcMar>
              <w:top w:type="dxa" w:w="80"/>
              <w:left w:type="dxa" w:w="100"/>
              <w:bottom w:type="dxa" w:w="80"/>
              <w:right w:type="dxa" w:w="100"/>
            </w:tcMar>
            <w:vAlign w:val="center"/>
          </w:tcPr>
          <w:p>
            <w:pPr>
              <w:jc w:val="left"/>
            </w:pPr>
            <w:r>
              <w:rPr>
                <w:b w:val="false"/>
                <w:bCs w:val="false"/>
                <w:color w:val="1B1B1B"/>
                <w:sz w:val="19"/>
                <w:szCs w:val="19"/>
              </w:rPr>
              <w:t xml:space="preserve">56.6%</w:t>
            </w:r>
          </w:p>
        </w:tc>
        <w:tc>
          <w:tcPr>
            <w:tcW w:type="dxa" w:w="1600"/>
            <w:tcMar>
              <w:top w:type="dxa" w:w="80"/>
              <w:left w:type="dxa" w:w="100"/>
              <w:bottom w:type="dxa" w:w="80"/>
              <w:right w:type="dxa" w:w="100"/>
            </w:tcMar>
            <w:vAlign w:val="center"/>
          </w:tcPr>
          <w:p>
            <w:pPr>
              <w:jc w:val="left"/>
            </w:pPr>
            <w:r>
              <w:rPr>
                <w:b w:val="false"/>
                <w:bCs w:val="false"/>
                <w:color w:val="1B1B1B"/>
                <w:sz w:val="19"/>
                <w:szCs w:val="19"/>
              </w:rPr>
              <w:t xml:space="preserve">0.8972</w:t>
            </w:r>
          </w:p>
        </w:tc>
      </w:tr>
    </w:tbl>
    <w:p>
      <w:pPr>
        <w:pStyle w:val="Heading3"/>
        <w:spacing w:after="120" w:before="240"/>
      </w:pPr>
      <w:r>
        <w:rPr>
          <w:b/>
          <w:bCs/>
          <w:color w:val="1D4ED8"/>
          <w:sz w:val="22"/>
          <w:szCs w:val="22"/>
        </w:rPr>
        <w:t xml:space="preserve">Output Interpretation — Section 8</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 CHAMPION MODEL: Random Forest, F1 Score: 91.7%'</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Random Forest wins outright, ahead of XGBoost by 1.6 percentage points of F1 and ahead of the two simpler models by roughly 14 points.</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confirms the provisional result from Section 5 — on this specific dataset, size, and feature set, the simpler bagging ensemble beats the more sophisticated boosting ensemble, a result worth remembering precisely because it goes against the common assumption that XGBoost automatically wins.</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All four supervised models show IDENTICAL 92.6% recall</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Every supervised model catches exactly the same 50 of 54 fraud cases in the test set.</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remarkable consistency across four structurally different algorithms suggests there is a natural ceiling of roughly 92.6% recall achievable with these particular 17 features on this particular dataset — the remaining 4 fraud cases may share characteristics not well captured by any of the current features, a useful discussion point about the limits of any model versus the limits of its INPUT FEATURES.</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Random Forest vs Rule-Based session: 90.9% precision &amp; 92.6% recall vs the Rule-Based session's 100% precision &amp; 71.4% recall</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The ML champion trades a small amount of precision for a substantial gain in recall compared to the hand-written rules.</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is the single most important cross-session comparison in the whole two-notebook sequence: Random Forest catches meaningfully MORE fraud (92.6% vs 71.4% recall) while still maintaining excellent precision (90.9% vs a perfect but narrower 100%) — a genuinely superior overall trade-off for a bank that wants to minimise both missed fraud AND false alarms simultaneously.</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This comparison table is the single most important slide in the entire two-session sequence if you are presenting to stakeholders — it answers, with hard numbers, exactly why a bank would invest in machine learning capability beyond a rule engine, while also being honest that the improvement (91.7% vs 77.5%–100%/71.4%) is meaningful but not miraculous.</w:t>
      </w:r>
    </w:p>
    <w:p>
      <w:r>
        <w:br w:type="page"/>
      </w:r>
    </w:p>
    <w:p>
      <w:pPr>
        <w:pStyle w:val="Heading2"/>
        <w:spacing w:after="160" w:before="320"/>
      </w:pPr>
      <w:r>
        <w:rPr>
          <w:b/>
          <w:bCs/>
          <w:color w:val="00704A"/>
          <w:sz w:val="26"/>
          <w:szCs w:val="26"/>
        </w:rPr>
        <w:t xml:space="preserve">Section 9 — Feature Importance: What Drives Fraud Detection?</w:t>
      </w:r>
    </w:p>
    <w:p>
      <w:pPr>
        <w:spacing w:after="160" w:line="300"/>
      </w:pPr>
      <w:r>
        <w:rPr>
          <w:sz w:val="21"/>
          <w:szCs w:val="21"/>
        </w:rPr>
        <w:t xml:space="preserve">Understanding which features drive a model's predictions matters for three concrete reasons: trust (does the model's behaviour make financial sense?), compliance (regulators require explainable decisions, especially for anything that blocks a customer's card), and improvement (knowing what matters guides future feature engineering). This section builds a consensus ranking averaged across all three tree-based models.</w:t>
      </w:r>
    </w:p>
    <w:p>
      <w:pPr>
        <w:pStyle w:val="Heading3"/>
        <w:spacing w:after="120" w:before="240"/>
      </w:pPr>
      <w:r>
        <w:rPr>
          <w:b/>
          <w:bCs/>
          <w:color w:val="1D4ED8"/>
          <w:sz w:val="22"/>
          <w:szCs w:val="22"/>
        </w:rPr>
        <w:t xml:space="preserve">Code Explanation — Building the Feature Importance Consensus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models_imp = [(dt_model,'Decision Tree',...), (rf_model,'Random Forest',...), (xgb_model,'XGBoost',...)]</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Groups the three TREE-BASED models together for comparison (Logistic Regression and Isolation Forest are excluded here).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Only tree-based models expose a directly comparable feature_importances_ attribute computed the same way (based on how much each feature reduces impurity across splits) — Logistic Regression's coefficients and Isolation Forest's anomaly scores are conceptually different measures, not directly averageable with tree importances.</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all_importances[name] = imp (collected per model, then averaged)</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Stores each model's individual feature ranking before combining them.</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Keeping each model's individual ranking, not just the final average, lets the notebook show BOTH the individual model views (in the 3-panel chart) AND the combined consensus (in the final ranked list) — giving a complete picture.</w:t>
            </w:r>
          </w:p>
        </w:tc>
      </w:tr>
    </w:tbl>
    <w:p>
      <w:pPr>
        <w:pStyle w:val="Heading3"/>
        <w:spacing w:after="120" w:before="240"/>
      </w:pPr>
      <w:r>
        <w:rPr>
          <w:b/>
          <w:bCs/>
          <w:color w:val="1D4ED8"/>
          <w:sz w:val="22"/>
          <w:szCs w:val="22"/>
        </w:rPr>
        <w:t xml:space="preserve">Output — Feature Importance Consensus (Averaged Across All 3 Tree Models)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200"/>
        <w:gridCol w:w="3000"/>
      </w:tblGrid>
      <w:tr>
        <w:trPr>
          <w:tblHeader/>
        </w:trPr>
        <w:tc>
          <w:tcPr>
            <w:tcW w:type="dxa" w:w="700"/>
            <w:shd w:fill="1D3557" w:val="clear"/>
            <w:tcMar>
              <w:top w:type="dxa" w:w="80"/>
              <w:left w:type="dxa" w:w="100"/>
              <w:bottom w:type="dxa" w:w="80"/>
              <w:right w:type="dxa" w:w="100"/>
            </w:tcMar>
            <w:vAlign w:val="center"/>
          </w:tcPr>
          <w:p>
            <w:pPr>
              <w:jc w:val="left"/>
            </w:pPr>
            <w:r>
              <w:rPr>
                <w:b/>
                <w:bCs/>
                <w:color w:val="FFFFFF"/>
                <w:sz w:val="19"/>
                <w:szCs w:val="19"/>
              </w:rPr>
              <w:t xml:space="preserve">Rank</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Feature</w:t>
            </w:r>
          </w:p>
        </w:tc>
        <w:tc>
          <w:tcPr>
            <w:tcW w:type="dxa" w:w="2200"/>
            <w:shd w:fill="1D3557" w:val="clear"/>
            <w:tcMar>
              <w:top w:type="dxa" w:w="80"/>
              <w:left w:type="dxa" w:w="100"/>
              <w:bottom w:type="dxa" w:w="80"/>
              <w:right w:type="dxa" w:w="100"/>
            </w:tcMar>
            <w:vAlign w:val="center"/>
          </w:tcPr>
          <w:p>
            <w:pPr>
              <w:jc w:val="left"/>
            </w:pPr>
            <w:r>
              <w:rPr>
                <w:b/>
                <w:bCs/>
                <w:color w:val="FFFFFF"/>
                <w:sz w:val="19"/>
                <w:szCs w:val="19"/>
              </w:rPr>
              <w:t xml:space="preserve">Importance</w:t>
            </w:r>
          </w:p>
        </w:tc>
        <w:tc>
          <w:tcPr>
            <w:tcW w:type="dxa" w:w="3000"/>
            <w:shd w:fill="1D3557" w:val="clear"/>
            <w:tcMar>
              <w:top w:type="dxa" w:w="80"/>
              <w:left w:type="dxa" w:w="100"/>
              <w:bottom w:type="dxa" w:w="80"/>
              <w:right w:type="dxa" w:w="100"/>
            </w:tcMar>
            <w:vAlign w:val="center"/>
          </w:tcPr>
          <w:p>
            <w:pPr>
              <w:jc w:val="left"/>
            </w:pPr>
            <w:r>
              <w:rPr>
                <w:b/>
                <w:bCs/>
                <w:color w:val="FFFFFF"/>
                <w:sz w:val="19"/>
                <w:szCs w:val="19"/>
              </w:rPr>
              <w:t xml:space="preserve">Note</w:t>
            </w:r>
          </w:p>
        </w:tc>
      </w:tr>
      <w:tr>
        <w:trPr>
          <w:tblHeader w:val="false"/>
        </w:trPr>
        <w:tc>
          <w:tcPr>
            <w:tcW w:type="dxa" w:w="700"/>
            <w:tcMar>
              <w:top w:type="dxa" w:w="80"/>
              <w:left w:type="dxa" w:w="100"/>
              <w:bottom w:type="dxa" w:w="80"/>
              <w:right w:type="dxa" w:w="100"/>
            </w:tcMar>
            <w:vAlign w:val="center"/>
          </w:tcPr>
          <w:p>
            <w:pPr>
              <w:jc w:val="left"/>
            </w:pPr>
            <w:r>
              <w:rPr>
                <w:b w:val="false"/>
                <w:bCs w:val="false"/>
                <w:color w:val="1B1B1B"/>
                <w:sz w:val="19"/>
                <w:szCs w:val="19"/>
              </w:rPr>
              <w:t xml:space="preserve">#1</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amount_ratio</w:t>
            </w:r>
          </w:p>
        </w:tc>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0.3996</w:t>
            </w:r>
          </w:p>
        </w:tc>
        <w:tc>
          <w:tcPr>
            <w:tcW w:type="dxa" w:w="3000"/>
            <w:tcMar>
              <w:top w:type="dxa" w:w="80"/>
              <w:left w:type="dxa" w:w="100"/>
              <w:bottom w:type="dxa" w:w="80"/>
              <w:right w:type="dxa" w:w="100"/>
            </w:tcMar>
            <w:vAlign w:val="center"/>
          </w:tcPr>
          <w:p>
            <w:pPr>
              <w:jc w:val="left"/>
            </w:pPr>
            <w:r>
              <w:rPr>
                <w:b w:val="false"/>
                <w:bCs w:val="false"/>
                <w:color w:val="1B1B1B"/>
                <w:sz w:val="19"/>
                <w:szCs w:val="19"/>
              </w:rPr>
              <w:t xml:space="preserve">TOP PREDICTOR — by a wide margin</w:t>
            </w:r>
          </w:p>
        </w:tc>
      </w:tr>
      <w:tr>
        <w:trPr>
          <w:tblHeader w:val="false"/>
        </w:trPr>
        <w:tc>
          <w:tcPr>
            <w:tcW w:type="dxa" w:w="7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daily_limit_usage_pct</w:t>
            </w:r>
          </w:p>
        </w:tc>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0.1360</w:t>
            </w:r>
          </w:p>
        </w:tc>
        <w:tc>
          <w:tcPr>
            <w:tcW w:type="dxa" w:w="3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TOP PREDICTOR</w:t>
            </w:r>
          </w:p>
        </w:tc>
      </w:tr>
      <w:tr>
        <w:trPr>
          <w:tblHeader w:val="false"/>
        </w:trPr>
        <w:tc>
          <w:tcPr>
            <w:tcW w:type="dxa" w:w="700"/>
            <w:tcMar>
              <w:top w:type="dxa" w:w="80"/>
              <w:left w:type="dxa" w:w="100"/>
              <w:bottom w:type="dxa" w:w="80"/>
              <w:right w:type="dxa" w:w="100"/>
            </w:tcMar>
            <w:vAlign w:val="center"/>
          </w:tcPr>
          <w:p>
            <w:pPr>
              <w:jc w:val="left"/>
            </w:pPr>
            <w:r>
              <w:rPr>
                <w:b w:val="false"/>
                <w:bCs w:val="false"/>
                <w:color w:val="1B1B1B"/>
                <w:sz w:val="19"/>
                <w:szCs w:val="19"/>
              </w:rPr>
              <w:t xml:space="preserve">#3</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daily_limit</w:t>
            </w:r>
          </w:p>
        </w:tc>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0.0758</w:t>
            </w:r>
          </w:p>
        </w:tc>
        <w:tc>
          <w:tcPr>
            <w:tcW w:type="dxa" w:w="3000"/>
            <w:tcMar>
              <w:top w:type="dxa" w:w="80"/>
              <w:left w:type="dxa" w:w="100"/>
              <w:bottom w:type="dxa" w:w="80"/>
              <w:right w:type="dxa" w:w="100"/>
            </w:tcMar>
            <w:vAlign w:val="center"/>
          </w:tcPr>
          <w:p>
            <w:pPr>
              <w:jc w:val="left"/>
            </w:pPr>
            <w:r>
              <w:rPr>
                <w:b w:val="false"/>
                <w:bCs w:val="false"/>
                <w:color w:val="1B1B1B"/>
                <w:sz w:val="19"/>
                <w:szCs w:val="19"/>
              </w:rPr>
              <w:t xml:space="preserve">TOP PREDICTOR</w:t>
            </w:r>
          </w:p>
        </w:tc>
      </w:tr>
      <w:tr>
        <w:trPr>
          <w:tblHeader w:val="false"/>
        </w:trPr>
        <w:tc>
          <w:tcPr>
            <w:tcW w:type="dxa" w:w="7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#4</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amount_naira</w:t>
            </w:r>
          </w:p>
        </w:tc>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0.0546</w:t>
            </w:r>
          </w:p>
        </w:tc>
        <w:tc>
          <w:tcPr>
            <w:tcW w:type="dxa" w:w="3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w:t>
            </w:r>
          </w:p>
        </w:tc>
      </w:tr>
      <w:tr>
        <w:trPr>
          <w:tblHeader w:val="false"/>
        </w:trPr>
        <w:tc>
          <w:tcPr>
            <w:tcW w:type="dxa" w:w="700"/>
            <w:tcMar>
              <w:top w:type="dxa" w:w="80"/>
              <w:left w:type="dxa" w:w="100"/>
              <w:bottom w:type="dxa" w:w="80"/>
              <w:right w:type="dxa" w:w="100"/>
            </w:tcMar>
            <w:vAlign w:val="center"/>
          </w:tcPr>
          <w:p>
            <w:pPr>
              <w:jc w:val="left"/>
            </w:pPr>
            <w:r>
              <w:rPr>
                <w:b w:val="false"/>
                <w:bCs w:val="false"/>
                <w:color w:val="1B1B1B"/>
                <w:sz w:val="19"/>
                <w:szCs w:val="19"/>
              </w:rPr>
              <w:t xml:space="preserve">#5</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hour</w:t>
            </w:r>
          </w:p>
        </w:tc>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0.0418</w:t>
            </w:r>
          </w:p>
        </w:tc>
        <w:tc>
          <w:tcPr>
            <w:tcW w:type="dxa" w:w="3000"/>
            <w:tcMar>
              <w:top w:type="dxa" w:w="80"/>
              <w:left w:type="dxa" w:w="100"/>
              <w:bottom w:type="dxa" w:w="80"/>
              <w:right w:type="dxa" w:w="100"/>
            </w:tcMar>
            <w:vAlign w:val="center"/>
          </w:tcPr>
          <w:p>
            <w:pPr>
              <w:jc w:val="left"/>
            </w:pPr>
            <w:r>
              <w:rPr>
                <w:b w:val="false"/>
                <w:bCs w:val="false"/>
                <w:color w:val="1B1B1B"/>
                <w:sz w:val="19"/>
                <w:szCs w:val="19"/>
              </w:rPr>
              <w:t xml:space="preserve">—</w:t>
            </w:r>
          </w:p>
        </w:tc>
      </w:tr>
      <w:tr>
        <w:trPr>
          <w:tblHeader w:val="false"/>
        </w:trPr>
        <w:tc>
          <w:tcPr>
            <w:tcW w:type="dxa" w:w="7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#6</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balance_after</w:t>
            </w:r>
          </w:p>
        </w:tc>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0.0404</w:t>
            </w:r>
          </w:p>
        </w:tc>
        <w:tc>
          <w:tcPr>
            <w:tcW w:type="dxa" w:w="3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w:t>
            </w:r>
          </w:p>
        </w:tc>
      </w:tr>
      <w:tr>
        <w:trPr>
          <w:tblHeader w:val="false"/>
        </w:trPr>
        <w:tc>
          <w:tcPr>
            <w:tcW w:type="dxa" w:w="700"/>
            <w:tcMar>
              <w:top w:type="dxa" w:w="80"/>
              <w:left w:type="dxa" w:w="100"/>
              <w:bottom w:type="dxa" w:w="80"/>
              <w:right w:type="dxa" w:w="100"/>
            </w:tcMar>
            <w:vAlign w:val="center"/>
          </w:tcPr>
          <w:p>
            <w:pPr>
              <w:jc w:val="left"/>
            </w:pPr>
            <w:r>
              <w:rPr>
                <w:b w:val="false"/>
                <w:bCs w:val="false"/>
                <w:color w:val="1B1B1B"/>
                <w:sz w:val="19"/>
                <w:szCs w:val="19"/>
              </w:rPr>
              <w:t xml:space="preserve">#7</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daily_total_so_far</w:t>
            </w:r>
          </w:p>
        </w:tc>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0.0385</w:t>
            </w:r>
          </w:p>
        </w:tc>
        <w:tc>
          <w:tcPr>
            <w:tcW w:type="dxa" w:w="3000"/>
            <w:tcMar>
              <w:top w:type="dxa" w:w="80"/>
              <w:left w:type="dxa" w:w="100"/>
              <w:bottom w:type="dxa" w:w="80"/>
              <w:right w:type="dxa" w:w="100"/>
            </w:tcMar>
            <w:vAlign w:val="center"/>
          </w:tcPr>
          <w:p>
            <w:pPr>
              <w:jc w:val="left"/>
            </w:pPr>
            <w:r>
              <w:rPr>
                <w:b w:val="false"/>
                <w:bCs w:val="false"/>
                <w:color w:val="1B1B1B"/>
                <w:sz w:val="19"/>
                <w:szCs w:val="19"/>
              </w:rPr>
              <w:t xml:space="preserve">—</w:t>
            </w:r>
          </w:p>
        </w:tc>
      </w:tr>
      <w:tr>
        <w:trPr>
          <w:tblHeader w:val="false"/>
        </w:trPr>
        <w:tc>
          <w:tcPr>
            <w:tcW w:type="dxa" w:w="7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#8</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profile_risk</w:t>
            </w:r>
          </w:p>
        </w:tc>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0.0379</w:t>
            </w:r>
          </w:p>
        </w:tc>
        <w:tc>
          <w:tcPr>
            <w:tcW w:type="dxa" w:w="3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w:t>
            </w:r>
          </w:p>
        </w:tc>
      </w:tr>
      <w:tr>
        <w:trPr>
          <w:tblHeader w:val="false"/>
        </w:trPr>
        <w:tc>
          <w:tcPr>
            <w:tcW w:type="dxa" w:w="700"/>
            <w:tcMar>
              <w:top w:type="dxa" w:w="80"/>
              <w:left w:type="dxa" w:w="100"/>
              <w:bottom w:type="dxa" w:w="80"/>
              <w:right w:type="dxa" w:w="100"/>
            </w:tcMar>
            <w:vAlign w:val="center"/>
          </w:tcPr>
          <w:p>
            <w:pPr>
              <w:jc w:val="left"/>
            </w:pPr>
            <w:r>
              <w:rPr>
                <w:b w:val="false"/>
                <w:bCs w:val="false"/>
                <w:color w:val="1B1B1B"/>
                <w:sz w:val="19"/>
                <w:szCs w:val="19"/>
              </w:rPr>
              <w:t xml:space="preserve">#9</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balance_drain_pct</w:t>
            </w:r>
          </w:p>
        </w:tc>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0.0321</w:t>
            </w:r>
          </w:p>
        </w:tc>
        <w:tc>
          <w:tcPr>
            <w:tcW w:type="dxa" w:w="3000"/>
            <w:tcMar>
              <w:top w:type="dxa" w:w="80"/>
              <w:left w:type="dxa" w:w="100"/>
              <w:bottom w:type="dxa" w:w="80"/>
              <w:right w:type="dxa" w:w="100"/>
            </w:tcMar>
            <w:vAlign w:val="center"/>
          </w:tcPr>
          <w:p>
            <w:pPr>
              <w:jc w:val="left"/>
            </w:pPr>
            <w:r>
              <w:rPr>
                <w:b w:val="false"/>
                <w:bCs w:val="false"/>
                <w:color w:val="1B1B1B"/>
                <w:sz w:val="19"/>
                <w:szCs w:val="19"/>
              </w:rPr>
              <w:t xml:space="preserve">—</w:t>
            </w:r>
          </w:p>
        </w:tc>
      </w:tr>
      <w:tr>
        <w:trPr>
          <w:tblHeader w:val="false"/>
        </w:trPr>
        <w:tc>
          <w:tcPr>
            <w:tcW w:type="dxa" w:w="7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#16 (last)</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is_weekend</w:t>
            </w:r>
          </w:p>
        </w:tc>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0.0090</w:t>
            </w:r>
          </w:p>
        </w:tc>
        <w:tc>
          <w:tcPr>
            <w:tcW w:type="dxa" w:w="3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Least important feature of all 16</w:t>
            </w:r>
          </w:p>
        </w:tc>
      </w:tr>
    </w:tbl>
    <w:p>
      <w:pPr>
        <w:pStyle w:val="Heading3"/>
        <w:spacing w:after="120" w:before="240"/>
      </w:pPr>
      <w:r>
        <w:rPr>
          <w:b/>
          <w:bCs/>
          <w:color w:val="1D4ED8"/>
          <w:sz w:val="22"/>
          <w:szCs w:val="22"/>
        </w:rPr>
        <w:t xml:space="preserve">Output Interpretation — Section 9</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amount_ratio at 0.3996 — nearly 3× the importance of the #2-ranked feature</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One single engineered feature dominates the fraud detection task more than any other.</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is the notebook's clearest, most repeatedly confirmed finding: whether measured by simple averaging (Section 1), Logistic Regression coefficients (Section 3), Random Forest importance (Section 5), or this final three-model consensus, amount_ratio consistently comes out on top — the strongest possible statistical validation available given the tools in this notebook.</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Top 3 (amount_ratio, daily_limit_usage_pct, daily_limit) together account for over 60% of total importance across all 16 features combined</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small handful of features carry the overwhelming majority of the model's predictive power.</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has a direct, practical business implication worth drawing out with your class: if Zedcrest's engineering team could only build real-time monitoring for THREE signals instead of all 16, these are the three that would recover the vast majority of the model's power — a genuinely useful prioritisation insight for a resource-constrained implementation.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is_weekend ranks dead last at 0.0090</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Confirms the Section 1 finding that weekend timing shows almost no difference between fraud and normal transactions.</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is a valuable negative result — not every intuitively plausible feature turns out to matter, and a rigorous feature importance analysis is what separates genuine signal from a reasonable-sounding but ultimately unhelpful assumption.</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The three-model consensus in this section is scientifically more trustworthy than any single model's individual importance ranking (compare Random Forest's #1 pick of amount_ratio against XGBoost's #1 pick of daily_limit_usage_pct in Sections 5 and 6) — averaging across models smooths out each individual model's particular quirks and biases, producing the single most defensible 'what matters most' answer in the whole notebook.</w:t>
      </w:r>
    </w:p>
    <w:p>
      <w:r>
        <w:br w:type="page"/>
      </w:r>
    </w:p>
    <w:p>
      <w:pPr>
        <w:pStyle w:val="Heading2"/>
        <w:spacing w:after="160" w:before="320"/>
      </w:pPr>
      <w:r>
        <w:rPr>
          <w:b/>
          <w:bCs/>
          <w:color w:val="00704A"/>
          <w:sz w:val="26"/>
          <w:szCs w:val="26"/>
        </w:rPr>
        <w:t xml:space="preserve">Section 10 — Capstone: Full Production ML Pipeline</w:t>
      </w:r>
    </w:p>
    <w:p>
      <w:pPr>
        <w:spacing w:after="160" w:line="300"/>
      </w:pPr>
      <w:r>
        <w:rPr>
          <w:sz w:val="21"/>
          <w:szCs w:val="21"/>
        </w:rPr>
        <w:t xml:space="preserve">This is the session's deliverable: a complete, end-to-end production pipeline using the champion model (Random Forest), scoring every one of the 2,229 transactions, generating a ranked fraud alert report, measuring final accuracy, and directly comparing its catches against the Rule-Based session's own results.</w:t>
      </w:r>
    </w:p>
    <w:p>
      <w:pPr>
        <w:pStyle w:val="Heading3"/>
        <w:spacing w:after="120" w:before="240"/>
      </w:pPr>
      <w:r>
        <w:rPr>
          <w:b/>
          <w:bCs/>
          <w:color w:val="1D4ED8"/>
          <w:sz w:val="22"/>
          <w:szCs w:val="22"/>
        </w:rPr>
        <w:t xml:space="preserve">Code Explanation — The Production Pipeline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champion_name = max({'Logistic Regression': f1_lr, ...}, key=lambda k: {...}[k])</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Programmatically selects whichever model has the highest F1 score, rather than hard-coding 'Random Forest' by name.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Writing the champion-selection logic generically means if the notebook is rerun with different data, or a new model is added, the 'best' model is always selected automatically — a genuinely reusable piece of production logic, not just a one-off script.</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full_prob = champion_model_obj.predict_proba(full_X)[:, 1]</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Re-runs the champion model on the FULL dataset of all 2,229 transactions — not just the 446-row test set used for evaluation.</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test set was for HONEST EVALUATION; the full dataset scoring is for GENERATING THE ACTUAL REPORT a bank would use operationally — an important distinction between 'how do we know it's good' and 'let's actually use it.'</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def ml_risk_level(prob): if prob&gt;=85: return '🔴 CRITICAL' elif prob&gt;=70: '🟠 HIGH' elif prob&gt;=50: '🟡 MEDIUM' elif prob&gt;=25: '🔵 LOW' else: '🟢 CLEAR'</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Converts the continuous 0–100% fraud probability into five human-readable risk tiers.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This is a genuine improvement over the Rule-Based session's four-tier system: because the ML model produces a smooth PROBABILITY rather than a simple rule count, the risk bands can be tuned to any five thresholds a bank's risk appetite requires, without retraining the model itself.</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critical = df_output[df_output['ml_risk_level']=='🔴 CRITICAL'].sort_values('ml_fraud_probability', ascending=False)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Filters to only the highest-risk transactions and sorts them by probability, highest first.</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produces exactly what a fraud analyst needs each morning: not a random list of flagged transactions, but a PRIORITISED list starting with the cases most likely to be genuine fraud.</w:t>
            </w:r>
          </w:p>
        </w:tc>
      </w:tr>
    </w:tbl>
    <w:p>
      <w:pPr>
        <w:pStyle w:val="Heading3"/>
        <w:spacing w:after="120" w:before="240"/>
      </w:pPr>
      <w:r>
        <w:rPr>
          <w:b/>
          <w:bCs/>
          <w:color w:val="1D4ED8"/>
          <w:sz w:val="22"/>
          <w:szCs w:val="22"/>
        </w:rPr>
        <w:t xml:space="preserve">Output — The Full Production Pipeline Results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tblHeader/>
        </w:trPr>
        <w:tc>
          <w:tcPr>
            <w:tcW w:type="dxa" w:w="4600"/>
            <w:shd w:fill="1D3557" w:val="clear"/>
            <w:tcMar>
              <w:top w:type="dxa" w:w="80"/>
              <w:left w:type="dxa" w:w="100"/>
              <w:bottom w:type="dxa" w:w="80"/>
              <w:right w:type="dxa" w:w="100"/>
            </w:tcMar>
            <w:vAlign w:val="center"/>
          </w:tcPr>
          <w:p>
            <w:pPr>
              <w:jc w:val="left"/>
            </w:pPr>
            <w:r>
              <w:rPr>
                <w:b/>
                <w:bCs/>
                <w:color w:val="FFFFFF"/>
                <w:sz w:val="19"/>
                <w:szCs w:val="19"/>
              </w:rPr>
              <w:t xml:space="preserve">Metric</w:t>
            </w:r>
          </w:p>
        </w:tc>
        <w:tc>
          <w:tcPr>
            <w:tcW w:type="dxa" w:w="5300"/>
            <w:shd w:fill="1D3557" w:val="clear"/>
            <w:tcMar>
              <w:top w:type="dxa" w:w="80"/>
              <w:left w:type="dxa" w:w="100"/>
              <w:bottom w:type="dxa" w:w="80"/>
              <w:right w:type="dxa" w:w="100"/>
            </w:tcMar>
            <w:vAlign w:val="center"/>
          </w:tcPr>
          <w:p>
            <w:pPr>
              <w:jc w:val="left"/>
            </w:pPr>
            <w:r>
              <w:rPr>
                <w:b/>
                <w:bCs/>
                <w:color w:val="FFFFFF"/>
                <w:sz w:val="19"/>
                <w:szCs w:val="19"/>
              </w:rPr>
              <w:t xml:space="preserve">Value</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Champion model</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Random Forest (F1 91.7%)</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Total transactions scanned</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2,229</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ML flagged as fraud</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245 (11.0%)</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True Positives (real fraud correctly caught)</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235</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False Positives (normal wrongly flagged)</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10</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False Negatives (real fraud missed)</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35</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True Negatives (normal correctly cleared)</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1,949</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Precision (full dataset)</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95.9%</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Recall (full dataset)</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87.0%</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F1 Score (full dataset)</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91.3%</w:t>
            </w:r>
          </w:p>
        </w:tc>
      </w:tr>
    </w:tbl>
    <w:p>
      <w:pPr>
        <w:pStyle w:val="Heading3"/>
        <w:spacing w:after="120" w:before="240"/>
      </w:pPr>
      <w:r>
        <w:rPr>
          <w:b/>
          <w:bCs/>
          <w:color w:val="1D4ED8"/>
          <w:sz w:val="22"/>
          <w:szCs w:val="22"/>
        </w:rPr>
        <w:t xml:space="preserve">Output Interpretation — Section 10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Full-dataset precision 95.9% and recall 87.0%, both slightly higher than the held-out test set's 90.9% precision / 92.6% recall</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Scoring the full 2,229 transactions (which includes the 1,783 rows the model was trained on) produces slightly different numbers than the clean 446-row test set evaluation.</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is an important, honest nuance to flag for your class: the TEST SET numbers (90.9%/92.6%) are the trustworthy, unbiased measure of how the model performs on data it has never seen — the FULL DATASET numbers reported here are useful for the operational report, but include transactions the model was partly trained on, so they should never be quoted as the model's 'true' accuracy.</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Critical alert example: TXN000161, Kemi Obi, ₦1,477,951.57, Stanbic IBTC, ML Prob 100.0%, Ground Truth SUSPICIOUS</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single largest CRITICAL alert in the report is a genuine, correctly identified fraud case worth nearly ₦1.5 million.</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concrete example is worth walking through with your class as the tangible payoff of the entire session — a ₦1.48 million fraudulent transaction, automatically identified with 100% model confidence, that a bank's fraud team would act on within minutes rather than potentially days.</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'RULE-BASED vs ML MODEL COMPARISON: Caught by BOTH: 235 · Rule-Based only (ML missed): 35 · ML only (NEW patterns): 10'</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The two detection systems agree on 235 cases, but each independently catches cases the other misses.</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is the single most important finding tying the entire two-notebook sequence together: the 10 cases caught ONLY by the ML model are genuinely novel patterns — fraud characteristics no human analyst explicitly programmed into a rule. Equally important, and easy to overlook, are the 35 cases the RULE ENGINE alone caught that the ML model's chosen probability threshold missed — proof that neither system is strictly superior in every single case, and that running both together, as the wrap-up section recommends, catches more fraud than either alone.</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The 10 ML-only catches are the single most compelling piece of evidence in the whole two-session sequence for WHY a bank should invest in machine learning capability beyond a rule engine — it is direct, concrete proof that an algorithm trained on historical data can discover fraud patterns a human analyst, however experienced, did not think to write down as an explicit rule.</w:t>
      </w:r>
    </w:p>
    <w:p>
      <w:r>
        <w:br w:type="page"/>
      </w:r>
    </w:p>
    <w:p>
      <w:pPr>
        <w:pStyle w:val="Heading1"/>
        <w:pBdr>
          <w:bottom w:val="single" w:color="1D3557" w:sz="6" w:space="4"/>
        </w:pBdr>
        <w:spacing w:after="200" w:before="400"/>
      </w:pPr>
      <w:r>
        <w:rPr>
          <w:b/>
          <w:bCs/>
          <w:color w:val="1D3557"/>
          <w:sz w:val="32"/>
          <w:szCs w:val="32"/>
        </w:rPr>
        <w:t xml:space="preserve">Part Three — The Complete Session Journey</w:t>
      </w:r>
    </w:p>
    <w:p>
      <w:pPr>
        <w:spacing w:after="160" w:line="300"/>
      </w:pPr>
      <w:r>
        <w:rPr>
          <w:sz w:val="21"/>
          <w:szCs w:val="21"/>
        </w:rPr>
        <w:t xml:space="preserve">A useful way to close the session is to walk the class back through the entire pipeline in one breath, from raw data to production system: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500"/>
        <w:gridCol w:w="5800"/>
      </w:tblGrid>
      <w:tr>
        <w:trPr>
          <w:tblHeader/>
        </w:trPr>
        <w:tc>
          <w:tcPr>
            <w:tcW w:type="dxa" w:w="3500"/>
            <w:shd w:fill="1D3557" w:val="clear"/>
            <w:tcMar>
              <w:top w:type="dxa" w:w="80"/>
              <w:left w:type="dxa" w:w="100"/>
              <w:bottom w:type="dxa" w:w="80"/>
              <w:right w:type="dxa" w:w="100"/>
            </w:tcMar>
            <w:vAlign w:val="center"/>
          </w:tcPr>
          <w:p>
            <w:pPr>
              <w:jc w:val="left"/>
            </w:pPr>
            <w:r>
              <w:rPr>
                <w:b/>
                <w:bCs/>
                <w:color w:val="FFFFFF"/>
                <w:sz w:val="19"/>
                <w:szCs w:val="19"/>
              </w:rPr>
              <w:t xml:space="preserve">Stage</w:t>
            </w:r>
          </w:p>
        </w:tc>
        <w:tc>
          <w:tcPr>
            <w:tcW w:type="dxa" w:w="5800"/>
            <w:shd w:fill="1D3557" w:val="clear"/>
            <w:tcMar>
              <w:top w:type="dxa" w:w="80"/>
              <w:left w:type="dxa" w:w="100"/>
              <w:bottom w:type="dxa" w:w="80"/>
              <w:right w:type="dxa" w:w="100"/>
            </w:tcMar>
            <w:vAlign w:val="center"/>
          </w:tcPr>
          <w:p>
            <w:pPr>
              <w:jc w:val="left"/>
            </w:pPr>
            <w:r>
              <w:rPr>
                <w:b/>
                <w:bCs/>
                <w:color w:val="FFFFFF"/>
                <w:sz w:val="19"/>
                <w:szCs w:val="19"/>
              </w:rPr>
              <w:t xml:space="preserve">What Happened</w:t>
            </w:r>
          </w:p>
        </w:tc>
      </w:tr>
      <w:tr>
        <w:trPr>
          <w:tblHeader w:val="false"/>
        </w:trPr>
        <w:tc>
          <w:tcPr>
            <w:tcW w:type="dxa" w:w="3500"/>
            <w:tcMar>
              <w:top w:type="dxa" w:w="80"/>
              <w:left w:type="dxa" w:w="100"/>
              <w:bottom w:type="dxa" w:w="80"/>
              <w:right w:type="dxa" w:w="100"/>
            </w:tcMar>
            <w:vAlign w:val="center"/>
          </w:tcPr>
          <w:p>
            <w:pPr>
              <w:jc w:val="left"/>
            </w:pPr>
            <w:r>
              <w:rPr>
                <w:b w:val="false"/>
                <w:bCs w:val="false"/>
                <w:color w:val="1B1B1B"/>
                <w:sz w:val="19"/>
                <w:szCs w:val="19"/>
              </w:rPr>
              <w:t xml:space="preserve">Raw data (2,229 rows)</w:t>
            </w:r>
          </w:p>
        </w:tc>
        <w:tc>
          <w:tcPr>
            <w:tcW w:type="dxa" w:w="5800"/>
            <w:tcMar>
              <w:top w:type="dxa" w:w="80"/>
              <w:left w:type="dxa" w:w="100"/>
              <w:bottom w:type="dxa" w:w="80"/>
              <w:right w:type="dxa" w:w="100"/>
            </w:tcMar>
            <w:vAlign w:val="center"/>
          </w:tcPr>
          <w:p>
            <w:pPr>
              <w:jc w:val="left"/>
            </w:pPr>
            <w:r>
              <w:rPr>
                <w:b w:val="false"/>
                <w:bCs w:val="false"/>
                <w:color w:val="1B1B1B"/>
                <w:sz w:val="19"/>
                <w:szCs w:val="19"/>
              </w:rPr>
              <w:t xml:space="preserve">The same file used in the Rule-Based session, now loaded with pandas</w:t>
            </w:r>
          </w:p>
        </w:tc>
      </w:tr>
      <w:tr>
        <w:trPr>
          <w:tblHeader w:val="false"/>
        </w:trPr>
        <w:tc>
          <w:tcPr>
            <w:tcW w:type="dxa" w:w="3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Section 0 — Load &amp; Explore</w:t>
            </w:r>
          </w:p>
        </w:tc>
        <w:tc>
          <w:tcPr>
            <w:tcW w:type="dxa" w:w="5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Diagnosed the 7.3:1 class imbalance and the 'naive accuracy trap' (87.9% accuracy achievable while catching zero fraud)</w:t>
            </w:r>
          </w:p>
        </w:tc>
      </w:tr>
      <w:tr>
        <w:trPr>
          <w:tblHeader w:val="false"/>
        </w:trPr>
        <w:tc>
          <w:tcPr>
            <w:tcW w:type="dxa" w:w="3500"/>
            <w:tcMar>
              <w:top w:type="dxa" w:w="80"/>
              <w:left w:type="dxa" w:w="100"/>
              <w:bottom w:type="dxa" w:w="80"/>
              <w:right w:type="dxa" w:w="100"/>
            </w:tcMar>
            <w:vAlign w:val="center"/>
          </w:tcPr>
          <w:p>
            <w:pPr>
              <w:jc w:val="left"/>
            </w:pPr>
            <w:r>
              <w:rPr>
                <w:b w:val="false"/>
                <w:bCs w:val="false"/>
                <w:color w:val="1B1B1B"/>
                <w:sz w:val="19"/>
                <w:szCs w:val="19"/>
              </w:rPr>
              <w:t xml:space="preserve">Section 1 — Feature Engineering</w:t>
            </w:r>
          </w:p>
        </w:tc>
        <w:tc>
          <w:tcPr>
            <w:tcW w:type="dxa" w:w="5800"/>
            <w:tcMar>
              <w:top w:type="dxa" w:w="80"/>
              <w:left w:type="dxa" w:w="100"/>
              <w:bottom w:type="dxa" w:w="80"/>
              <w:right w:type="dxa" w:w="100"/>
            </w:tcMar>
            <w:vAlign w:val="center"/>
          </w:tcPr>
          <w:p>
            <w:pPr>
              <w:jc w:val="left"/>
            </w:pPr>
            <w:r>
              <w:rPr>
                <w:b w:val="false"/>
                <w:bCs w:val="false"/>
                <w:color w:val="1B1B1B"/>
                <w:sz w:val="19"/>
                <w:szCs w:val="19"/>
              </w:rPr>
              <w:t xml:space="preserve">Built 9 new numerical features from raw columns; amount_ratio and daily_limit_usage_pct emerged as the largest fraud/normal gaps</w:t>
            </w:r>
          </w:p>
        </w:tc>
      </w:tr>
      <w:tr>
        <w:trPr>
          <w:tblHeader w:val="false"/>
        </w:trPr>
        <w:tc>
          <w:tcPr>
            <w:tcW w:type="dxa" w:w="3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Section 2 — Split &amp; SMOTE</w:t>
            </w:r>
          </w:p>
        </w:tc>
        <w:tc>
          <w:tcPr>
            <w:tcW w:type="dxa" w:w="5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Split 80/20 with stratification; balanced the TRAINING set only using SMOTE, leaving the test set at its honest, real-world 12.1% fraud rate</w:t>
            </w:r>
          </w:p>
        </w:tc>
      </w:tr>
      <w:tr>
        <w:trPr>
          <w:tblHeader w:val="false"/>
        </w:trPr>
        <w:tc>
          <w:tcPr>
            <w:tcW w:type="dxa" w:w="3500"/>
            <w:tcMar>
              <w:top w:type="dxa" w:w="80"/>
              <w:left w:type="dxa" w:w="100"/>
              <w:bottom w:type="dxa" w:w="80"/>
              <w:right w:type="dxa" w:w="100"/>
            </w:tcMar>
            <w:vAlign w:val="center"/>
          </w:tcPr>
          <w:p>
            <w:pPr>
              <w:jc w:val="left"/>
            </w:pPr>
            <w:r>
              <w:rPr>
                <w:b w:val="false"/>
                <w:bCs w:val="false"/>
                <w:color w:val="1B1B1B"/>
                <w:sz w:val="19"/>
                <w:szCs w:val="19"/>
              </w:rPr>
              <w:t xml:space="preserve">Section 3 — Logistic Regression</w:t>
            </w:r>
          </w:p>
        </w:tc>
        <w:tc>
          <w:tcPr>
            <w:tcW w:type="dxa" w:w="5800"/>
            <w:tcMar>
              <w:top w:type="dxa" w:w="80"/>
              <w:left w:type="dxa" w:w="100"/>
              <w:bottom w:type="dxa" w:w="80"/>
              <w:right w:type="dxa" w:w="100"/>
            </w:tcMar>
            <w:vAlign w:val="center"/>
          </w:tcPr>
          <w:p>
            <w:pPr>
              <w:jc w:val="left"/>
            </w:pPr>
            <w:r>
              <w:rPr>
                <w:b w:val="false"/>
                <w:bCs w:val="false"/>
                <w:color w:val="1B1B1B"/>
                <w:sz w:val="19"/>
                <w:szCs w:val="19"/>
              </w:rPr>
              <w:t xml:space="preserve">Trained the baseline: 77.5% F1, 92.6% recall, 66.7% precision</w:t>
            </w:r>
          </w:p>
        </w:tc>
      </w:tr>
      <w:tr>
        <w:trPr>
          <w:tblHeader w:val="false"/>
        </w:trPr>
        <w:tc>
          <w:tcPr>
            <w:tcW w:type="dxa" w:w="3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Section 4 — Decision Tree</w:t>
            </w:r>
          </w:p>
        </w:tc>
        <w:tc>
          <w:tcPr>
            <w:tcW w:type="dxa" w:w="5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Trained an explainable single tree: 78.1% F1; its top rule independently rediscovered the Rule-Based session's amount_ratio logic</w:t>
            </w:r>
          </w:p>
        </w:tc>
      </w:tr>
      <w:tr>
        <w:trPr>
          <w:tblHeader w:val="false"/>
        </w:trPr>
        <w:tc>
          <w:tcPr>
            <w:tcW w:type="dxa" w:w="3500"/>
            <w:tcMar>
              <w:top w:type="dxa" w:w="80"/>
              <w:left w:type="dxa" w:w="100"/>
              <w:bottom w:type="dxa" w:w="80"/>
              <w:right w:type="dxa" w:w="100"/>
            </w:tcMar>
            <w:vAlign w:val="center"/>
          </w:tcPr>
          <w:p>
            <w:pPr>
              <w:jc w:val="left"/>
            </w:pPr>
            <w:r>
              <w:rPr>
                <w:b w:val="false"/>
                <w:bCs w:val="false"/>
                <w:color w:val="1B1B1B"/>
                <w:sz w:val="19"/>
                <w:szCs w:val="19"/>
              </w:rPr>
              <w:t xml:space="preserve">Section 5 — Random Forest</w:t>
            </w:r>
          </w:p>
        </w:tc>
        <w:tc>
          <w:tcPr>
            <w:tcW w:type="dxa" w:w="5800"/>
            <w:tcMar>
              <w:top w:type="dxa" w:w="80"/>
              <w:left w:type="dxa" w:w="100"/>
              <w:bottom w:type="dxa" w:w="80"/>
              <w:right w:type="dxa" w:w="100"/>
            </w:tcMar>
            <w:vAlign w:val="center"/>
          </w:tcPr>
          <w:p>
            <w:pPr>
              <w:jc w:val="left"/>
            </w:pPr>
            <w:r>
              <w:rPr>
                <w:b w:val="false"/>
                <w:bCs w:val="false"/>
                <w:color w:val="1B1B1B"/>
                <w:sz w:val="19"/>
                <w:szCs w:val="19"/>
              </w:rPr>
              <w:t xml:space="preserve">Trained the eventual champion: 91.7% F1, a major leap over both simpler models</w:t>
            </w:r>
          </w:p>
        </w:tc>
      </w:tr>
      <w:tr>
        <w:trPr>
          <w:tblHeader w:val="false"/>
        </w:trPr>
        <w:tc>
          <w:tcPr>
            <w:tcW w:type="dxa" w:w="3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Section 6 — XGBoost</w:t>
            </w:r>
          </w:p>
        </w:tc>
        <w:tc>
          <w:tcPr>
            <w:tcW w:type="dxa" w:w="5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Trained the industry-standard boosting model: 90.1% F1, very close behind but not ahead of Random Forest</w:t>
            </w:r>
          </w:p>
        </w:tc>
      </w:tr>
      <w:tr>
        <w:trPr>
          <w:tblHeader w:val="false"/>
        </w:trPr>
        <w:tc>
          <w:tcPr>
            <w:tcW w:type="dxa" w:w="3500"/>
            <w:tcMar>
              <w:top w:type="dxa" w:w="80"/>
              <w:left w:type="dxa" w:w="100"/>
              <w:bottom w:type="dxa" w:w="80"/>
              <w:right w:type="dxa" w:w="100"/>
            </w:tcMar>
            <w:vAlign w:val="center"/>
          </w:tcPr>
          <w:p>
            <w:pPr>
              <w:jc w:val="left"/>
            </w:pPr>
            <w:r>
              <w:rPr>
                <w:b w:val="false"/>
                <w:bCs w:val="false"/>
                <w:color w:val="1B1B1B"/>
                <w:sz w:val="19"/>
                <w:szCs w:val="19"/>
              </w:rPr>
              <w:t xml:space="preserve">Section 7 — Isolation Forest</w:t>
            </w:r>
          </w:p>
        </w:tc>
        <w:tc>
          <w:tcPr>
            <w:tcW w:type="dxa" w:w="5800"/>
            <w:tcMar>
              <w:top w:type="dxa" w:w="80"/>
              <w:left w:type="dxa" w:w="100"/>
              <w:bottom w:type="dxa" w:w="80"/>
              <w:right w:type="dxa" w:w="100"/>
            </w:tcMar>
            <w:vAlign w:val="center"/>
          </w:tcPr>
          <w:p>
            <w:pPr>
              <w:jc w:val="left"/>
            </w:pPr>
            <w:r>
              <w:rPr>
                <w:b w:val="false"/>
                <w:bCs w:val="false"/>
                <w:color w:val="1B1B1B"/>
                <w:sz w:val="19"/>
                <w:szCs w:val="19"/>
              </w:rPr>
              <w:t xml:space="preserve">Trained the unsupervised anomaly detector: 56.6% F1, expectedly lower, but valuable for novel pattern detection</w:t>
            </w:r>
          </w:p>
        </w:tc>
      </w:tr>
      <w:tr>
        <w:trPr>
          <w:tblHeader w:val="false"/>
        </w:trPr>
        <w:tc>
          <w:tcPr>
            <w:tcW w:type="dxa" w:w="3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Section 8 — Model Comparison</w:t>
            </w:r>
          </w:p>
        </w:tc>
        <w:tc>
          <w:tcPr>
            <w:tcW w:type="dxa" w:w="5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Crowned Random Forest champion; confirmed all 4 supervised models share an identical 92.6% recall ceiling</w:t>
            </w:r>
          </w:p>
        </w:tc>
      </w:tr>
      <w:tr>
        <w:trPr>
          <w:tblHeader w:val="false"/>
        </w:trPr>
        <w:tc>
          <w:tcPr>
            <w:tcW w:type="dxa" w:w="3500"/>
            <w:tcMar>
              <w:top w:type="dxa" w:w="80"/>
              <w:left w:type="dxa" w:w="100"/>
              <w:bottom w:type="dxa" w:w="80"/>
              <w:right w:type="dxa" w:w="100"/>
            </w:tcMar>
            <w:vAlign w:val="center"/>
          </w:tcPr>
          <w:p>
            <w:pPr>
              <w:jc w:val="left"/>
            </w:pPr>
            <w:r>
              <w:rPr>
                <w:b w:val="false"/>
                <w:bCs w:val="false"/>
                <w:color w:val="1B1B1B"/>
                <w:sz w:val="19"/>
                <w:szCs w:val="19"/>
              </w:rPr>
              <w:t xml:space="preserve">Section 9 — Feature Importance</w:t>
            </w:r>
          </w:p>
        </w:tc>
        <w:tc>
          <w:tcPr>
            <w:tcW w:type="dxa" w:w="5800"/>
            <w:tcMar>
              <w:top w:type="dxa" w:w="80"/>
              <w:left w:type="dxa" w:w="100"/>
              <w:bottom w:type="dxa" w:w="80"/>
              <w:right w:type="dxa" w:w="100"/>
            </w:tcMar>
            <w:vAlign w:val="center"/>
          </w:tcPr>
          <w:p>
            <w:pPr>
              <w:jc w:val="left"/>
            </w:pPr>
            <w:r>
              <w:rPr>
                <w:b w:val="false"/>
                <w:bCs w:val="false"/>
                <w:color w:val="1B1B1B"/>
                <w:sz w:val="19"/>
                <w:szCs w:val="19"/>
              </w:rPr>
              <w:t xml:space="preserve">Built a 3-model consensus ranking; confirmed amount_ratio as the dominant predictor at 0.3996</w:t>
            </w:r>
          </w:p>
        </w:tc>
      </w:tr>
      <w:tr>
        <w:trPr>
          <w:tblHeader w:val="false"/>
        </w:trPr>
        <w:tc>
          <w:tcPr>
            <w:tcW w:type="dxa" w:w="3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Section 10 — Capstone</w:t>
            </w:r>
          </w:p>
        </w:tc>
        <w:tc>
          <w:tcPr>
            <w:tcW w:type="dxa" w:w="5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Deployed the full production pipeline; found 10 genuinely novel fraud catches the Rule-Based session's rules had missed</w:t>
            </w:r>
          </w:p>
        </w:tc>
      </w:tr>
    </w:tbl>
    <w:p>
      <w:pPr>
        <w:pStyle w:val="Heading2"/>
        <w:spacing w:after="160" w:before="320"/>
      </w:pPr>
      <w:r>
        <w:rPr>
          <w:b/>
          <w:bCs/>
          <w:color w:val="00704A"/>
          <w:sz w:val="26"/>
          <w:szCs w:val="26"/>
        </w:rPr>
        <w:t xml:space="preserve">What This Session Demonstrates</w:t>
      </w:r>
    </w:p>
    <w:p>
      <w:pPr>
        <w:pStyle w:val="ListParagraph"/>
        <w:numPr>
          <w:ilvl w:val="0"/>
          <w:numId w:val="1"/>
        </w:numPr>
        <w:spacing w:after="90" w:line="290"/>
      </w:pPr>
      <w:r>
        <w:rPr>
          <w:sz w:val="21"/>
          <w:szCs w:val="21"/>
        </w:rPr>
        <w:t xml:space="preserve">In 38 notebook cells, this session builds, evaluates, and compares five distinct machine learning algorithms against a real fraud detection problem, and against a previously built rule-based benchmark.</w:t>
      </w:r>
    </w:p>
    <w:p>
      <w:pPr>
        <w:pStyle w:val="ListParagraph"/>
        <w:numPr>
          <w:ilvl w:val="0"/>
          <w:numId w:val="1"/>
        </w:numPr>
        <w:spacing w:after="90" w:line="290"/>
      </w:pPr>
      <w:r>
        <w:rPr>
          <w:sz w:val="21"/>
          <w:szCs w:val="21"/>
        </w:rPr>
        <w:t xml:space="preserve">It shows concretely how class imbalance, if left unaddressed, can produce a model that looks impressive (87.9% accuracy) while being functionally useless (0% recall).</w:t>
      </w:r>
    </w:p>
    <w:p>
      <w:pPr>
        <w:pStyle w:val="ListParagraph"/>
        <w:numPr>
          <w:ilvl w:val="0"/>
          <w:numId w:val="1"/>
        </w:numPr>
        <w:spacing w:after="90" w:line="290"/>
      </w:pPr>
      <w:r>
        <w:rPr>
          <w:sz w:val="21"/>
          <w:szCs w:val="21"/>
        </w:rPr>
        <w:t xml:space="preserve">It demonstrates that more sophisticated algorithms do not always win — Random Forest's simpler bagging approach beat XGBoost's more complex boosting approach on this specific dataset.</w:t>
      </w:r>
    </w:p>
    <w:p>
      <w:pPr>
        <w:pStyle w:val="ListParagraph"/>
        <w:numPr>
          <w:ilvl w:val="0"/>
          <w:numId w:val="1"/>
        </w:numPr>
        <w:spacing w:after="90" w:line="290"/>
      </w:pPr>
      <w:r>
        <w:rPr>
          <w:sz w:val="21"/>
          <w:szCs w:val="21"/>
        </w:rPr>
        <w:t xml:space="preserve">It proves, with a concrete count of 10 transactions, that machine learning can discover genuinely novel fraud patterns beyond what any human-written rule set captures.</w:t>
      </w:r>
    </w:p>
    <w:p>
      <w:pPr>
        <w:pStyle w:val="Heading2"/>
        <w:spacing w:after="160" w:before="320"/>
      </w:pPr>
      <w:r>
        <w:rPr>
          <w:b/>
          <w:bCs/>
          <w:color w:val="00704A"/>
          <w:sz w:val="26"/>
          <w:szCs w:val="26"/>
        </w:rPr>
        <w:t xml:space="preserve">Closing the Loop — Back to the Guiding Framing</w:t>
      </w:r>
    </w:p>
    <w:p>
      <w:pPr>
        <w:pBdr>
          <w:left w:val="single" w:color="00704A" w:sz="24" w:space="8"/>
        </w:pBdr>
        <w:shd w:fill="F0F4F8" w:val="clear"/>
        <w:spacing w:after="200" w:before="200"/>
        <w:ind w:left="500" w:right="500"/>
      </w:pPr>
      <w:r>
        <w:rPr>
          <w:i/>
          <w:iCs/>
          <w:color w:val="1B1B1B"/>
          <w:sz w:val="22"/>
          <w:szCs w:val="22"/>
        </w:rPr>
        <w:t xml:space="preserve">"In the Rule-Based notebook, we wrote explicit rules... In this Algorithm-Based notebook, we let the machine learn the patterns from the data itself. No manually written rules. The algorithm discovers which features distinguish fraud from normal transactions on its own."</w:t>
      </w:r>
    </w:p>
    <w:p>
      <w:pPr>
        <w:spacing w:after="160" w:line="300"/>
      </w:pPr>
      <w:r>
        <w:rPr>
          <w:sz w:val="21"/>
          <w:szCs w:val="21"/>
        </w:rPr>
        <w:t xml:space="preserve">By the end of the session, this framing has been directly and repeatedly validated. THE RULE-BASED CALLBACK is confirmed: amount_ratio, the engineered equivalent of the Rule-Based session's own Rule 1, emerges as the dominant predictor across every single method used to measure feature importance in this notebook. THE MACHINE LEARNING FROM DATA claim is confirmed by the Decision Tree in Section 4 independently rediscovering a near-identical threshold with no human specifying it. THE NO MANUALLY WRITTEN RULES claim is confirmed by Random Forest's 91.7% F1 score, achieved through 200 trees' worth of automatically-learned splits rather than four hand-written conditions. And THE ALGORITHM DISCOVERS ON ITS OWN claim receives its most concrete proof in Section 10's 10 ML-only fraud catches — patterns genuinely never written down as a rule, found only because the algorithm was free to learn from the data itself. This is the story you are teaching: not that machine learning replaces careful human judgement, but that it extends what a skilled analyst can catch, working alongside — not instead of — the rule-based system built in the previous session.</w:t>
      </w:r>
    </w:p>
    <w:p>
      <w:pPr>
        <w:spacing w:after="300"/>
      </w:pPr>
    </w:p>
    <w:p>
      <w:pPr>
        <w:jc w:val="center"/>
      </w:pPr>
      <w:r>
        <w:rPr>
          <w:b/>
          <w:bCs/>
          <w:color w:val="1D3557"/>
          <w:sz w:val="20"/>
          <w:szCs w:val="20"/>
        </w:rPr>
        <w:t xml:space="preserve">Prepared for: Zedcrest Capital Data Analyst Training Programme</w:t>
      </w:r>
    </w:p>
    <w:p>
      <w:pPr>
        <w:jc w:val="center"/>
      </w:pPr>
      <w:r>
        <w:rPr>
          <w:color w:val="00704A"/>
          <w:sz w:val="20"/>
          <w:szCs w:val="20"/>
        </w:rPr>
        <w:t xml:space="preserve">Trainer: Kajola Gbenga Adewale | Data Expert | Prodigy Training Hub</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8A"/>
        <w:sz w:val="16"/>
        <w:szCs w:val="16"/>
      </w:rPr>
      <w:t xml:space="preserve">Page </w:t>
    </w:r>
    <w:r>
      <w:rPr>
        <w:color w:val="8A8A8A"/>
        <w:sz w:val="16"/>
        <w:szCs w:val="16"/>
      </w:rPr>
      <w:fldChar w:fldCharType="begin"/>
      <w:instrText xml:space="preserve">PAGE</w:instrText>
      <w:fldChar w:fldCharType="separate"/>
      <w:fldChar w:fldCharType="end"/>
    </w:r>
    <w:r>
      <w:rPr>
        <w:color w:val="8A8A8A"/>
        <w:sz w:val="16"/>
        <w:szCs w:val="16"/>
      </w:rPr>
      <w:t xml:space="preserve"> of </w:t>
    </w:r>
    <w:r>
      <w:rPr>
        <w:color w:val="8A8A8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A8A8A"/>
        <w:sz w:val="16"/>
        <w:szCs w:val="16"/>
      </w:rPr>
      <w:t xml:space="preserve">ML ATM Fraud Detection — Teaching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Algorithm-Based (ML) ATM Fraud Detection — Teaching Guide</dc:title>
  <dc:creator>Kajola Gbenga Adewale</dc:creator>
  <cp:lastModifiedBy>Un-named</cp:lastModifiedBy>
  <cp:revision>1</cp:revision>
  <dcterms:created xsi:type="dcterms:W3CDTF">2026-07-07T22:50:35.681Z</dcterms:created>
  <dcterms:modified xsi:type="dcterms:W3CDTF">2026-07-07T22:50:35.682Z</dcterms:modified>
</cp:coreProperties>
</file>

<file path=docProps/custom.xml><?xml version="1.0" encoding="utf-8"?>
<Properties xmlns="http://schemas.openxmlformats.org/officeDocument/2006/custom-properties" xmlns:vt="http://schemas.openxmlformats.org/officeDocument/2006/docPropsVTypes"/>
</file>