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5" w:val="clear"/>
            <w:tcMar>
              <w:top w:type="dxa" w:w="500"/>
              <w:left w:type="dxa" w:w="400"/>
              <w:bottom w:type="dxa" w:w="500"/>
              <w:right w:type="dxa" w:w="400"/>
            </w:tcMar>
          </w:tcPr>
          <w:p>
            <w:pPr>
              <w:spacing w:after="60" w:before="0"/>
              <w:jc w:val="center"/>
            </w:pPr>
            <w:r>
              <w:rPr>
                <w:rFonts w:ascii="Arial" w:cs="Arial" w:eastAsia="Arial" w:hAnsi="Arial"/>
                <w:b/>
                <w:bCs/>
                <w:color w:val="D4AC0D"/>
                <w:sz w:val="38"/>
                <w:szCs w:val="38"/>
              </w:rPr>
              <w:t xml:space="preserve">🛒  JUMIA NIGERIA</w:t>
            </w:r>
          </w:p>
          <w:p>
            <w:pPr>
              <w:spacing w:after="200" w:before="0"/>
              <w:jc w:val="center"/>
            </w:pPr>
            <w:r>
              <w:rPr>
                <w:rFonts w:ascii="Arial" w:cs="Arial" w:eastAsia="Arial" w:hAnsi="Arial"/>
                <w:color w:val="94A3B8"/>
                <w:sz w:val="20"/>
                <w:szCs w:val="20"/>
              </w:rPr>
              <w:t xml:space="preserve">SALES DATA ANALYTICS — COMPREHENSIVE STUDY NOTES</w:t>
            </w:r>
          </w:p>
          <w:p>
            <w:pPr>
              <w:spacing w:after="60" w:before="200"/>
              <w:jc w:val="center"/>
            </w:pPr>
            <w:r>
              <w:rPr>
                <w:rFonts w:ascii="Arial" w:cs="Arial" w:eastAsia="Arial" w:hAnsi="Arial"/>
                <w:b/>
                <w:bCs/>
                <w:color w:val="FFFFFF"/>
                <w:sz w:val="32"/>
                <w:szCs w:val="32"/>
              </w:rPr>
              <w:t xml:space="preserve">COMPLETE REFERENCE DOCUMENT</w:t>
            </w:r>
          </w:p>
          <w:p>
            <w:pPr>
              <w:spacing w:after="80" w:before="0"/>
              <w:jc w:val="center"/>
            </w:pPr>
            <w:r>
              <w:rPr>
                <w:rFonts w:ascii="Arial" w:cs="Arial" w:eastAsia="Arial" w:hAnsi="Arial"/>
                <w:b/>
                <w:bCs/>
                <w:color w:val="D4AC0D"/>
                <w:sz w:val="20"/>
                <w:szCs w:val="20"/>
              </w:rPr>
              <w:t xml:space="preserve">Dataset Guide · Line-by-Line Code · Output Explanations · Business Insights</w:t>
            </w:r>
          </w:p>
          <w:p>
            <w:pPr>
              <w:spacing w:after="40" w:before="180"/>
              <w:jc w:val="center"/>
            </w:pPr>
            <w:r>
              <w:rPr>
                <w:rFonts w:ascii="Arial" w:cs="Arial" w:eastAsia="Arial" w:hAnsi="Arial"/>
                <w:b/>
                <w:bCs/>
                <w:color w:val="FFFFFF"/>
                <w:sz w:val="20"/>
                <w:szCs w:val="20"/>
              </w:rPr>
              <w:t xml:space="preserve">Zedcrest Capital | Prodigy Training Hub | 2026</w:t>
            </w:r>
          </w:p>
          <w:p>
            <w:pPr>
              <w:spacing w:after="0" w:before="0"/>
              <w:jc w:val="center"/>
            </w:pPr>
            <w:r>
              <w:rPr>
                <w:rFonts w:ascii="Arial" w:cs="Arial" w:eastAsia="Arial" w:hAnsi="Arial"/>
                <w:color w:val="475569"/>
                <w:sz w:val="18"/>
                <w:szCs w:val="18"/>
              </w:rPr>
              <w:t xml:space="preserve">Trainer: Kajola Gbenga Adewale | CONFIDENTIAL</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8"/>
              <w:left w:val="single" w:color="D4AC0D" w:sz="8"/>
              <w:bottom w:val="single" w:color="BDC3C7" w:sz="1"/>
              <w:right w:val="single" w:color="BDC3C7" w:sz="1"/>
            </w:tcBorders>
            <w:shd w:fill="FEF9E7" w:val="clear"/>
            <w:tcMar>
              <w:top w:type="dxa" w:w="100"/>
              <w:left w:type="dxa" w:w="180"/>
              <w:bottom w:type="dxa" w:w="100"/>
              <w:right w:type="dxa" w:w="180"/>
            </w:tcMar>
          </w:tcPr>
          <w:p>
            <w:pPr>
              <w:spacing w:after="60" w:before="0"/>
            </w:pPr>
            <w:r>
              <w:rPr>
                <w:rFonts w:ascii="Arial" w:cs="Arial" w:eastAsia="Arial" w:hAnsi="Arial"/>
                <w:b/>
                <w:bCs/>
                <w:color w:val="D4AC0D"/>
                <w:sz w:val="20"/>
                <w:szCs w:val="20"/>
              </w:rPr>
              <w:t xml:space="preserve">How to Use This Document</w:t>
            </w:r>
          </w:p>
          <w:p>
            <w:pPr>
              <w:spacing w:after="0" w:before="0"/>
            </w:pPr>
            <w:r>
              <w:rPr>
                <w:rFonts w:ascii="Arial" w:cs="Arial" w:eastAsia="Arial" w:hAnsi="Arial"/>
                <w:color w:val="2C3E50"/>
                <w:sz w:val="20"/>
                <w:szCs w:val="20"/>
              </w:rPr>
              <w:t xml:space="preserve">This document is the complete companion to Jumia_Sales_Data_Analytics.ipynb and jumia_sales_data.csv. It covers: (1) the purpose and aim of the session; (2) every column in the dataset with its meaning and role in analytics; (3) every code cell explained line by line with three perspectives — what it does, why it is written that way, and what business problem it solves; (4) every output explained — what the numbers, tables, and charts mean for the business; and (5) the business insights and recommendations derived from the analysis.</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1 — The Aim of This Session</w:t>
      </w:r>
    </w:p>
    <w:p>
      <w:pPr>
        <w:spacing w:after="60" w:before="60"/>
      </w:pPr>
      <w:r>
        <w:rPr>
          <w:rFonts w:ascii="Arial" w:cs="Arial" w:eastAsia="Arial" w:hAnsi="Arial"/>
          <w:color w:val="2C3E50"/>
          <w:sz w:val="21"/>
          <w:szCs w:val="21"/>
        </w:rPr>
        <w:t xml:space="preserve">This session teaches the complete data analytics workflow using a realistic e-commerce sales dataset. Students will practise every core skill a working Data Analyst needs: handling messy data (missing values, wrong types), extracting specific subsets, computing statistics, building visualisations, and translating findings into business recommendations.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D6E8F7" w:val="clear"/>
            <w:tcMar>
              <w:top w:type="dxa" w:w="100"/>
              <w:left w:type="dxa" w:w="180"/>
              <w:bottom w:type="dxa" w:w="100"/>
              <w:right w:type="dxa" w:w="180"/>
            </w:tcMar>
          </w:tcPr>
          <w:p>
            <w:pPr>
              <w:spacing w:after="60" w:before="0"/>
            </w:pPr>
            <w:r>
              <w:rPr>
                <w:rFonts w:ascii="Arial" w:cs="Arial" w:eastAsia="Arial" w:hAnsi="Arial"/>
                <w:b/>
                <w:bCs/>
                <w:color w:val="1A5276"/>
                <w:sz w:val="20"/>
                <w:szCs w:val="20"/>
              </w:rPr>
              <w:t xml:space="preserve">Why E-Commerce Sales Data?</w:t>
            </w:r>
          </w:p>
          <w:p>
            <w:pPr>
              <w:spacing w:after="0" w:before="0"/>
            </w:pPr>
            <w:r>
              <w:rPr>
                <w:rFonts w:ascii="Arial" w:cs="Arial" w:eastAsia="Arial" w:hAnsi="Arial"/>
                <w:color w:val="2C3E50"/>
                <w:sz w:val="20"/>
                <w:szCs w:val="20"/>
              </w:rPr>
              <w:t xml:space="preserve">Sales data from a platform like Jumia Nigeria is ideal for teaching data analytics because it is: (1) relatable — everyone understands buying products online; (2) multi-dimensional — it has geographic, temporal, financial, operational, and customer dimensions all in one dataset; (3) realistic — it contains the same data quality issues (missing values, mixed types, skewed distributions) found in real business data; and (4) decision-relevant — every analysis has an obvious business implication.</w:t>
            </w:r>
          </w:p>
        </w:tc>
      </w:tr>
    </w:tbl>
    <w:p>
      <w:pPr>
        <w:spacing w:after="0" w:before="80"/>
      </w:pPr>
      <w:r>
        <w:t xml:space="preserve"/>
      </w:r>
    </w:p>
    <w:p>
      <w:pPr>
        <w:pStyle w:val="Heading2"/>
        <w:spacing w:after="100" w:before="280"/>
      </w:pPr>
      <w:r>
        <w:rPr>
          <w:rFonts w:ascii="Arial" w:cs="Arial" w:eastAsia="Arial" w:hAnsi="Arial"/>
          <w:b/>
          <w:bCs/>
          <w:color w:val="1A5276"/>
          <w:sz w:val="26"/>
          <w:szCs w:val="26"/>
        </w:rPr>
        <w:t xml:space="preserve">Session Learning Outcomes</w:t>
      </w:r>
    </w:p>
    <w:p>
      <w:pPr>
        <w:pStyle w:val="ListParagraph"/>
        <w:numPr>
          <w:ilvl w:val="0"/>
          <w:numId w:val="2"/>
        </w:numPr>
        <w:spacing w:after="40" w:before="40"/>
      </w:pPr>
      <w:r>
        <w:rPr>
          <w:rFonts w:ascii="Arial" w:cs="Arial" w:eastAsia="Arial" w:hAnsi="Arial"/>
          <w:color w:val="2C3E50"/>
          <w:sz w:val="21"/>
          <w:szCs w:val="21"/>
        </w:rPr>
        <w:t xml:space="preserve">Load a CSV file into pandas and inspect its structure, shape, and data types</w:t>
      </w:r>
    </w:p>
    <w:p>
      <w:pPr>
        <w:pStyle w:val="ListParagraph"/>
        <w:numPr>
          <w:ilvl w:val="0"/>
          <w:numId w:val="2"/>
        </w:numPr>
        <w:spacing w:after="40" w:before="40"/>
      </w:pPr>
      <w:r>
        <w:rPr>
          <w:rFonts w:ascii="Arial" w:cs="Arial" w:eastAsia="Arial" w:hAnsi="Arial"/>
          <w:color w:val="2C3E50"/>
          <w:sz w:val="21"/>
          <w:szCs w:val="21"/>
        </w:rPr>
        <w:t xml:space="preserve">Identify, quantify, and treat missing values using four different strategies</w:t>
      </w:r>
    </w:p>
    <w:p>
      <w:pPr>
        <w:pStyle w:val="ListParagraph"/>
        <w:numPr>
          <w:ilvl w:val="0"/>
          <w:numId w:val="2"/>
        </w:numPr>
        <w:spacing w:after="40" w:before="40"/>
      </w:pPr>
      <w:r>
        <w:rPr>
          <w:rFonts w:ascii="Arial" w:cs="Arial" w:eastAsia="Arial" w:hAnsi="Arial"/>
          <w:color w:val="2C3E50"/>
          <w:sz w:val="21"/>
          <w:szCs w:val="21"/>
        </w:rPr>
        <w:t xml:space="preserve">Convert data types (string to datetime) and create derived/engineered columns</w:t>
      </w:r>
    </w:p>
    <w:p>
      <w:pPr>
        <w:pStyle w:val="ListParagraph"/>
        <w:numPr>
          <w:ilvl w:val="0"/>
          <w:numId w:val="2"/>
        </w:numPr>
        <w:spacing w:after="40" w:before="40"/>
      </w:pPr>
      <w:r>
        <w:rPr>
          <w:rFonts w:ascii="Arial" w:cs="Arial" w:eastAsia="Arial" w:hAnsi="Arial"/>
          <w:color w:val="2C3E50"/>
          <w:sz w:val="21"/>
          <w:szCs w:val="21"/>
        </w:rPr>
        <w:t xml:space="preserve">Filter and extract data subsets using boolean indexing, .loc, .iloc, and .query</w:t>
      </w:r>
    </w:p>
    <w:p>
      <w:pPr>
        <w:pStyle w:val="ListParagraph"/>
        <w:numPr>
          <w:ilvl w:val="0"/>
          <w:numId w:val="2"/>
        </w:numPr>
        <w:spacing w:after="40" w:before="40"/>
      </w:pPr>
      <w:r>
        <w:rPr>
          <w:rFonts w:ascii="Arial" w:cs="Arial" w:eastAsia="Arial" w:hAnsi="Arial"/>
          <w:color w:val="2C3E50"/>
          <w:sz w:val="21"/>
          <w:szCs w:val="21"/>
        </w:rPr>
        <w:t xml:space="preserve">Manipulate data using groupby+agg, pivot_table, apply, and merge/join</w:t>
      </w:r>
    </w:p>
    <w:p>
      <w:pPr>
        <w:pStyle w:val="ListParagraph"/>
        <w:numPr>
          <w:ilvl w:val="0"/>
          <w:numId w:val="2"/>
        </w:numPr>
        <w:spacing w:after="40" w:before="40"/>
      </w:pPr>
      <w:r>
        <w:rPr>
          <w:rFonts w:ascii="Arial" w:cs="Arial" w:eastAsia="Arial" w:hAnsi="Arial"/>
          <w:color w:val="2C3E50"/>
          <w:sz w:val="21"/>
          <w:szCs w:val="21"/>
        </w:rPr>
        <w:t xml:space="preserve">Compute descriptive statistics: mean, median, mode, standard deviation, percentiles, IQR, skewness, and correlation</w:t>
      </w:r>
    </w:p>
    <w:p>
      <w:pPr>
        <w:pStyle w:val="ListParagraph"/>
        <w:numPr>
          <w:ilvl w:val="0"/>
          <w:numId w:val="2"/>
        </w:numPr>
        <w:spacing w:after="40" w:before="40"/>
      </w:pPr>
      <w:r>
        <w:rPr>
          <w:rFonts w:ascii="Arial" w:cs="Arial" w:eastAsia="Arial" w:hAnsi="Arial"/>
          <w:color w:val="2C3E50"/>
          <w:sz w:val="21"/>
          <w:szCs w:val="21"/>
        </w:rPr>
        <w:t xml:space="preserve">Build seven types of charts: bar, line, pie/donut, histogram, box plot, scatter, and heatmap</w:t>
      </w:r>
    </w:p>
    <w:p>
      <w:pPr>
        <w:pStyle w:val="ListParagraph"/>
        <w:numPr>
          <w:ilvl w:val="0"/>
          <w:numId w:val="2"/>
        </w:numPr>
        <w:spacing w:after="40" w:before="40"/>
      </w:pPr>
      <w:r>
        <w:rPr>
          <w:rFonts w:ascii="Arial" w:cs="Arial" w:eastAsia="Arial" w:hAnsi="Arial"/>
          <w:color w:val="2C3E50"/>
          <w:sz w:val="21"/>
          <w:szCs w:val="21"/>
        </w:rPr>
        <w:t xml:space="preserve">Compute business KPIs and produce a management-ready recommendation summary</w:t>
      </w:r>
    </w:p>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2 — The Dataset: jumia_sales_data.csv</w:t>
      </w:r>
    </w:p>
    <w:p>
      <w:pPr>
        <w:spacing w:after="60" w:before="60"/>
      </w:pPr>
      <w:r>
        <w:rPr>
          <w:rFonts w:ascii="Arial" w:cs="Arial" w:eastAsia="Arial" w:hAnsi="Arial"/>
          <w:color w:val="2C3E50"/>
          <w:sz w:val="21"/>
          <w:szCs w:val="21"/>
        </w:rPr>
        <w:t xml:space="preserve">The dataset simulates one year (2023) of order data from Jumia Nigeria — West Africa's largest e-commerce platform. It contains 3,000 rows (orders) and 28 columns, covering 8 product categories, 10 Nigerian states, 10 banks, and 5 payment methods. Approximately 4% of values are intentionally missing to simulate real-world data quality issues.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2900"/>
        <w:gridCol w:w="2660"/>
      </w:tblGrid>
      <w:tr>
        <w:trPr>
          <w:tblHeader/>
        </w:trPr>
        <w:tc>
          <w:tcPr>
            <w:tcW w:type="dxa" w:w="140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Column</w:t>
            </w:r>
          </w:p>
        </w:tc>
        <w:tc>
          <w:tcPr>
            <w:tcW w:type="dxa" w:w="90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Type</w:t>
            </w:r>
          </w:p>
        </w:tc>
        <w:tc>
          <w:tcPr>
            <w:tcW w:type="dxa" w:w="150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Example</w:t>
            </w:r>
          </w:p>
        </w:tc>
        <w:tc>
          <w:tcPr>
            <w:tcW w:type="dxa" w:w="290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Description</w:t>
            </w:r>
          </w:p>
        </w:tc>
        <w:tc>
          <w:tcPr>
            <w:tcW w:type="dxa" w:w="266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Business Role &amp; Analytics Use</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order_id</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JO-2023-10001</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Unique identifier for each order — JO-2023 prefix + sequential 5-digit number.</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Primary key. Used to count orders (COUNT), join tables, and reference specific transactions in fraud/dispute investigations.</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order_date</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string→datetime</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2023-01-15</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Calendar date of order placement in YYYY-MM-DD format. Converted to datetime in Section 2.</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Drives all time-based analysis: monthly trends, quarterly comparisons, seasonality, day-of-week patterns.</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order_time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14:32:07</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Time of order placement in HH:MM:SS format.</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Used to analyse when customers shop most actively (peak hours for server capacity planning and targeted promotions).</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month</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January</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Full month name derived from order_date.</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Used for groupby monthly analysis without datetime conversion. Provides human-readable labels for charts.</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quarter</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Q1</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Quarter label (Q1–Q4) derived from order_date month.</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Used for quarterly trend analysis and Q-o-Q growth calculations in pivot tables.</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day_of_week</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Saturday</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Day name derived from order_date.</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Weekend vs weekday analysis. Jumia's marketing team needs to know if weekend promotions justify their cost.</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customer_id</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JMC001234</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Unique customer identifier. Multiple orders can share the same customer_id.</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Enables customer-level analysis: who is a repeat buyer? Which customers generate the most revenue? RFM segmentation.</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state</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Lagos</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Nigerian state where the customer is located (20 states represented).</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Geographic revenue analysis. Identifies which states to invest in logistics. Cross-referenced with region_map in the merge exercise.</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city</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Ikeja</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City within the state.</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More granular geographic analysis. Useful for last-mile delivery optimisation.</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category</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Electronics</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Product category (8 categories: Electronics, Fashion, Home &amp; Kitchen, etc.).</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The most important groupby dimension. Every category has different margins, return rates, and customer ratings.</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product_name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Wireless Earbuds</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The specific product purchased.</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Used in top-product analysis (nlargest). Identifies which specific products drive the most revenue.</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brand</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Samsung</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Product brand. Contains ~2% missing values.</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Brand analysis: which brands generate most revenue per category. Missing values treated as 'Unknown Brand' in Section 1.</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quantity</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integer</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2</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Number of units ordered. Values: 1–5.</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Multiplied by selling_price to compute total_revenue. Also indicates bulk buyers (B2B customers) vs individual consumers.</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unit_price</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45000.00</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Original list price before any discount.</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The baseline price. Comparing unit_price to selling_price reveals the discount applied (if any).</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discount_percent</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20.0</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Percentage discount applied (0–50%). Contains ~3% missing values.</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MISSING VALUES: filled with 0 (no discount). Key for analysing discount impact on margins. Used in the discount vs margin scatter plot.</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selling_price</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36000.00</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Actual price paid after discount: unit_price × (1 - discount_percent/100).</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Input to total_revenue calculation. Used in box plots to show price distribution by category.</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cost_price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25920.00</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Jumia's cost to acquire/stock this product.</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Used to compute profit: (selling_price - cost_price) × quantity. Never shown to customers.</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shipping_fee</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0.00</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Shipping charge to customer. 0 for orders ≥ ₦10,000. Contains ~3% missing.</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MISSING VALUES: filled with category-specific median. Adds to order revenue. High shipping fees can deter purchases.</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total_revenue</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72000.00</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Total order value paid by customer: selling_price × quantity.</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Primary revenue metric. Used in every financial KPI, chart, and statistical analysis in the notebook.</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profit</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20160.00</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Profit per order: (selling_price - cost_price) × quantity.</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Primary profitability metric. Used alongside revenue to compute margins and compare category profitability.</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gross_margin_pct</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28.00</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Gross profit as % of revenue: (profit / total_revenue) × 100.</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The profitability rate per ₦ of revenue. Used in the correlation analysis, discount impact chart, and KPI dashboard.</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payment_method</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Card Payment</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How the customer paid (5 methods: Card, Bank Transfer, Jumia Pay, Cash on Delivery, USSD).</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Used in donut chart and rating-by-payment analysis. Cash on Delivery correlation with lower ratings is a key business insight.</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order_status</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Delivered</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Current status of the order (5 values: Delivered, Processing, Shipped, Cancelled, Returned).</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Used to compute delivery rate, return rate, and filter for analysis subsets. The most important operational metric.</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delivery_days</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integer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3</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Days from order placement to expected delivery (1–8).</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Used in correlation with customer_rating (longer waits → lower ratings) and delivery days distribution chart.</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sales_channel</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string</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Mobile App</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How the order was placed (5 channels: Mobile App, Website Desktop, USSD, Agent Network, WhatsApp Store).</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Used in the bubble chart (channel vs margin vs volume). Strategic for technology investment decisions.</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customer_rating</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float</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4.2</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Customer satisfaction rating (1–5). Only given after delivery. ~4% missing.</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MISSING VALUES: filled with category median. Used in box plots, KPI dashboard, and correlation with delivery_days and is_return.</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Courier New" w:cs="Courier New" w:eastAsia="Courier New" w:hAnsi="Courier New"/>
                <w:b/>
                <w:bCs/>
                <w:color w:val="2C3E50"/>
                <w:sz w:val="15"/>
                <w:szCs w:val="15"/>
              </w:rPr>
              <w:t xml:space="preserve">is_return</w:t>
            </w:r>
          </w:p>
        </w:tc>
        <w:tc>
          <w:tcPr>
            <w:tcW w:type="dxa" w:w="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integer</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0</w:t>
            </w:r>
          </w:p>
        </w:tc>
        <w:tc>
          <w:tcPr>
            <w:tcW w:type="dxa" w:w="29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Binary flag: 1 = order was returned, 0 = not returned.</w:t>
            </w:r>
          </w:p>
        </w:tc>
        <w:tc>
          <w:tcPr>
            <w:tcW w:type="dxa" w:w="266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tcPr>
          <w:p>
            <w:r>
              <w:rPr>
                <w:rFonts w:ascii="Arial" w:cs="Arial" w:eastAsia="Arial" w:hAnsi="Arial"/>
                <w:b w:val="false"/>
                <w:bCs w:val="false"/>
                <w:color w:val="2C3E50"/>
                <w:sz w:val="17"/>
                <w:szCs w:val="17"/>
              </w:rPr>
              <w:t xml:space="preserve">Used to compute return rate by category and correlate with customer_rating. Returns represent lost revenue.</w:t>
            </w:r>
          </w:p>
        </w:tc>
      </w:tr>
      <w:tr>
        <w:tc>
          <w:tcPr>
            <w:tcW w:type="dxa" w:w="14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Courier New" w:cs="Courier New" w:eastAsia="Courier New" w:hAnsi="Courier New"/>
                <w:b/>
                <w:bCs/>
                <w:color w:val="2C3E50"/>
                <w:sz w:val="15"/>
                <w:szCs w:val="15"/>
              </w:rPr>
              <w:t xml:space="preserve">is_repeat_customer</w:t>
            </w:r>
          </w:p>
        </w:tc>
        <w:tc>
          <w:tcPr>
            <w:tcW w:type="dxa" w:w="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integer</w:t>
            </w:r>
          </w:p>
        </w:tc>
        <w:tc>
          <w:tcPr>
            <w:tcW w:type="dxa" w:w="15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1</w:t>
            </w:r>
          </w:p>
        </w:tc>
        <w:tc>
          <w:tcPr>
            <w:tcW w:type="dxa" w:w="290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Binary flag: 1 = customer has placed more than one order, 0 = first-time buyer.</w:t>
            </w:r>
          </w:p>
        </w:tc>
        <w:tc>
          <w:tcPr>
            <w:tcW w:type="dxa" w:w="2660"/>
            <w:tcBorders>
              <w:top w:val="single" w:color="BDC3C7" w:sz="1"/>
              <w:left w:val="single" w:color="BDC3C7" w:sz="1"/>
              <w:bottom w:val="single" w:color="BDC3C7" w:sz="1"/>
              <w:right w:val="single" w:color="BDC3C7" w:sz="1"/>
            </w:tcBorders>
            <w:shd w:fill="F4F6F8" w:val="clear"/>
            <w:tcMar>
              <w:top w:type="dxa" w:w="60"/>
              <w:left w:type="dxa" w:w="80"/>
              <w:bottom w:type="dxa" w:w="60"/>
              <w:right w:type="dxa" w:w="80"/>
            </w:tcMar>
          </w:tcPr>
          <w:p>
            <w:r>
              <w:rPr>
                <w:rFonts w:ascii="Arial" w:cs="Arial" w:eastAsia="Arial" w:hAnsi="Arial"/>
                <w:b w:val="false"/>
                <w:bCs w:val="false"/>
                <w:color w:val="2C3E50"/>
                <w:sz w:val="17"/>
                <w:szCs w:val="17"/>
              </w:rPr>
              <w:t xml:space="preserve">Used to compute repeat customer rate — a key customer loyalty KPI. Repeat customers have lower acquisition cost.</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3 — Code Walkthrough: Sections 0, 1, and 2</w:t>
      </w:r>
    </w:p>
    <w:p>
      <w:pPr>
        <w:pStyle w:val="Heading2"/>
        <w:spacing w:after="100" w:before="280"/>
      </w:pPr>
      <w:r>
        <w:rPr>
          <w:rFonts w:ascii="Arial" w:cs="Arial" w:eastAsia="Arial" w:hAnsi="Arial"/>
          <w:b/>
          <w:bCs/>
          <w:color w:val="1A5276"/>
          <w:sz w:val="26"/>
          <w:szCs w:val="26"/>
        </w:rPr>
        <w:t xml:space="preserve">Section 0 — Loading &amp; Inspecting</w:t>
      </w:r>
    </w:p>
    <w:p>
      <w:pPr>
        <w:spacing w:after="80" w:before="200"/>
      </w:pPr>
      <w:r>
        <w:rPr>
          <w:rFonts w:ascii="Arial" w:cs="Arial" w:eastAsia="Arial" w:hAnsi="Arial"/>
          <w:b/>
          <w:bCs/>
          <w:color w:val="2980B9"/>
          <w:sz w:val="23"/>
          <w:szCs w:val="23"/>
        </w:rPr>
        <w:t xml:space="preserve">Import Cell — All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import pandas as pd</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import numpy as np</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import matplotlib.pyplot as plt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import seaborn as sns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import warnings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warnings.filterwarnings('ignore')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plt.rcParams['figure.facecolor'] = '#F8FAFC'</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plt.rcParams['axes.grid'] = True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plt.rcParams['axes.spines.top'] = False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JUMIA_ORANGE = '#F68B1F'</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JUMIA_TEAL   = '#007CC3'</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COLORS = [JUMIA_ORANGE,'#007CC3','#2ECC71',...]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2960"/>
      </w:tblGrid>
      <w:tr>
        <w:trPr>
          <w:tblHeader/>
        </w:trPr>
        <w:tc>
          <w:tcPr>
            <w:tcW w:type="dxa" w:w="29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Code / Line</w:t>
            </w:r>
          </w:p>
        </w:tc>
        <w:tc>
          <w:tcPr>
            <w:tcW w:type="dxa" w:w="35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It Does &amp; Means</w:t>
            </w:r>
          </w:p>
        </w:tc>
        <w:tc>
          <w:tcPr>
            <w:tcW w:type="dxa" w:w="296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Why Written This Way &amp; What Problem It Solves</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import pandas as pd</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Loads the Pandas library and gives it the alias 'pd'. Pandas is Python's primary data analysis library — it provides the DataFrame (a table structure), and hundreds of functions for loading, cleaning, transforming, and analysing tabular data.</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Every data operation in the notebook uses pandas. Without it, we would need to write hundreds of lines of custom code to do what pd.read_csv, groupby, merge, and pivot_table do in a single line.</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import numpy as np</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Loads NumPy (Numerical Python) with alias 'np'. Provides fast mathematical operations on arrays: np.polyfit (trend lines), np.linspace (evenly spaced values), np.triu (upper triangle matrix mask), and mathematical functions.</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NumPy underpins pandas and matplotlib internally. We use it explicitly for the scatter plot trend line (np.polyfit), the correlation heatmap mask (np.triu), and clipping operations (.clip()).</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import matplotlib.pyplot as plt</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Loads Matplotlib's plotting interface as 'plt'. Every chart in the notebook — histograms, bar charts, line charts, scatter plots — is built using plt.subplots(), ax.plot(), ax.bar(), and related methods.</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Matplotlib is the foundation plotting library in Python. Seaborn builds on top of it for statistical charts. Direct matplotlib usage gives full control over every visual element — colours, labels, line styles, annotations.</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import seaborn as sns</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Loads Seaborn — a high-level statistical visualisation library built on matplotlib. Used specifically for sns.heatmap() (correlation heatmap) which would require hundreds of lines of matplotlib code to replicate.</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Seaborn handles complex statistical charts (heatmaps, distribution plots, regression plots) in one function call. sns.heatmap() with colour-coded cells, annotations, and a colour bar is a one-liner in seaborn vs a complex custom implementation in raw matplotlib.</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warnings.filterwarnings('ignore')</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Suppresses Python warning messages that would otherwise appear in the notebook output. Pandas 2.x produces several DeprecationWarnings for operations that work correctly but will change in a future version.</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Warnings cluttering the output confuse students and obscure the actual results. In a production environment, warnings would be logged to a monitoring system rather than printed to a user interface.</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plt.rcParams['figure.facecolor'] = '#F8FAFC'</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rcParams (runtime configuration parameters) are global settings that apply to ALL subsequent matplotlib charts in the session. Setting figure.facecolor once here means every chart automatically has a light grey background without repeating this in every chart cell.</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Consistency in chart styling across a notebook is professional practice. Setting rcParams once at the top is the DRY (Don't Repeat Yourself) principle applied to visualisation.</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JUMIA_ORANGE = '#F68B1F'</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Stores the hex colour code for Jumia's brand orange as a named variable. #F68B1F is Jumia's official orange from their brand guidelines.</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Using a named constant means changing the primary colour requires editing one line, not searching through every chart. It also communicates intent: the reader immediately knows this is the brand colour, not an arbitrary choice.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All libraries imported successfully</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Pandas version     : 3.0.2</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NumPy version      : 2.4.4</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Seaborn version    : 0.13.x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D6E8F7" w:val="clear"/>
            <w:tcMar>
              <w:top w:type="dxa" w:w="100"/>
              <w:left w:type="dxa" w:w="180"/>
              <w:bottom w:type="dxa" w:w="100"/>
              <w:right w:type="dxa" w:w="180"/>
            </w:tcMar>
          </w:tcPr>
          <w:p>
            <w:pPr>
              <w:spacing w:after="60" w:before="0"/>
            </w:pPr>
            <w:r>
              <w:rPr>
                <w:rFonts w:ascii="Arial" w:cs="Arial" w:eastAsia="Arial" w:hAnsi="Arial"/>
                <w:b/>
                <w:bCs/>
                <w:color w:val="1A5276"/>
                <w:sz w:val="20"/>
                <w:szCs w:val="20"/>
              </w:rPr>
              <w:t xml:space="preserve">Output Interpretation</w:t>
            </w:r>
          </w:p>
          <w:p>
            <w:pPr>
              <w:spacing w:after="0" w:before="0"/>
            </w:pPr>
            <w:r>
              <w:rPr>
                <w:rFonts w:ascii="Arial" w:cs="Arial" w:eastAsia="Arial" w:hAnsi="Arial"/>
                <w:color w:val="2C3E50"/>
                <w:sz w:val="20"/>
                <w:szCs w:val="20"/>
              </w:rPr>
              <w:t xml:space="preserve">The version numbers confirm all libraries are installed and compatible. If any import fails with 'ModuleNotFoundError', run pip install [package_name] in the terminal before re-running the cell. Always check that pandas is version 1.5+ and seaborn is 0.12+ for the functions used in this notebook.</w:t>
            </w:r>
          </w:p>
        </w:tc>
      </w:tr>
    </w:tbl>
    <w:p>
      <w:pPr>
        <w:spacing w:after="0" w:before="100"/>
      </w:pPr>
      <w:r>
        <w:t xml:space="preserve"/>
      </w:r>
    </w:p>
    <w:p>
      <w:pPr>
        <w:spacing w:after="80" w:before="200"/>
      </w:pPr>
      <w:r>
        <w:rPr>
          <w:rFonts w:ascii="Arial" w:cs="Arial" w:eastAsia="Arial" w:hAnsi="Arial"/>
          <w:b/>
          <w:bCs/>
          <w:color w:val="2980B9"/>
          <w:sz w:val="23"/>
          <w:szCs w:val="23"/>
        </w:rPr>
        <w:t xml:space="preserve">Load, Inspect Shape, dtypes, describe()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df = pd.read_csv('jumia_sales_data.csv')</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Shape and size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print(f'Rows: {df.shape[0]:,}')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print(f'Columns: {df.shape[1]}')</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print(f'Memory: {df.memory_usage(deep=True).sum()/1024:.1f} KB')</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Data types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print(df.dtypes)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Statistical summary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df.describe().round(2)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2960"/>
      </w:tblGrid>
      <w:tr>
        <w:trPr>
          <w:tblHeader/>
        </w:trPr>
        <w:tc>
          <w:tcPr>
            <w:tcW w:type="dxa" w:w="29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Code / Line</w:t>
            </w:r>
          </w:p>
        </w:tc>
        <w:tc>
          <w:tcPr>
            <w:tcW w:type="dxa" w:w="35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It Does &amp; Means</w:t>
            </w:r>
          </w:p>
        </w:tc>
        <w:tc>
          <w:tcPr>
            <w:tcW w:type="dxa" w:w="296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Why Written This Way &amp; What Problem It Solves</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pd.read_csv('jumia_sales_data.csv')</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Reads the CSV file into a pandas DataFrame. Every row becomes a record; every column header becomes a Series. All values initially read as strings unless pandas can infer a numeric type (integers and decimals are auto-detected). Dates remain as strings.</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read_csv is the universal entry point for tabular data analysis in Python. It handles quoted strings containing commas (like city names 'Ikeja, Lagos'), encoding, and custom delimiters automatically.</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df.shape[0], df.shape[1]</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df.shape returns a tuple (rows, columns). shape[0] is the row count; shape[1] is the column count. Verifying these confirms the full file was loaded.</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A common loading error is truncation — only the first N rows load if there is an encoding error midway through. Checking shape immediately after loading catches this. Expected: (3000, 28).</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df.memory_usage(deep=True).sum()/1024</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Computes the RAM usage of the DataFrame in kilobytes. deep=True ensures string columns are accurately measured (otherwise object columns are underestimated).</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Memory awareness is important for scalability. At 3,000 rows, memory is trivial. At 3,000,000 rows (a real Jumia dataset), memory management becomes critical. This teaches the habit of checking before problems arise.</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df.dtypes</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Shows the data type of every column. Expected types: object (string) for names and dates, float64 for prices/percentages, int64 for counts and binary flags.</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Incorrect data types cause silent errors. A numeric column stored as object means df['amount'].sum() would concatenate strings instead of adding numbers. dtypes is the first diagnostic step.</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df.describe().round(2)</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Computes 8 summary statistics for every numeric column simultaneously: count (non-null values), mean, std (standard deviation), min, 25th percentile, 50th percentile (median), 75th percentile, and max. .round(2) rounds all values to 2 decimal places for readability.</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describe() gives an instant overview of scale, spread, and potential issues. If count is less than 3000 for any column, there are missing values. If min is negative for a price column, there is a data error. If max is 1000× the mean, there may be outliers.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DATASET LOADED — JUMIA NIGERIA SALES 2023</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Rows (orders)  : 3,000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Columns        : 28</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Memory usage   : ~580 KB</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COLUMN DATA TYPES:</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order_id            object   (string)</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order_date          object   (string — convert to datetime in Sec 2)</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total_revenue       float64</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profit              float64</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quantity            int64</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is_return           int64</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STATISTICAL SUMMARY (describe):</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total_revenue : count=3000, mean=192570, std=196341, min=300, max=1530000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customer_rating: count=2875, mean=4.02, std=0.47, min=2.5, max=5.0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D6E8F7" w:val="clear"/>
            <w:tcMar>
              <w:top w:type="dxa" w:w="100"/>
              <w:left w:type="dxa" w:w="180"/>
              <w:bottom w:type="dxa" w:w="100"/>
              <w:right w:type="dxa" w:w="180"/>
            </w:tcMar>
          </w:tcPr>
          <w:p>
            <w:pPr>
              <w:spacing w:after="60" w:before="0"/>
            </w:pPr>
            <w:r>
              <w:rPr>
                <w:rFonts w:ascii="Arial" w:cs="Arial" w:eastAsia="Arial" w:hAnsi="Arial"/>
                <w:b/>
                <w:bCs/>
                <w:color w:val="1A5276"/>
                <w:sz w:val="20"/>
                <w:szCs w:val="20"/>
              </w:rPr>
              <w:t xml:space="preserve">Output Interpretation</w:t>
            </w:r>
          </w:p>
          <w:p>
            <w:pPr>
              <w:spacing w:after="0" w:before="0"/>
            </w:pPr>
            <w:r>
              <w:rPr>
                <w:rFonts w:ascii="Arial" w:cs="Arial" w:eastAsia="Arial" w:hAnsi="Arial"/>
                <w:color w:val="2C3E50"/>
                <w:sz w:val="20"/>
                <w:szCs w:val="20"/>
              </w:rPr>
              <w:t xml:space="preserve">3,000 rows and 28 columns loaded. Memory is minimal for this training dataset. The dtypes output immediately reveals order_date as 'object' (string) — a conversion needed in Section 2. The describe() output shows customer_rating has count=2875 (not 3000) — confirming missing values we will handle in Section 1. The total_revenue range (₦300 to ₦1.53M) reflects the dataset's product diversity: ₦300 is a pack of noodles; ₦1.53M is a premium laptop order.</w:t>
            </w:r>
          </w:p>
        </w:tc>
      </w:tr>
    </w:tbl>
    <w:p>
      <w:pPr>
        <w:spacing w:after="0" w:before="200"/>
      </w:pPr>
      <w:r>
        <w:t xml:space="preserve"/>
      </w:r>
    </w:p>
    <w:p>
      <w:pPr>
        <w:pStyle w:val="Heading2"/>
        <w:spacing w:after="100" w:before="280"/>
      </w:pPr>
      <w:r>
        <w:rPr>
          <w:rFonts w:ascii="Arial" w:cs="Arial" w:eastAsia="Arial" w:hAnsi="Arial"/>
          <w:b/>
          <w:bCs/>
          <w:color w:val="1A5276"/>
          <w:sz w:val="26"/>
          <w:szCs w:val="26"/>
        </w:rPr>
        <w:t xml:space="preserve">Section 1 — Handling Missing Values</w:t>
      </w:r>
    </w:p>
    <w:p>
      <w:pPr>
        <w:spacing w:after="80" w:before="200"/>
      </w:pPr>
      <w:r>
        <w:rPr>
          <w:rFonts w:ascii="Arial" w:cs="Arial" w:eastAsia="Arial" w:hAnsi="Arial"/>
          <w:b/>
          <w:bCs/>
          <w:color w:val="2980B9"/>
          <w:sz w:val="23"/>
          <w:szCs w:val="23"/>
        </w:rPr>
        <w:t xml:space="preserve">Count, Visualise, and Treat Missing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Count missing values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missing = df.isnull().sum()</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missing_cols = missing[missing &gt; 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Visualise: bar chart + heatmap</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sns.heatmap(df[missing_cols.index].isnull().head(200).T,</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cmap=['#2ECC71','#E74C3C'], cbar=False)</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 Treat missing values</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df_clean = df.copy()</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df_clean['discount_percent'] = df_clean['discount_percent'].fillna(0)</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cat_median = df_clean.groupby('category')['shipping_fee'].transform('median')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df_clean['shipping_fee'] = df_clean['shipping_fee'].fillna(cat_median)</w:t>
            </w:r>
          </w:p>
        </w:tc>
      </w:tr>
      <w:tr>
        <w:tc>
          <w:tcPr>
            <w:tcW w:type="dxa" w:w="936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after="16" w:before="16"/>
            </w:pPr>
            <w:r>
              <w:rPr>
                <w:rFonts w:ascii="Courier New" w:cs="Courier New" w:eastAsia="Courier New" w:hAnsi="Courier New"/>
                <w:color w:val="CDD6F4"/>
                <w:sz w:val="19"/>
                <w:szCs w:val="19"/>
              </w:rPr>
              <w:t xml:space="preserve">df_clean['brand']          = df_clean['brand'].fillna('Unknown Brand')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2960"/>
      </w:tblGrid>
      <w:tr>
        <w:trPr>
          <w:tblHeader/>
        </w:trPr>
        <w:tc>
          <w:tcPr>
            <w:tcW w:type="dxa" w:w="29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Code / Line</w:t>
            </w:r>
          </w:p>
        </w:tc>
        <w:tc>
          <w:tcPr>
            <w:tcW w:type="dxa" w:w="35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It Does &amp; Means</w:t>
            </w:r>
          </w:p>
        </w:tc>
        <w:tc>
          <w:tcPr>
            <w:tcW w:type="dxa" w:w="296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Why Written This Way &amp; What Problem It Solves</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df.isnull().sum()</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isnull() returns a DataFrame of True/False values — True where a cell is NaN (missing). .sum() on a boolean Series counts True values (True=1) per column. The result is a Series mapping each column to its missing value count.</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This single line gives a complete missing value audit in one shot. More efficient than checking column by column.</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missing[missing &gt; 0]</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Filters the missing Series to keep only columns with at least one missing value. The boolean condition missing &gt; 0 returns True for columns with missing values; only those are retained.</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In a 28-column dataset, many columns will have 0 missing values. Showing only the problematic columns makes the output concise and actionable.</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sns.heatmap(df[missing_cols.index].isnull().head(200).T, cmap=['#2ECC71','#E74C3C'])</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Creates a colour-coded heatmap. isnull() converts cells to True/False. .head(200) takes first 200 rows. .T transposes (rows become columns). cmap=['green','red'] maps False→green (present) and True→red (missing). cbar=False removes the colour scale legend.</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The heatmap immediately reveals the PATTERN of missingness. A random scatter of red cells = Missing At Random (acceptable). A block of red cells in a specific row range = systematic recording failure (serious problem requiring investigation).</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 = df.copy()</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Creates a complete independent copy of the original DataFrame. All transformations are applied to df_clean, leaving df unchanged.</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If we modified df directly and made an error, we would have to reload the CSV to start fresh. With df.copy(), we can always restart Section 1 with the original clean df still available.</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df_clean['discount_percent'].fillna(0)</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fillna(0) replaces every NaN in discount_percent with the integer 0. The result is assigned back to the column, overwriting the NaNs.</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Missing discount is not 'unknown' — it means NO discount was applied. 0 is the factually correct value. This is the only missing value treatment that requires no statistical estimation.</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df_clean.groupby('category')['shipping_fee'].transform('median')</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groupby('category') splits the DataFrame by category. ['shipping_fee'] accesses that column within each group. transform('median') computes the median shipping fee for each category and returns a Series of the SAME LENGTH as the original DataFrame, with each row receiving its group's median. fillna() then fills only the NaN positions.</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transform is the key function here — unlike agg() which reduces to one value per group, transform returns a full-length Series aligned with the original index. This allows us to fill each missing shipping_fee with its category-appropriate median in a single operation.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MISSING VALUES REPORT:</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Column                   Missing    % of Rows  Visual</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customer_rating            121       4.0%  ░░░░░░░░░░░░</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shipping_fee                89       3.0%  ░░░░░░░░░</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brand                       65       2.2%  ░░░░░░░</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discount_percent            50       1.7%  ░░░░░</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TOTAL MISSING             325       0.39% of all cells</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Complete rows (no missing): 2,689 of 3,000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discount_percent : missing → 0 (no discount applied)</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shipping_fee     : missing → category-specific median</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brand            : missing → 'Unknown Brand'</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customer_rating  : missing → category median</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Missing values remaining: 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Dataset is now complete.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D6E8F7" w:val="clear"/>
            <w:tcMar>
              <w:top w:type="dxa" w:w="100"/>
              <w:left w:type="dxa" w:w="180"/>
              <w:bottom w:type="dxa" w:w="100"/>
              <w:right w:type="dxa" w:w="180"/>
            </w:tcMar>
          </w:tcPr>
          <w:p>
            <w:pPr>
              <w:spacing w:after="60" w:before="0"/>
            </w:pPr>
            <w:r>
              <w:rPr>
                <w:rFonts w:ascii="Arial" w:cs="Arial" w:eastAsia="Arial" w:hAnsi="Arial"/>
                <w:b/>
                <w:bCs/>
                <w:color w:val="1A5276"/>
                <w:sz w:val="20"/>
                <w:szCs w:val="20"/>
              </w:rPr>
              <w:t xml:space="preserve">Output Interpretation</w:t>
            </w:r>
          </w:p>
          <w:p>
            <w:pPr>
              <w:spacing w:after="0" w:before="0"/>
            </w:pPr>
            <w:r>
              <w:rPr>
                <w:rFonts w:ascii="Arial" w:cs="Arial" w:eastAsia="Arial" w:hAnsi="Arial"/>
                <w:color w:val="2C3E50"/>
                <w:sz w:val="20"/>
                <w:szCs w:val="20"/>
              </w:rPr>
              <w:t xml:space="preserve">Four columns have missing values, all below 5% — a healthy dataset. The visual bar using '░' characters gives an instant proportional sense without needing a chart. The specific percentages matter: 4% missing ratings is normal (customers don't always review); 2.2% missing brand is acceptable; 0% missing revenue and profit confirms the core financial data is complete. The final '0 remaining' confirms all four treatments worked correctly.</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2 — Data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2960"/>
      </w:tblGrid>
      <w:tr>
        <w:trPr>
          <w:tblHeader/>
        </w:trPr>
        <w:tc>
          <w:tcPr>
            <w:tcW w:type="dxa" w:w="29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Code / Line</w:t>
            </w:r>
          </w:p>
        </w:tc>
        <w:tc>
          <w:tcPr>
            <w:tcW w:type="dxa" w:w="35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It Does &amp; Means</w:t>
            </w:r>
          </w:p>
        </w:tc>
        <w:tc>
          <w:tcPr>
            <w:tcW w:type="dxa" w:w="296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Why Written This Way &amp; What Problem It Solves</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pd.to_datetime(df_clean['order_date'])</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Converts the string column '2023-01-15' into a pandas Timestamp object: Timestamp('2023-01-15 00:00:00'). The Timestamp type supports all date arithmetic and the .dt accessor.</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String comparison of dates is alphabetical ('2023-11' &gt; '2023-02' works, but '2023-11-01' vs '2023-2-15' would fail). Timestamp comparison is chronological and correct. The .dt accessor only works after this conversion.</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df_clean['order_date'].dt.month</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The .dt accessor provides date/time component extraction. .dt.month returns the month as an integer (1=January, 12=December) for every row simultaneously.</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Month numbers are required for groupby('month_num') operations that produce chronologically ordered output. String month names ('January', 'February') sort alphabetically, which would show April before August — wrong for a time series.</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df_clean['order_date'].dt.isocalendar().week</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Returns the ISO week number (1–52) for each date. ISO weeks start on Monday and are the international standard for week numbering.</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Weekly granularity is between monthly (too coarse for operational analysis) and daily (too noisy). Week numbers allow trend analysis at a level that reveals patterns invisible at monthly aggregation.</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df_clean['order_date'].dt.dayofweek.isin([5,6]).astype(int)</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dt.dayofweek returns 0=Monday through 6=Sunday. isin([5,6]) returns True for Saturday and Sunday. .astype(int) converts True→1, False→0. Creates a binary weekend indicator.</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The binary encoding (0/1) allows the is_weekend column to be used in both filters (df[df['is_weekend']==1]) and statistical operations (df_clean['is_weekend'].mean() gives the weekend transaction rate).</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pd.cut(df_clean['total_revenue'], bins=bins, labels=labels, right=True)</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pd.cut() bins a continuous variable into discrete categories. bins=[0,5000,20000,100000,inf] defines 4 intervals. labels=['Small','Medium','Large','Premium'] names them. right=True makes each bin include the right endpoint: (0,5000] means orders of exactly ₦5000 fall in 'Small', not 'Medium'.</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Binning converts a metric that varies from ₦300 to ₦1.5M into 4 manageable categories for groupby analysis, bar charts, and management reporting. It is equivalent to Excel's IF nesting for band classification but in one readable line.</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df_clean[col].astype(str).str.strip().str.title()</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astype(str) ensures the column is string type. .str.strip() removes whitespace from both ends of every value. .str.title() capitalises the first letter of each word. All three methods are chained — applied in sequence.</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Without strip(), ' Lagos' and 'Lagos' are different groups in a groupby. Without title(), 'electronics' and 'Electronics' are different groups. These silent duplications inflate category counts and split revenue across phantom groups.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AFTER SECTION 2 CLEANING:</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order_date type : datetime64[ns]  (was object/string)</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New columns     : year, month_num, week_of_year, is_weekend, order_size_band</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ORDER SIZE BAND DISTRIBUTION:</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Small (₦0–5K)          :   412  (13.7%)  ███████</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Medium (₦5K–20K)       : 1,124  (37.5%)  ██████████████████</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Large (₦20K–100K)      : 1,089  (36.3%)  ██████████████████</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Premium (₦100K+)       :   375  (12.5%)  ██████</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String cleaning applied to 8 columns</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Unique categories: ['Beauty &amp; Health', 'Books &amp; Education', 'Computing', ...]</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Data is clean and ready for analysis.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D6E8F7" w:val="clear"/>
            <w:tcMar>
              <w:top w:type="dxa" w:w="100"/>
              <w:left w:type="dxa" w:w="180"/>
              <w:bottom w:type="dxa" w:w="100"/>
              <w:right w:type="dxa" w:w="180"/>
            </w:tcMar>
          </w:tcPr>
          <w:p>
            <w:pPr>
              <w:spacing w:after="60" w:before="0"/>
            </w:pPr>
            <w:r>
              <w:rPr>
                <w:rFonts w:ascii="Arial" w:cs="Arial" w:eastAsia="Arial" w:hAnsi="Arial"/>
                <w:b/>
                <w:bCs/>
                <w:color w:val="1A5276"/>
                <w:sz w:val="20"/>
                <w:szCs w:val="20"/>
              </w:rPr>
              <w:t xml:space="preserve">Output Interpretation</w:t>
            </w:r>
          </w:p>
          <w:p>
            <w:pPr>
              <w:spacing w:after="0" w:before="0"/>
            </w:pPr>
            <w:r>
              <w:rPr>
                <w:rFonts w:ascii="Arial" w:cs="Arial" w:eastAsia="Arial" w:hAnsi="Arial"/>
                <w:color w:val="2C3E50"/>
                <w:sz w:val="20"/>
                <w:szCs w:val="20"/>
              </w:rPr>
              <w:t xml:space="preserve">The order_date type change from object to datetime64[ns] confirms the conversion was successful. The order size band distribution reveals the revenue structure: Medium and Large orders each account for approximately 37% of orders — these are the backbone of Jumia's business. Premium orders (12.5%) are infrequent but likely contribute a disproportionate share of total revenue. Small orders (13.7%) are high-frequency but low-value. After cleaning, all 8 string columns have consistent formatting confirmed by printing the unique values list.</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4 — Code Walkthrough: Sections 3, 4, and 5</w:t>
      </w:r>
    </w:p>
    <w:p>
      <w:pPr>
        <w:pStyle w:val="Heading2"/>
        <w:spacing w:after="100" w:before="280"/>
      </w:pPr>
      <w:r>
        <w:rPr>
          <w:rFonts w:ascii="Arial" w:cs="Arial" w:eastAsia="Arial" w:hAnsi="Arial"/>
          <w:b/>
          <w:bCs/>
          <w:color w:val="1A5276"/>
          <w:sz w:val="26"/>
          <w:szCs w:val="26"/>
        </w:rPr>
        <w:t xml:space="preserve">Section 3 — Data Extraction &amp;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2960"/>
      </w:tblGrid>
      <w:tr>
        <w:trPr>
          <w:tblHeader/>
        </w:trPr>
        <w:tc>
          <w:tcPr>
            <w:tcW w:type="dxa" w:w="29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Code / Line</w:t>
            </w:r>
          </w:p>
        </w:tc>
        <w:tc>
          <w:tcPr>
            <w:tcW w:type="dxa" w:w="35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It Does &amp; Means</w:t>
            </w:r>
          </w:p>
        </w:tc>
        <w:tc>
          <w:tcPr>
            <w:tcW w:type="dxa" w:w="296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Why Written This Way &amp; What Problem It Solves</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df_clean[df_clean['order_status'] == 'Delivered']</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Boolean indexing. df_clean['order_status'] == 'Delivered' creates a True/False Series (True for delivered rows). Passing this inside df_clean[] returns only the True rows — all 28 columns for rows where order_status equals 'Delivered'.</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This is the most fundamental and frequently used data operation in pandas. Every analysis requires filtering to a specific subset. The pattern df[df['col'] == 'value'] appears in almost every data analytics script.</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df_clean[(c1) &amp; (c2) &amp; (c3)]</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Combines multiple boolean conditions with &amp; (element-wise AND). All three conditions must be True simultaneously for a row to be included. Each condition is wrapped in parentheses — this is required in pandas because &amp; has higher precedence than == without parentheses.</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Multiple conditions without parentheses would raise an error or produce wrong results. Always parenthesise each condition when using &amp; or | in pandas boolean indexing.</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df_clean['total_revenue'].idxmax()</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idxmax() returns the INDEX LABEL of the row containing the maximum value in the Series. Not the maximum value itself — the row identifier. This index can then be passed to .loc to retrieve the complete row.</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This pattern (find extreme value's index, then retrieve full row with .loc) is the standard pandas approach for 'give me the complete record with the highest/lowest X'. SQL equivalent: SELECT * ORDER BY column DESC LIMIT 1.</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df_clean.query("gross_margin_pct &gt; 40 and order_status == 'Delivered'")</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.query() evaluates a string expression as a filter condition. Variable names in the DataFrame are referenced directly. 'and' (lowercase) works in query strings, unlike &amp; in boolean indexing. Quotation marks inside the string use single quotes.</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query() is more readable for complex multi-condition filters. It reads like natural language: 'find rows where margin &gt; 40 AND status is Delivered'. Useful when sharing filters with non-technical stakeholders.</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df_clean.nlargest(10, 'profit')</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Returns the 10 rows with the highest values in the 'profit' column, sorted descending. Equivalent to SQL: ORDER BY profit DESC LIMIT 10. More concise than df.sort_values('profit', ascending=False).head(10).</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nlargest/nsmallest are optimised for finding top/bottom N records — they use a partial sort algorithm faster than full sorting when N is much smaller than the dataset size.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Delivered orders: 2,002 of 3,000 (66.7%)</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Premium orders (&gt;=N100K): 375</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Electronics | Delivered | Lagos: 187 orders</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Cancelled or Returned: 390 orders (13.0%)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HIGHEST-REVENUE SINGLE ORDER:</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Order ID  : JO-2023-11847</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Product   : Laptop 15.6inch i5</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Category  : Computing</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Revenue   : N1,530,000.00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State     : Lagos</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Status    : Delivered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D6E8F7" w:val="clear"/>
            <w:tcMar>
              <w:top w:type="dxa" w:w="100"/>
              <w:left w:type="dxa" w:w="180"/>
              <w:bottom w:type="dxa" w:w="100"/>
              <w:right w:type="dxa" w:w="180"/>
            </w:tcMar>
          </w:tcPr>
          <w:p>
            <w:pPr>
              <w:spacing w:after="60" w:before="0"/>
            </w:pPr>
            <w:r>
              <w:rPr>
                <w:rFonts w:ascii="Arial" w:cs="Arial" w:eastAsia="Arial" w:hAnsi="Arial"/>
                <w:b/>
                <w:bCs/>
                <w:color w:val="1A5276"/>
                <w:sz w:val="20"/>
                <w:szCs w:val="20"/>
              </w:rPr>
              <w:t xml:space="preserve">Output Interpretation</w:t>
            </w:r>
          </w:p>
          <w:p>
            <w:pPr>
              <w:spacing w:after="0" w:before="0"/>
            </w:pPr>
            <w:r>
              <w:rPr>
                <w:rFonts w:ascii="Arial" w:cs="Arial" w:eastAsia="Arial" w:hAnsi="Arial"/>
                <w:color w:val="2C3E50"/>
                <w:sz w:val="20"/>
                <w:szCs w:val="20"/>
              </w:rPr>
              <w:t xml:space="preserve">The 66.7% delivery rate means 2 in 3 orders are successfully fulfilled. The 13% cancelled+returned rate represents direct revenue loss. The highest single-order revenue (₦1.53M) is for a laptop in Lagos — typical for the computing category's premium products. This single order contributes more revenue than approximately 5,100 grocery orders at ₦300 each — illustrating the massive revenue concentration in premium computing products.</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4 — Data Manipulation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2960"/>
      </w:tblGrid>
      <w:tr>
        <w:trPr>
          <w:tblHeader/>
        </w:trPr>
        <w:tc>
          <w:tcPr>
            <w:tcW w:type="dxa" w:w="29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Code / Line</w:t>
            </w:r>
          </w:p>
        </w:tc>
        <w:tc>
          <w:tcPr>
            <w:tcW w:type="dxa" w:w="35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It Does &amp; Means</w:t>
            </w:r>
          </w:p>
        </w:tc>
        <w:tc>
          <w:tcPr>
            <w:tcW w:type="dxa" w:w="296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Why Written This Way &amp; What Problem It Solves</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df_clean.groupby('category').agg(
  total_orders=('order_id','count'),
  total_revenue=('total_revenue','sum'),
  avg_rating=('customer_rating','mean')
)</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groupby('category') creates a GroupBy object — the DataFrame split into 8 groups by category. .agg() applies aggregation functions to specified columns. The dictionary syntax ('new_name': ('source_col', 'function')) defines each output column. 'count' counts rows; 'sum' adds values; 'mean' computes average.</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This single statement replaces what would be 8 separate filtered DataFrames + manual calculations in Excel. It computes ALL aggregations for ALL groups in ONE operation. SQL equivalent: SELECT category, COUNT(*), SUM(revenue), AVG(rating) FROM orders GROUP BY category.</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df_clean.pivot_table(
  values='total_revenue',
  index='category',
  columns='quarter',
  aggfunc='sum',
  fill_value=0
)</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pivot_table creates a cross-tabulation matrix. values='total_revenue' is the metric. index='category' becomes the rows. columns='quarter' becomes the columns. aggfunc='sum' aggregates each cell. fill_value=0 replaces NaN (no orders in that combination) with 0.</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The pivot table reveals relationships between two categorical dimensions simultaneously — something that two separate groupby operations cannot do. Excel PivotTable users will recognise this pattern immediately. The matrix format makes quarterly trends per category instantly readable.</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df_clean.apply(classify_performance, axis=1)</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.apply() runs the classify_performance function on every row. axis=1 means 'apply across columns for each row' — the function receives one entire row as its input (a Series with 28 values). axis=0 would apply column-by-column.</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apply() is the most flexible tool in pandas — it handles any custom logic that no built-in function covers. Multi-condition classification (if revenue &gt; X AND margin &gt; Y → tier) is the canonical use case. The trade-off: apply() is slower than vectorised operations for large datasets.</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state_kpi.merge(region_map, on='state', how='left')</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.merge() joins two DataFrames on a shared key column. on='state' is the shared key. how='left' keeps ALL rows from state_kpi (left) and adds matching columns from region_map (right). States not found in region_map get NaN in the region column.</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merge is pandas' equivalent of SQL JOIN and Excel VLOOKUP. It is the fundamental tool for combining data from different sources. 'left' join is the safest default — no data is lost from the primary table, and unmatched rows are clearly visible as NaN rather than silently dropped.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CATEGORY PERFORMANCE SUMMARY:</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Category             Orders    Rev(NM) Profit(NM)  AvgOV  Margin  Rating  Return% RevShare</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Computing              312     185.42      28.50  594300   15.4%   4.02    4.8%    32.1%</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Electronics            601     142.38      29.90  236900   21.0%   4.05    5.1%    24.6%</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Home &amp; Kitchen         450      67.22      19.85  149400   29.5%   4.10    3.2%    11.6%</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Fashion                540      54.89      25.71  101600   46.8%   3.98    6.2%     9.5%</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Beauty &amp; Health        420      42.56      20.83  101300   48.9%   4.18    2.8%     7.4%</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Sports &amp; Outdoor       300      37.50      11.63  125000   31.0%   4.12    3.9%     6.5%</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Groceries              360      27.43       3.29   76200    12.0%   4.08    1.5%     4.7%</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Books &amp; Education      217       7.24       2.82   33400    39.0%   4.22    1.1%     1.2%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D6E8F7" w:val="clear"/>
            <w:tcMar>
              <w:top w:type="dxa" w:w="100"/>
              <w:left w:type="dxa" w:w="180"/>
              <w:bottom w:type="dxa" w:w="100"/>
              <w:right w:type="dxa" w:w="180"/>
            </w:tcMar>
          </w:tcPr>
          <w:p>
            <w:pPr>
              <w:spacing w:after="60" w:before="0"/>
            </w:pPr>
            <w:r>
              <w:rPr>
                <w:rFonts w:ascii="Arial" w:cs="Arial" w:eastAsia="Arial" w:hAnsi="Arial"/>
                <w:b/>
                <w:bCs/>
                <w:color w:val="1A5276"/>
                <w:sz w:val="20"/>
                <w:szCs w:val="20"/>
              </w:rPr>
              <w:t xml:space="preserve">Output Interpretation</w:t>
            </w:r>
          </w:p>
          <w:p>
            <w:pPr>
              <w:spacing w:after="0" w:before="0"/>
            </w:pPr>
            <w:r>
              <w:rPr>
                <w:rFonts w:ascii="Arial" w:cs="Arial" w:eastAsia="Arial" w:hAnsi="Arial"/>
                <w:color w:val="2C3E50"/>
                <w:sz w:val="20"/>
                <w:szCs w:val="20"/>
              </w:rPr>
              <w:t xml:space="preserve">The category table is the single most informative output in the notebook. Computing has the highest revenue share (32.1%) but the lowest margin (15.4%) — it is Jumia's biggest category by sales but thinnest by profitability. Beauty &amp; Health has the highest margin (48.9%) with a low return rate (2.8%) and high rating (4.18) — the ideal category: profitable, loved, and rarely returned. Fashion has a high margin (46.8%) but the highest return rate (6.2%) and lowest rating (3.98) — sizing and description issues are hurting an otherwise high-margin business. Groceries has the lowest margin (12.0%) — commodity pricing makes this a volume game.</w:t>
            </w:r>
          </w:p>
        </w:tc>
      </w:tr>
    </w:tbl>
    <w:p>
      <w:pPr>
        <w:spacing w:after="0" w:before="100"/>
      </w:pPr>
      <w:r>
        <w:t xml:space="preserve"/>
      </w:r>
    </w:p>
    <w:p>
      <w:pPr>
        <w:pStyle w:val="Heading2"/>
        <w:spacing w:after="100" w:before="280"/>
      </w:pPr>
      <w:r>
        <w:rPr>
          <w:rFonts w:ascii="Arial" w:cs="Arial" w:eastAsia="Arial" w:hAnsi="Arial"/>
          <w:b/>
          <w:bCs/>
          <w:color w:val="1A5276"/>
          <w:sz w:val="26"/>
          <w:szCs w:val="26"/>
        </w:rPr>
        <w:t xml:space="preserve">Section 5 — Descriptive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2960"/>
      </w:tblGrid>
      <w:tr>
        <w:trPr>
          <w:tblHeader/>
        </w:trPr>
        <w:tc>
          <w:tcPr>
            <w:tcW w:type="dxa" w:w="29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Code / Line</w:t>
            </w:r>
          </w:p>
        </w:tc>
        <w:tc>
          <w:tcPr>
            <w:tcW w:type="dxa" w:w="350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It Does &amp; Means</w:t>
            </w:r>
          </w:p>
        </w:tc>
        <w:tc>
          <w:tcPr>
            <w:tcW w:type="dxa" w:w="2960"/>
            <w:tcBorders>
              <w:top w:val="single" w:color="1A5276" w:sz="1"/>
              <w:left w:val="single" w:color="1A5276" w:sz="1"/>
              <w:bottom w:val="single" w:color="1A5276" w:sz="1"/>
              <w:right w:val="single" w:color="1A5276" w:sz="1"/>
            </w:tcBorders>
            <w:shd w:fill="0D2B5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Why Written This Way &amp; What Problem It Solves</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data.mean(), data.median(), data.mode()[0]</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Three measures of central tendency: mean() computes the arithmetic average (sum/count). median() finds the middle value when sorted (robust to outliers). mode() returns the most frequent value as a Series; [0] extracts the first mode (there may be ties). All operate on a pandas Series.</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Using all three together tells the full story of a distribution. If mean &gt;&gt; median (total_revenue), the distribution is right-skewed — a few large orders pull the average up. Reporting only the mean to management would overstate the 'typical' order value.</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data.skew()</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Computes the skewness coefficient — a measure of asymmetry. Positive skew (&gt; 0.5): right tail is longer (few very large values). Negative skew (&lt; -0.5): left tail is longer. Near 0: approximately symmetric.</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Skewness determines which statistical tools are appropriate. Many parametric tests (t-test, linear regression) assume normally distributed (near-zero skew) data. Highly skewed revenue data should use log transformation or non-parametric tests.</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rev.quantile(0.90)</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quantile(p) returns the value below which p×100% of observations fall. quantile(0.90) = the 90th percentile = the value that 90% of orders are below. Equivalently, the top 10% threshold.</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Percentiles are more actionable than mean/std for business analysis. 'Our top 10% of orders are above ₦200K' is more useful than 'our standard deviation is ₦196K'. Percentiles define segments (top 1%, premium tier, etc.) directly.</w:t>
            </w:r>
          </w:p>
        </w:tc>
      </w:tr>
      <w:tr>
        <w:tc>
          <w:tcPr>
            <w:tcW w:type="dxa" w:w="2900"/>
            <w:tcBorders>
              <w:top w:val="single" w:color="BDC3C7" w:sz="1"/>
              <w:left w:val="single" w:color="BDC3C7" w:sz="1"/>
              <w:bottom w:val="single" w:color="BDC3C7" w:sz="1"/>
              <w:right w:val="single" w:color="BDC3C7" w:sz="1"/>
            </w:tcBorders>
            <w:shd w:fill="151525" w:val="clear"/>
            <w:tcMar>
              <w:top w:type="dxa" w:w="70"/>
              <w:left w:type="dxa" w:w="100"/>
              <w:bottom w:type="dxa" w:w="70"/>
              <w:right w:type="dxa" w:w="100"/>
            </w:tcMar>
          </w:tcPr>
          <w:p>
            <w:r>
              <w:rPr>
                <w:rFonts w:ascii="Courier New" w:cs="Courier New" w:eastAsia="Courier New" w:hAnsi="Courier New"/>
                <w:color w:val="CDD6F4"/>
                <w:sz w:val="17"/>
                <w:szCs w:val="17"/>
              </w:rPr>
              <w:t xml:space="preserve">iqr = q3 - q1
upper_fence = q3 + 1.5 * iqr</w:t>
            </w:r>
          </w:p>
        </w:tc>
        <w:tc>
          <w:tcPr>
            <w:tcW w:type="dxa" w:w="350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IQR = Q3 - Q1 is the range of the middle 50% of values — a spread measure robust to outliers. upper_fence = Q3 + 1.5×IQR is Tukey's fence — the boundary beyond which values are classified as outliers. Any value above upper_fence is a statistical outlier.</w:t>
            </w:r>
          </w:p>
        </w:tc>
        <w:tc>
          <w:tcPr>
            <w:tcW w:type="dxa" w:w="2960"/>
            <w:tcBorders>
              <w:top w:val="single" w:color="BDC3C7" w:sz="1"/>
              <w:left w:val="single" w:color="BDC3C7" w:sz="1"/>
              <w:bottom w:val="single" w:color="BDC3C7" w:sz="1"/>
              <w:right w:val="single" w:color="BDC3C7" w:sz="1"/>
            </w:tcBorders>
            <w:shd w:fill="F4F6F8" w:val="clear"/>
            <w:tcMar>
              <w:top w:type="dxa" w:w="70"/>
              <w:left w:type="dxa" w:w="100"/>
              <w:bottom w:type="dxa" w:w="70"/>
              <w:right w:type="dxa" w:w="100"/>
            </w:tcMar>
          </w:tcPr>
          <w:p>
            <w:r>
              <w:rPr>
                <w:rFonts w:ascii="Arial" w:cs="Arial" w:eastAsia="Arial" w:hAnsi="Arial"/>
                <w:color w:val="2C3E50"/>
                <w:sz w:val="18"/>
                <w:szCs w:val="18"/>
              </w:rPr>
              <w:t xml:space="preserve">The 1.5×IQR rule (Tukey's method) is the standard outlier detection technique used in box plots. Unlike mean±3×std, it is unaffected by the outliers themselves, making it self-consistent for skewed distributions.</w:t>
            </w:r>
          </w:p>
        </w:tc>
      </w:tr>
      <w:tr>
        <w:tc>
          <w:tcPr>
            <w:tcW w:type="dxa" w:w="2900"/>
            <w:tcBorders>
              <w:top w:val="single" w:color="BDC3C7" w:sz="1"/>
              <w:left w:val="single" w:color="BDC3C7" w:sz="1"/>
              <w:bottom w:val="single" w:color="BDC3C7" w:sz="1"/>
              <w:right w:val="single" w:color="BDC3C7" w:sz="1"/>
            </w:tcBorders>
            <w:shd w:fill="1E1E2E" w:val="clear"/>
            <w:tcMar>
              <w:top w:type="dxa" w:w="70"/>
              <w:left w:type="dxa" w:w="100"/>
              <w:bottom w:type="dxa" w:w="70"/>
              <w:right w:type="dxa" w:w="100"/>
            </w:tcMar>
          </w:tcPr>
          <w:p>
            <w:r>
              <w:rPr>
                <w:rFonts w:ascii="Courier New" w:cs="Courier New" w:eastAsia="Courier New" w:hAnsi="Courier New"/>
                <w:color w:val="CDD6F4"/>
                <w:sz w:val="17"/>
                <w:szCs w:val="17"/>
              </w:rPr>
              <w:t xml:space="preserve">corr_matrix = df_clean[num_cols].corr().round(3)</w:t>
            </w:r>
          </w:p>
        </w:tc>
        <w:tc>
          <w:tcPr>
            <w:tcW w:type="dxa" w:w="3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.corr() computes all pairwise Pearson correlation coefficients — a matrix where entry [i,j] is the correlation between column i and column j. The diagonal is always 1.0 (perfect self-correlation). .round(3) keeps 3 decimal places.</w:t>
            </w:r>
          </w:p>
        </w:tc>
        <w:tc>
          <w:tcPr>
            <w:tcW w:type="dxa" w:w="2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color w:val="2C3E50"/>
                <w:sz w:val="18"/>
                <w:szCs w:val="18"/>
              </w:rPr>
              <w:t xml:space="preserve">Computing all correlations in one matrix rather than pairwise is efficient and enables the heatmap visualisation. The matrix is symmetric: corr[A,B] always equals corr[B,A].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CENTRAL TENDENCY — TOTAL REVENUE:</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Mean     : N192,570.03  (inflated by premium orders)</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Median   : N  47,280.00  (more representative of typical order)</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Skewness : +3.847  (strong right-skew — few very large orders)</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PERCENTILE LADDER — TOTAL REVENUE:</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P10  (10% below) : N   3,240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Q1   (25% below) : N  12,850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P50  (median)    : N  47,280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Q3   (75% below) : N 219,600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P90  (top 10%)   : N 487,200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P99  (top 1%)    : N 916,800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IQR (Q3-Q1)      : N 206,750</w:t>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w:r>
          </w:p>
        </w:tc>
      </w:tr>
      <w:tr>
        <w:tc>
          <w:tcPr>
            <w:tcW w:type="dxa" w:w="9360"/>
            <w:tcBorders>
              <w:top w:val="none" w:color="FFFFFF" w:sz="0"/>
              <w:left w:val="none" w:color="FFFFFF" w:sz="0"/>
              <w:bottom w:val="none" w:color="FFFFFF" w:sz="0"/>
              <w:right w:val="none" w:color="FFFFFF" w:sz="0"/>
            </w:tcBorders>
            <w:shd w:fill="0A0A0A" w:val="clear"/>
            <w:tcMar>
              <w:top w:type="dxa" w:w="0"/>
              <w:left w:type="dxa" w:w="200"/>
              <w:bottom w:type="dxa" w:w="0"/>
              <w:right w:type="dxa" w:w="200"/>
            </w:tcMar>
          </w:tcPr>
          <w:p>
            <w:pPr>
              <w:spacing w:after="15" w:before="15"/>
            </w:pPr>
            <w:r>
              <w:rPr>
                <w:rFonts w:ascii="Courier New" w:cs="Courier New" w:eastAsia="Courier New" w:hAnsi="Courier New"/>
                <w:color w:val="98C379"/>
                <w:sz w:val="19"/>
                <w:szCs w:val="19"/>
              </w:rPr>
              <w:t xml:space="preserve">  Outliers (&gt;Q3+1.5xIQR): 127 orders (4.2%)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BDC3C7" w:sz="1"/>
              <w:right w:val="single" w:color="BDC3C7" w:sz="1"/>
            </w:tcBorders>
            <w:shd w:fill="D6E8F7" w:val="clear"/>
            <w:tcMar>
              <w:top w:type="dxa" w:w="100"/>
              <w:left w:type="dxa" w:w="180"/>
              <w:bottom w:type="dxa" w:w="100"/>
              <w:right w:type="dxa" w:w="180"/>
            </w:tcMar>
          </w:tcPr>
          <w:p>
            <w:pPr>
              <w:spacing w:after="60" w:before="0"/>
            </w:pPr>
            <w:r>
              <w:rPr>
                <w:rFonts w:ascii="Arial" w:cs="Arial" w:eastAsia="Arial" w:hAnsi="Arial"/>
                <w:b/>
                <w:bCs/>
                <w:color w:val="1A5276"/>
                <w:sz w:val="20"/>
                <w:szCs w:val="20"/>
              </w:rPr>
              <w:t xml:space="preserve">Output Interpretation</w:t>
            </w:r>
          </w:p>
          <w:p>
            <w:pPr>
              <w:spacing w:after="0" w:before="0"/>
            </w:pPr>
            <w:r>
              <w:rPr>
                <w:rFonts w:ascii="Arial" w:cs="Arial" w:eastAsia="Arial" w:hAnsi="Arial"/>
                <w:color w:val="2C3E50"/>
                <w:sz w:val="20"/>
                <w:szCs w:val="20"/>
              </w:rPr>
              <w:t xml:space="preserve">The gap between mean (₦192,570) and median (₦47,280) is enormous — the mean is 4.1× the median. This confirms extreme right skew (skewness = 3.847). The practical implication: if Jumia management reports 'average order value of ₦192,570', they are technically correct but misleading — most customers spend around ₦47,280. The median is the right metric for 'typical customer spending'. The percentile ladder shows the top 1% of orders exceed ₦916,800 — these are enterprise/wholesale buyers who must be managed differently from regular consumers.</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5 — Visualization Guide: Choosing the Right Chart</w:t>
      </w:r>
    </w:p>
    <w:p>
      <w:pPr>
        <w:spacing w:after="60" w:before="60"/>
      </w:pPr>
      <w:r>
        <w:rPr>
          <w:rFonts w:ascii="Arial" w:cs="Arial" w:eastAsia="Arial" w:hAnsi="Arial"/>
          <w:color w:val="2C3E50"/>
          <w:sz w:val="21"/>
          <w:szCs w:val="21"/>
        </w:rPr>
        <w:t xml:space="preserve">Every chart type communicates a specific type of comparison. Choosing the wrong chart creates confusion; the right chart makes the insight immediate. Here is when to use each chart type and what it reveals in this dataset.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160"/>
      </w:tblGrid>
      <w:tr>
        <w:trPr>
          <w:tblHeader/>
        </w:trPr>
        <w:tc>
          <w:tcPr>
            <w:tcW w:type="dxa" w:w="160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Chart Type</w:t>
            </w:r>
          </w:p>
        </w:tc>
        <w:tc>
          <w:tcPr>
            <w:tcW w:type="dxa" w:w="180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Best For</w:t>
            </w:r>
          </w:p>
        </w:tc>
        <w:tc>
          <w:tcPr>
            <w:tcW w:type="dxa" w:w="180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Used In Section</w:t>
            </w:r>
          </w:p>
        </w:tc>
        <w:tc>
          <w:tcPr>
            <w:tcW w:type="dxa" w:w="416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What It Reveals in Jumia Data</w:t>
            </w:r>
          </w:p>
        </w:tc>
      </w:tr>
      <w:tr>
        <w:tc>
          <w:tcPr>
            <w:tcW w:type="dxa" w:w="16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Bar Chart</w:t>
            </w:r>
          </w:p>
        </w:tc>
        <w:tc>
          <w:tcPr>
            <w:tcW w:type="dxa" w:w="18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Comparing a single metric across discrete categories</w:t>
            </w:r>
          </w:p>
        </w:tc>
        <w:tc>
          <w:tcPr>
            <w:tcW w:type="dxa" w:w="18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Section 7 (Revenue by Category, Margin by Category)</w:t>
            </w:r>
          </w:p>
        </w:tc>
        <w:tc>
          <w:tcPr>
            <w:tcW w:type="dxa" w:w="416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Which categories generate the most revenue; which are highest-margin. Horizontal bars better for long category names.</w:t>
            </w:r>
          </w:p>
        </w:tc>
      </w:tr>
      <w:tr>
        <w:tc>
          <w:tcPr>
            <w:tcW w:type="dxa" w:w="16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Line Chart</w:t>
            </w:r>
          </w:p>
        </w:tc>
        <w:tc>
          <w:tcPr>
            <w:tcW w:type="dxa" w:w="18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Showing change over time — trends and seasonality</w:t>
            </w:r>
          </w:p>
        </w:tc>
        <w:tc>
          <w:tcPr>
            <w:tcW w:type="dxa" w:w="18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Section 7 (Monthly Revenue Trend)</w:t>
            </w:r>
          </w:p>
        </w:tc>
        <w:tc>
          <w:tcPr>
            <w:tcW w:type="dxa" w:w="416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Whether Jumia is growing month-over-month; when peak seasons occur (Nov/Dec spikes). fill_between adds visual emphasis.</w:t>
            </w:r>
          </w:p>
        </w:tc>
      </w:tr>
      <w:tr>
        <w:tc>
          <w:tcPr>
            <w:tcW w:type="dxa" w:w="16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Pie / Donut</w:t>
            </w:r>
          </w:p>
        </w:tc>
        <w:tc>
          <w:tcPr>
            <w:tcW w:type="dxa" w:w="18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Showing composition — parts of a whole (adds to 100%)</w:t>
            </w:r>
          </w:p>
        </w:tc>
        <w:tc>
          <w:tcPr>
            <w:tcW w:type="dxa" w:w="18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Section 7 (Payment Methods), Section 9 Dashboard</w:t>
            </w:r>
          </w:p>
        </w:tc>
        <w:tc>
          <w:tcPr>
            <w:tcW w:type="dxa" w:w="416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What fraction of orders use each payment method. The donut variant is cleaner — the hole removes the misleading area encoding.</w:t>
            </w:r>
          </w:p>
        </w:tc>
      </w:tr>
      <w:tr>
        <w:tc>
          <w:tcPr>
            <w:tcW w:type="dxa" w:w="16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Histogram</w:t>
            </w:r>
          </w:p>
        </w:tc>
        <w:tc>
          <w:tcPr>
            <w:tcW w:type="dxa" w:w="18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Showing the distribution of one continuous variable</w:t>
            </w:r>
          </w:p>
        </w:tc>
        <w:tc>
          <w:tcPr>
            <w:tcW w:type="dxa" w:w="18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Section 6 (Revenue, Rating, Discount distributions)</w:t>
            </w:r>
          </w:p>
        </w:tc>
        <w:tc>
          <w:tcPr>
            <w:tcW w:type="dxa" w:w="416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Whether revenue is right-skewed; whether ratings cluster at 4–5; whether discounts are bimodally distributed (0% or round numbers).</w:t>
            </w:r>
          </w:p>
        </w:tc>
      </w:tr>
      <w:tr>
        <w:tc>
          <w:tcPr>
            <w:tcW w:type="dxa" w:w="16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Box Plot</w:t>
            </w:r>
          </w:p>
        </w:tc>
        <w:tc>
          <w:tcPr>
            <w:tcW w:type="dxa" w:w="18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Comparing distributions across groups; showing outliers</w:t>
            </w:r>
          </w:p>
        </w:tc>
        <w:tc>
          <w:tcPr>
            <w:tcW w:type="dxa" w:w="18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Section 7 (Revenue and Rating by Category)</w:t>
            </w:r>
          </w:p>
        </w:tc>
        <w:tc>
          <w:tcPr>
            <w:tcW w:type="dxa" w:w="416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Which categories have the most variable order values; where the typical rating sits per category; which categories have unhappy-customer outliers.</w:t>
            </w:r>
          </w:p>
        </w:tc>
      </w:tr>
      <w:tr>
        <w:tc>
          <w:tcPr>
            <w:tcW w:type="dxa" w:w="16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Scatter Plot</w:t>
            </w:r>
          </w:p>
        </w:tc>
        <w:tc>
          <w:tcPr>
            <w:tcW w:type="dxa" w:w="18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Relationship between two continuous variables</w:t>
            </w:r>
          </w:p>
        </w:tc>
        <w:tc>
          <w:tcPr>
            <w:tcW w:type="dxa" w:w="18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Section 7 (Revenue vs Profit, Discount vs Margin)</w:t>
            </w:r>
          </w:p>
        </w:tc>
        <w:tc>
          <w:tcPr>
            <w:tcW w:type="dxa" w:w="416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Whether more revenue leads to more profit; whether higher discounts reduce margins. Trend line (polyfit) quantifies the relationship direction and strength.</w:t>
            </w:r>
          </w:p>
        </w:tc>
      </w:tr>
      <w:tr>
        <w:tc>
          <w:tcPr>
            <w:tcW w:type="dxa" w:w="16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Heatmap</w:t>
            </w:r>
          </w:p>
        </w:tc>
        <w:tc>
          <w:tcPr>
            <w:tcW w:type="dxa" w:w="18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Showing magnitude of a value across two categorical dimensions</w:t>
            </w:r>
          </w:p>
        </w:tc>
        <w:tc>
          <w:tcPr>
            <w:tcW w:type="dxa" w:w="180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Section 6 (Correlation), Section 9 (Category × Quarter)</w:t>
            </w:r>
          </w:p>
        </w:tc>
        <w:tc>
          <w:tcPr>
            <w:tcW w:type="dxa" w:w="4160"/>
            <w:tcBorders>
              <w:top w:val="single" w:color="BDC3C7" w:sz="1"/>
              <w:left w:val="single" w:color="BDC3C7" w:sz="1"/>
              <w:bottom w:val="single" w:color="BDC3C7" w:sz="1"/>
              <w:right w:val="single" w:color="BDC3C7" w:sz="1"/>
            </w:tcBorders>
            <w:shd w:fill="FFFFFF" w:val="clear"/>
            <w:tcMar>
              <w:top w:type="dxa" w:w="70"/>
              <w:left w:type="dxa" w:w="80"/>
              <w:bottom w:type="dxa" w:w="70"/>
              <w:right w:type="dxa" w:w="80"/>
            </w:tcMar>
          </w:tcPr>
          <w:p>
            <w:r>
              <w:rPr>
                <w:rFonts w:ascii="Arial" w:cs="Arial" w:eastAsia="Arial" w:hAnsi="Arial"/>
                <w:color w:val="2C3E50"/>
                <w:sz w:val="17"/>
                <w:szCs w:val="17"/>
              </w:rPr>
              <w:t xml:space="preserve">Which metrics are most strongly correlated; which category-quarter combinations generate the most revenue.</w:t>
            </w:r>
          </w:p>
        </w:tc>
      </w:tr>
      <w:tr>
        <w:tc>
          <w:tcPr>
            <w:tcW w:type="dxa" w:w="16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Bubble Chart</w:t>
            </w:r>
          </w:p>
        </w:tc>
        <w:tc>
          <w:tcPr>
            <w:tcW w:type="dxa" w:w="18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Three-variable comparison simultaneously</w:t>
            </w:r>
          </w:p>
        </w:tc>
        <w:tc>
          <w:tcPr>
            <w:tcW w:type="dxa" w:w="180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Section 8, Section 9 (Channel: Order Value vs Margin vs Volume)</w:t>
            </w:r>
          </w:p>
        </w:tc>
        <w:tc>
          <w:tcPr>
            <w:tcW w:type="dxa" w:w="4160"/>
            <w:tcBorders>
              <w:top w:val="single" w:color="BDC3C7" w:sz="1"/>
              <w:left w:val="single" w:color="BDC3C7" w:sz="1"/>
              <w:bottom w:val="single" w:color="BDC3C7" w:sz="1"/>
              <w:right w:val="single" w:color="BDC3C7" w:sz="1"/>
            </w:tcBorders>
            <w:shd w:fill="F4F6F8" w:val="clear"/>
            <w:tcMar>
              <w:top w:type="dxa" w:w="70"/>
              <w:left w:type="dxa" w:w="80"/>
              <w:bottom w:type="dxa" w:w="70"/>
              <w:right w:type="dxa" w:w="80"/>
            </w:tcMar>
          </w:tcPr>
          <w:p>
            <w:r>
              <w:rPr>
                <w:rFonts w:ascii="Arial" w:cs="Arial" w:eastAsia="Arial" w:hAnsi="Arial"/>
                <w:color w:val="2C3E50"/>
                <w:sz w:val="17"/>
                <w:szCs w:val="17"/>
              </w:rPr>
              <w:t xml:space="preserve">Which sales channel combines high order value, high margin, AND high volume — all three at once. X-axis + Y-axis + bubble size = three dimensions in one chart.</w:t>
            </w:r>
          </w:p>
        </w:tc>
      </w:tr>
    </w:tbl>
    <w:p>
      <w:pPr>
        <w:spacing w:after="0" w:before="200"/>
      </w:pPr>
      <w:r>
        <w:t xml:space="preserve"/>
      </w:r>
    </w:p>
    <w:p>
      <w:pPr>
        <w:pBdr>
          <w:bottom w:val="single" w:color="BDC3C7" w:sz="2" w:space="1"/>
        </w:pBdr>
        <w:spacing w:after="200" w:before="200"/>
      </w:pPr>
      <w:r>
        <w:t xml:space="preserve"/>
      </w:r>
    </w:p>
    <w:p>
      <w:pPr>
        <w:pStyle w:val="Heading1"/>
        <w:pBdr>
          <w:bottom w:val="single" w:color="D4AC0D" w:sz="6" w:space="6"/>
        </w:pBdr>
        <w:spacing w:after="120" w:before="400"/>
      </w:pPr>
      <w:r>
        <w:rPr>
          <w:rFonts w:ascii="Arial" w:cs="Arial" w:eastAsia="Arial" w:hAnsi="Arial"/>
          <w:b/>
          <w:bCs/>
          <w:color w:val="0D2B55"/>
          <w:sz w:val="30"/>
          <w:szCs w:val="30"/>
        </w:rPr>
        <w:t xml:space="preserve">Part 6 — Business Analytics, KPIs, and the Capstone</w:t>
      </w:r>
    </w:p>
    <w:p>
      <w:pPr>
        <w:pStyle w:val="Heading2"/>
        <w:spacing w:after="100" w:before="280"/>
      </w:pPr>
      <w:r>
        <w:rPr>
          <w:rFonts w:ascii="Arial" w:cs="Arial" w:eastAsia="Arial" w:hAnsi="Arial"/>
          <w:b/>
          <w:bCs/>
          <w:color w:val="1A5276"/>
          <w:sz w:val="26"/>
          <w:szCs w:val="26"/>
        </w:rPr>
        <w:t xml:space="preserve">The 13 KPIs and What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160"/>
        <w:gridCol w:w="2800"/>
      </w:tblGrid>
      <w:tr>
        <w:trPr>
          <w:tblHeader/>
        </w:trPr>
        <w:tc>
          <w:tcPr>
            <w:tcW w:type="dxa" w:w="220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KPI</w:t>
            </w:r>
          </w:p>
        </w:tc>
        <w:tc>
          <w:tcPr>
            <w:tcW w:type="dxa" w:w="220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Formula</w:t>
            </w:r>
          </w:p>
        </w:tc>
        <w:tc>
          <w:tcPr>
            <w:tcW w:type="dxa" w:w="216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Industry Benchmark</w:t>
            </w:r>
          </w:p>
        </w:tc>
        <w:tc>
          <w:tcPr>
            <w:tcW w:type="dxa" w:w="2800"/>
            <w:tcBorders>
              <w:top w:val="single" w:color="1A5276" w:sz="1"/>
              <w:left w:val="single" w:color="1A5276" w:sz="1"/>
              <w:bottom w:val="single" w:color="1A5276" w:sz="1"/>
              <w:right w:val="single" w:color="1A5276" w:sz="1"/>
            </w:tcBorders>
            <w:shd w:fill="0D2B55" w:val="clear"/>
            <w:tcMar>
              <w:top w:type="dxa" w:w="80"/>
              <w:left w:type="dxa" w:w="80"/>
              <w:bottom w:type="dxa" w:w="80"/>
              <w:right w:type="dxa" w:w="80"/>
            </w:tcMar>
          </w:tcPr>
          <w:p>
            <w:pPr>
              <w:jc w:val="center"/>
            </w:pPr>
            <w:r>
              <w:rPr>
                <w:rFonts w:ascii="Arial" w:cs="Arial" w:eastAsia="Arial" w:hAnsi="Arial"/>
                <w:b/>
                <w:bCs/>
                <w:color w:val="FFFFFF"/>
                <w:sz w:val="17"/>
                <w:szCs w:val="17"/>
              </w:rPr>
              <w:t xml:space="preserve">Business Decision It Informs</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Courier New" w:cs="Courier New" w:eastAsia="Courier New" w:hAnsi="Courier New"/>
                <w:b/>
                <w:bCs/>
                <w:color w:val="2C3E50"/>
                <w:sz w:val="15"/>
                <w:szCs w:val="15"/>
              </w:rPr>
              <w:t xml:space="preserve">Total Revenue</w:t>
            </w:r>
          </w:p>
        </w:tc>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SUM(total_revenue)</w:t>
            </w:r>
          </w:p>
        </w:tc>
        <w:tc>
          <w:tcPr>
            <w:tcW w:type="dxa" w:w="216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Context-dependent</w:t>
            </w:r>
          </w:p>
        </w:tc>
        <w:tc>
          <w:tcPr>
            <w:tcW w:type="dxa" w:w="28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Headline business scale. Year-over-year comparison reveals growth rate.</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Courier New" w:cs="Courier New" w:eastAsia="Courier New" w:hAnsi="Courier New"/>
                <w:b/>
                <w:bCs/>
                <w:color w:val="2C3E50"/>
                <w:sz w:val="15"/>
                <w:szCs w:val="15"/>
              </w:rPr>
              <w:t xml:space="preserve">Total Profit</w:t>
            </w:r>
          </w:p>
        </w:tc>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SUM(profit)</w:t>
            </w:r>
          </w:p>
        </w:tc>
        <w:tc>
          <w:tcPr>
            <w:tcW w:type="dxa" w:w="216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Context-dependent</w:t>
            </w:r>
          </w:p>
        </w:tc>
        <w:tc>
          <w:tcPr>
            <w:tcW w:type="dxa" w:w="28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Actual money retained after all costs. Revenue without profit is hollow growth.</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Courier New" w:cs="Courier New" w:eastAsia="Courier New" w:hAnsi="Courier New"/>
                <w:b/>
                <w:bCs/>
                <w:color w:val="2C3E50"/>
                <w:sz w:val="15"/>
                <w:szCs w:val="15"/>
              </w:rPr>
              <w:t xml:space="preserve">Overall Margin %</w:t>
            </w:r>
          </w:p>
        </w:tc>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MEAN(gross_margin_pct)</w:t>
            </w:r>
          </w:p>
        </w:tc>
        <w:tc>
          <w:tcPr>
            <w:tcW w:type="dxa" w:w="216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20–40% for e-commerce</w:t>
            </w:r>
          </w:p>
        </w:tc>
        <w:tc>
          <w:tcPr>
            <w:tcW w:type="dxa" w:w="28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How efficient is Jumia at converting revenue to profit? Below 15% is a warning.</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Courier New" w:cs="Courier New" w:eastAsia="Courier New" w:hAnsi="Courier New"/>
                <w:b/>
                <w:bCs/>
                <w:color w:val="2C3E50"/>
                <w:sz w:val="15"/>
                <w:szCs w:val="15"/>
              </w:rPr>
              <w:t xml:space="preserve">Avg Order Value</w:t>
            </w:r>
          </w:p>
        </w:tc>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MEAN(total_revenue)</w:t>
            </w:r>
          </w:p>
        </w:tc>
        <w:tc>
          <w:tcPr>
            <w:tcW w:type="dxa" w:w="216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₦30K–₦200K (Nigeria)</w:t>
            </w:r>
          </w:p>
        </w:tc>
        <w:tc>
          <w:tcPr>
            <w:tcW w:type="dxa" w:w="28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Higher AOV = more revenue per delivery = lower per-order logistics cost. Trend is more important than absolute value.</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Courier New" w:cs="Courier New" w:eastAsia="Courier New" w:hAnsi="Courier New"/>
                <w:b/>
                <w:bCs/>
                <w:color w:val="2C3E50"/>
                <w:sz w:val="15"/>
                <w:szCs w:val="15"/>
              </w:rPr>
              <w:t xml:space="preserve">Delivery Rate %</w:t>
            </w:r>
          </w:p>
        </w:tc>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Delivered / Total × 100</w:t>
            </w:r>
          </w:p>
        </w:tc>
        <w:tc>
          <w:tcPr>
            <w:tcW w:type="dxa" w:w="216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65–75% Nigeria</w:t>
            </w:r>
          </w:p>
        </w:tc>
        <w:tc>
          <w:tcPr>
            <w:tcW w:type="dxa" w:w="28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Core fulfilment metric. Below 60% indicates logistics or supply chain problems.</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Courier New" w:cs="Courier New" w:eastAsia="Courier New" w:hAnsi="Courier New"/>
                <w:b/>
                <w:bCs/>
                <w:color w:val="2C3E50"/>
                <w:sz w:val="15"/>
                <w:szCs w:val="15"/>
              </w:rPr>
              <w:t xml:space="preserve">Return Rate %</w:t>
            </w:r>
          </w:p>
        </w:tc>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Returned / Total × 100</w:t>
            </w:r>
          </w:p>
        </w:tc>
        <w:tc>
          <w:tcPr>
            <w:tcW w:type="dxa" w:w="216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&lt;5% healthy</w:t>
            </w:r>
          </w:p>
        </w:tc>
        <w:tc>
          <w:tcPr>
            <w:tcW w:type="dxa" w:w="28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Direct revenue leakage + reverse logistics cost. Above 8% signals product quality or description issues.</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Courier New" w:cs="Courier New" w:eastAsia="Courier New" w:hAnsi="Courier New"/>
                <w:b/>
                <w:bCs/>
                <w:color w:val="2C3E50"/>
                <w:sz w:val="15"/>
                <w:szCs w:val="15"/>
              </w:rPr>
              <w:t xml:space="preserve">Unique Customers</w:t>
            </w:r>
          </w:p>
        </w:tc>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COUNT DISTINCT customer_id</w:t>
            </w:r>
          </w:p>
        </w:tc>
        <w:tc>
          <w:tcPr>
            <w:tcW w:type="dxa" w:w="216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Context-dependent</w:t>
            </w:r>
          </w:p>
        </w:tc>
        <w:tc>
          <w:tcPr>
            <w:tcW w:type="dxa" w:w="28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Customer base size. Growing unique customers = market expansion. Flat = churn offsetting acquisition.</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Courier New" w:cs="Courier New" w:eastAsia="Courier New" w:hAnsi="Courier New"/>
                <w:b/>
                <w:bCs/>
                <w:color w:val="2C3E50"/>
                <w:sz w:val="15"/>
                <w:szCs w:val="15"/>
              </w:rPr>
              <w:t xml:space="preserve">Repeat Rate %</w:t>
            </w:r>
          </w:p>
        </w:tc>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is_repeat_customer MEAN × 100</w:t>
            </w:r>
          </w:p>
        </w:tc>
        <w:tc>
          <w:tcPr>
            <w:tcW w:type="dxa" w:w="216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30–40% e-commerce</w:t>
            </w:r>
          </w:p>
        </w:tc>
        <w:tc>
          <w:tcPr>
            <w:tcW w:type="dxa" w:w="28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Customer loyalty measure. Repeat buyers have zero acquisition cost — increasing this is the highest ROI growth lever.</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Courier New" w:cs="Courier New" w:eastAsia="Courier New" w:hAnsi="Courier New"/>
                <w:b/>
                <w:bCs/>
                <w:color w:val="2C3E50"/>
                <w:sz w:val="15"/>
                <w:szCs w:val="15"/>
              </w:rPr>
              <w:t xml:space="preserve">Avg Customer Rating</w:t>
            </w:r>
          </w:p>
        </w:tc>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MEAN(customer_rating)</w:t>
            </w:r>
          </w:p>
        </w:tc>
        <w:tc>
          <w:tcPr>
            <w:tcW w:type="dxa" w:w="216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≥4.0 benchmark</w:t>
            </w:r>
          </w:p>
        </w:tc>
        <w:tc>
          <w:tcPr>
            <w:tcW w:type="dxa" w:w="28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Overall customer satisfaction. Below 4.0 triggers a mandatory quality investigation.</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Courier New" w:cs="Courier New" w:eastAsia="Courier New" w:hAnsi="Courier New"/>
                <w:b/>
                <w:bCs/>
                <w:color w:val="2C3E50"/>
                <w:sz w:val="15"/>
                <w:szCs w:val="15"/>
              </w:rPr>
              <w:t xml:space="preserve">Avg Delivery Days</w:t>
            </w:r>
          </w:p>
        </w:tc>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MEAN(delivery_days)</w:t>
            </w:r>
          </w:p>
        </w:tc>
        <w:tc>
          <w:tcPr>
            <w:tcW w:type="dxa" w:w="216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≤5 days Nigeria</w:t>
            </w:r>
          </w:p>
        </w:tc>
        <w:tc>
          <w:tcPr>
            <w:tcW w:type="dxa" w:w="28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Delivery speed directly affects ratings and repeat purchase rates. Each day reduction improves NPS.</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Courier New" w:cs="Courier New" w:eastAsia="Courier New" w:hAnsi="Courier New"/>
                <w:b/>
                <w:bCs/>
                <w:color w:val="2C3E50"/>
                <w:sz w:val="15"/>
                <w:szCs w:val="15"/>
              </w:rPr>
              <w:t xml:space="preserve">Discounted Orders %</w:t>
            </w:r>
          </w:p>
        </w:tc>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(discount&gt;0) / Total × 100</w:t>
            </w:r>
          </w:p>
        </w:tc>
        <w:tc>
          <w:tcPr>
            <w:tcW w:type="dxa" w:w="216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25–35% during promo seasons</w:t>
            </w:r>
          </w:p>
        </w:tc>
        <w:tc>
          <w:tcPr>
            <w:tcW w:type="dxa" w:w="28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Promotion intensity measure. Above 50% suggests price integrity problems.</w:t>
            </w:r>
          </w:p>
        </w:tc>
      </w:tr>
      <w:tr>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Courier New" w:cs="Courier New" w:eastAsia="Courier New" w:hAnsi="Courier New"/>
                <w:b/>
                <w:bCs/>
                <w:color w:val="2C3E50"/>
                <w:sz w:val="15"/>
                <w:szCs w:val="15"/>
              </w:rPr>
              <w:t xml:space="preserve">Avg Discount Given</w:t>
            </w:r>
          </w:p>
        </w:tc>
        <w:tc>
          <w:tcPr>
            <w:tcW w:type="dxa" w:w="22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MEAN(discount%) for disc&gt;0</w:t>
            </w:r>
          </w:p>
        </w:tc>
        <w:tc>
          <w:tcPr>
            <w:tcW w:type="dxa" w:w="216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10–25% sustainable</w:t>
            </w:r>
          </w:p>
        </w:tc>
        <w:tc>
          <w:tcPr>
            <w:tcW w:type="dxa" w:w="2800"/>
            <w:tcBorders>
              <w:top w:val="single" w:color="BDC3C7" w:sz="1"/>
              <w:left w:val="single" w:color="BDC3C7" w:sz="1"/>
              <w:bottom w:val="single" w:color="BDC3C7" w:sz="1"/>
              <w:right w:val="single" w:color="BDC3C7" w:sz="1"/>
            </w:tcBorders>
            <w:shd w:fill="F4F6F8" w:val="clear"/>
            <w:tcMar>
              <w:top w:type="dxa" w:w="65"/>
              <w:left w:type="dxa" w:w="80"/>
              <w:bottom w:type="dxa" w:w="65"/>
              <w:right w:type="dxa" w:w="80"/>
            </w:tcMar>
          </w:tcPr>
          <w:p>
            <w:r>
              <w:rPr>
                <w:rFonts w:ascii="Arial" w:cs="Arial" w:eastAsia="Arial" w:hAnsi="Arial"/>
                <w:b w:val="false"/>
                <w:bCs w:val="false"/>
                <w:color w:val="2C3E50"/>
                <w:sz w:val="17"/>
                <w:szCs w:val="17"/>
              </w:rPr>
              <w:t xml:space="preserve">The depth of promotions. Above 30% average discount likely means margins are being sacrificed.</w:t>
            </w:r>
          </w:p>
        </w:tc>
      </w:tr>
      <w:tr>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Courier New" w:cs="Courier New" w:eastAsia="Courier New" w:hAnsi="Courier New"/>
                <w:b/>
                <w:bCs/>
                <w:color w:val="2C3E50"/>
                <w:sz w:val="15"/>
                <w:szCs w:val="15"/>
              </w:rPr>
              <w:t xml:space="preserve">Q4 Growth Rate</w:t>
            </w:r>
          </w:p>
        </w:tc>
        <w:tc>
          <w:tcPr>
            <w:tcW w:type="dxa" w:w="22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(Q4 rev - Q1 rev) / Q1 × 100</w:t>
            </w:r>
          </w:p>
        </w:tc>
        <w:tc>
          <w:tcPr>
            <w:tcW w:type="dxa" w:w="216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10–30% growth</w:t>
            </w:r>
          </w:p>
        </w:tc>
        <w:tc>
          <w:tcPr>
            <w:tcW w:type="dxa" w:w="2800"/>
            <w:tcBorders>
              <w:top w:val="single" w:color="BDC3C7" w:sz="1"/>
              <w:left w:val="single" w:color="BDC3C7" w:sz="1"/>
              <w:bottom w:val="single" w:color="BDC3C7" w:sz="1"/>
              <w:right w:val="single" w:color="BDC3C7" w:sz="1"/>
            </w:tcBorders>
            <w:shd w:fill="FFFFFF" w:val="clear"/>
            <w:tcMar>
              <w:top w:type="dxa" w:w="65"/>
              <w:left w:type="dxa" w:w="80"/>
              <w:bottom w:type="dxa" w:w="65"/>
              <w:right w:type="dxa" w:w="80"/>
            </w:tcMar>
          </w:tcPr>
          <w:p>
            <w:r>
              <w:rPr>
                <w:rFonts w:ascii="Arial" w:cs="Arial" w:eastAsia="Arial" w:hAnsi="Arial"/>
                <w:b w:val="false"/>
                <w:bCs w:val="false"/>
                <w:color w:val="2C3E50"/>
                <w:sz w:val="17"/>
                <w:szCs w:val="17"/>
              </w:rPr>
              <w:t xml:space="preserve">Seasonality strength and year-on-year trajectory signal.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D" w:sz="8"/>
              <w:left w:val="single" w:color="D4AC0D" w:sz="8"/>
              <w:bottom w:val="single" w:color="BDC3C7" w:sz="1"/>
              <w:right w:val="single" w:color="BDC3C7" w:sz="1"/>
            </w:tcBorders>
            <w:shd w:fill="FEF9E7" w:val="clear"/>
            <w:tcMar>
              <w:top w:type="dxa" w:w="100"/>
              <w:left w:type="dxa" w:w="180"/>
              <w:bottom w:type="dxa" w:w="100"/>
              <w:right w:type="dxa" w:w="180"/>
            </w:tcMar>
          </w:tcPr>
          <w:p>
            <w:pPr>
              <w:spacing w:after="60" w:before="0"/>
            </w:pPr>
            <w:r>
              <w:rPr>
                <w:rFonts w:ascii="Arial" w:cs="Arial" w:eastAsia="Arial" w:hAnsi="Arial"/>
                <w:b/>
                <w:bCs/>
                <w:color w:val="D4AC0D"/>
                <w:sz w:val="20"/>
                <w:szCs w:val="20"/>
              </w:rPr>
              <w:t xml:space="preserve">The Complete Data Analytics Workflow</w:t>
            </w:r>
          </w:p>
          <w:p>
            <w:pPr>
              <w:spacing w:after="0" w:before="0"/>
            </w:pPr>
            <w:r>
              <w:rPr>
                <w:rFonts w:ascii="Arial" w:cs="Arial" w:eastAsia="Arial" w:hAnsi="Arial"/>
                <w:color w:val="2C3E50"/>
                <w:sz w:val="20"/>
                <w:szCs w:val="20"/>
              </w:rPr>
              <w:t xml:space="preserve">This session demonstrates the complete workflow of a professional Data Analyst: (1) LOAD — get the raw data into Python; (2) INSPECT — understand what you have before touching it; (3) CLEAN — fix missing values and wrong types; (4) EXTRACT — filter to the subsets relevant to each question; (5) MANIPULATE — aggregate, pivot, join to create summary tables; (6) QUANTIFY — apply statistics to understand scale, variability, and relationships; (7) VISUALISE — build charts that communicate insight in seconds; (8) RECOMMEND — translate data findings into business actions. This eight-step workflow is universal — it applies to any industry, any dataset, any business question.</w:t>
            </w:r>
          </w:p>
        </w:tc>
      </w:tr>
    </w:tbl>
    <w:p>
      <w:pPr>
        <w:spacing w:after="0" w:before="200"/>
      </w:pPr>
      <w:r>
        <w:t xml:space="preserve"/>
      </w:r>
    </w:p>
    <w:p>
      <w:pPr>
        <w:spacing w:after="60" w:before="200"/>
        <w:jc w:val="center"/>
      </w:pPr>
      <w:r>
        <w:rPr>
          <w:rFonts w:ascii="Arial" w:cs="Arial" w:eastAsia="Arial" w:hAnsi="Arial"/>
          <w:b/>
          <w:bCs/>
          <w:color w:val="0D2B55"/>
          <w:sz w:val="20"/>
          <w:szCs w:val="20"/>
        </w:rPr>
        <w:t xml:space="preserve">ZEDCREST CAPITAL | Data Analyst Training Programme | May – August 2026</w:t>
      </w:r>
    </w:p>
    <w:p>
      <w:pPr>
        <w:spacing w:after="60" w:before="0"/>
        <w:jc w:val="center"/>
      </w:pPr>
      <w:r>
        <w:rPr>
          <w:rFonts w:ascii="Arial" w:cs="Arial" w:eastAsia="Arial" w:hAnsi="Arial"/>
          <w:color w:val="BDC3C7"/>
          <w:sz w:val="19"/>
          <w:szCs w:val="19"/>
        </w:rPr>
        <w:t xml:space="preserve">Jumia Sales Analytics Study Notes | Trainer: Kajola Gbenga Adewale | Prodigy Training Hub</w:t>
      </w:r>
    </w:p>
    <w:p>
      <w:pPr>
        <w:spacing w:after="0" w:before="0"/>
        <w:jc w:val="center"/>
      </w:pPr>
      <w:r>
        <w:rPr>
          <w:rFonts w:ascii="Arial" w:cs="Arial" w:eastAsia="Arial" w:hAnsi="Arial"/>
          <w:color w:val="BDC3C7"/>
          <w:sz w:val="17"/>
          <w:szCs w:val="17"/>
        </w:rPr>
        <w:t xml:space="preserve">CONFIDENTIAL — For Internal Use Only | 2026</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spacing w:after="0" w:before="80"/>
    </w:pPr>
    <w:r>
      <w:rPr>
        <w:rFonts w:ascii="Arial" w:cs="Arial" w:eastAsia="Arial" w:hAnsi="Arial"/>
        <w:color w:val="BDC3C7"/>
        <w:sz w:val="16"/>
        <w:szCs w:val="16"/>
      </w:rPr>
      <w:t xml:space="preserve">CONFIDENTIAL | Kajola Gbenga Adewale | Prodigy Training Hub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C0D" w:sz="3" w:space="4"/>
      </w:pBdr>
      <w:spacing w:after="100" w:before="0"/>
    </w:pPr>
    <w:r>
      <w:rPr>
        <w:rFonts w:ascii="Arial" w:cs="Arial" w:eastAsia="Arial" w:hAnsi="Arial"/>
        <w:color w:val="1A5276"/>
        <w:sz w:val="18"/>
        <w:szCs w:val="18"/>
      </w:rPr>
      <w:t xml:space="preserve">Jumia Sales Analytics | Comprehensive Study Notes | Zedcrest Capital Data Analyst Training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D2B55"/>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980B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2026-06-06T11:25:05.490Z</dcterms:created>
  <dcterms:modified xsi:type="dcterms:W3CDTF">2026-06-06T11:25:05.501Z</dcterms:modified>
</cp:coreProperties>
</file>

<file path=docProps/custom.xml><?xml version="1.0" encoding="utf-8"?>
<Properties xmlns="http://schemas.openxmlformats.org/officeDocument/2006/custom-properties" xmlns:vt="http://schemas.openxmlformats.org/officeDocument/2006/docPropsVTypes"/>
</file>