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B55" w:val="clear"/>
            <w:tcMar>
              <w:top w:type="dxa" w:w="500"/>
              <w:left w:type="dxa" w:w="400"/>
              <w:bottom w:type="dxa" w:w="500"/>
              <w:right w:type="dxa" w:w="400"/>
            </w:tcMar>
          </w:tcPr>
          <w:p>
            <w:pPr>
              <w:spacing w:after="60" w:before="0"/>
              <w:jc w:val="center"/>
            </w:pPr>
            <w:r>
              <w:rPr>
                <w:rFonts w:ascii="Arial" w:cs="Arial" w:eastAsia="Arial" w:hAnsi="Arial"/>
                <w:b/>
                <w:bCs/>
                <w:color w:val="D4AC0D"/>
                <w:sz w:val="38"/>
                <w:szCs w:val="38"/>
              </w:rPr>
              <w:t xml:space="preserve">🛒  JUMIA NIGERIA</w:t>
            </w:r>
          </w:p>
          <w:p>
            <w:pPr>
              <w:spacing w:after="200" w:before="0"/>
              <w:jc w:val="center"/>
            </w:pPr>
            <w:r>
              <w:rPr>
                <w:rFonts w:ascii="Arial" w:cs="Arial" w:eastAsia="Arial" w:hAnsi="Arial"/>
                <w:color w:val="94A3B8"/>
                <w:sz w:val="20"/>
                <w:szCs w:val="20"/>
              </w:rPr>
              <w:t xml:space="preserve">SALES DATA ANALYTICS — COMPREHENSIVE STUDY NOTES</w:t>
            </w:r>
          </w:p>
          <w:p>
            <w:pPr>
              <w:spacing w:after="60" w:before="200"/>
              <w:jc w:val="center"/>
            </w:pPr>
            <w:r>
              <w:rPr>
                <w:rFonts w:ascii="Arial" w:cs="Arial" w:eastAsia="Arial" w:hAnsi="Arial"/>
                <w:b/>
                <w:bCs/>
                <w:color w:val="FFFFFF"/>
                <w:sz w:val="32"/>
                <w:szCs w:val="32"/>
              </w:rPr>
              <w:t xml:space="preserve">COMPLETE REFERENCE DOCUMENT</w:t>
            </w:r>
          </w:p>
          <w:p>
            <w:pPr>
              <w:spacing w:after="80" w:before="0"/>
              <w:jc w:val="center"/>
            </w:pPr>
            <w:r>
              <w:rPr>
                <w:rFonts w:ascii="Arial" w:cs="Arial" w:eastAsia="Arial" w:hAnsi="Arial"/>
                <w:b/>
                <w:bCs/>
                <w:color w:val="D4AC0D"/>
                <w:sz w:val="20"/>
                <w:szCs w:val="20"/>
              </w:rPr>
              <w:t xml:space="preserve">Dataset Guide · Line-by-Line Code · Output Explanations · Business Insights</w:t>
            </w:r>
          </w:p>
          <w:p>
            <w:pPr>
              <w:spacing w:after="40" w:before="180"/>
              <w:jc w:val="center"/>
            </w:pPr>
            <w:r>
              <w:rPr>
                <w:rFonts w:ascii="Arial" w:cs="Arial" w:eastAsia="Arial" w:hAnsi="Arial"/>
                <w:b/>
                <w:bCs/>
                <w:color w:val="FFFFFF"/>
                <w:sz w:val="20"/>
                <w:szCs w:val="20"/>
              </w:rPr>
              <w:t xml:space="preserve">Zedcrest Capital | Prodigy Training Hub | 2026</w:t>
            </w:r>
          </w:p>
          <w:p>
            <w:pPr>
              <w:spacing w:after="0" w:before="0"/>
              <w:jc w:val="center"/>
            </w:pPr>
            <w:r>
              <w:rPr>
                <w:rFonts w:ascii="Arial" w:cs="Arial" w:eastAsia="Arial" w:hAnsi="Arial"/>
                <w:color w:val="475569"/>
                <w:sz w:val="18"/>
                <w:szCs w:val="18"/>
              </w:rPr>
              <w:t xml:space="preserve">Trainer: Kajola Gbenga Adewale | CONFIDENTIAL</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C0D" w:sz="8"/>
              <w:left w:val="single" w:color="D4AC0D" w:sz="8"/>
              <w:bottom w:val="single" w:color="BDC3C7" w:sz="1"/>
              <w:right w:val="single" w:color="BDC3C7" w:sz="1"/>
            </w:tcBorders>
            <w:shd w:fill="FEF9E7" w:val="clear"/>
            <w:tcMar>
              <w:top w:type="dxa" w:w="100"/>
              <w:left w:type="dxa" w:w="180"/>
              <w:bottom w:type="dxa" w:w="100"/>
              <w:right w:type="dxa" w:w="180"/>
            </w:tcMar>
          </w:tcPr>
          <w:p>
            <w:pPr>
              <w:spacing w:after="60" w:before="0"/>
            </w:pPr>
            <w:r>
              <w:rPr>
                <w:rFonts w:ascii="Arial" w:cs="Arial" w:eastAsia="Arial" w:hAnsi="Arial"/>
                <w:b/>
                <w:bCs/>
                <w:color w:val="D4AC0D"/>
                <w:sz w:val="20"/>
                <w:szCs w:val="20"/>
              </w:rPr>
              <w:t xml:space="preserve">How to Use This Document</w:t>
            </w:r>
          </w:p>
          <w:p>
            <w:pPr>
              <w:spacing w:after="0" w:before="0"/>
            </w:pPr>
            <w:r>
              <w:rPr>
                <w:rFonts w:ascii="Arial" w:cs="Arial" w:eastAsia="Arial" w:hAnsi="Arial"/>
                <w:color w:val="2C3E50"/>
                <w:sz w:val="20"/>
                <w:szCs w:val="20"/>
              </w:rPr>
              <w:t xml:space="preserve">This document is the complete companion to Jumia_Sales_Data_Analytics.ipynb and jumia_sales_data.csv. It covers: (1) the purpose and aim of the session; (2) every column in the dataset with its meaning and role in analytics; (3) every code cell explained line by line with three perspectives — what it does, why it is written that way, and what business problem it solves; (4) every output explained — what the numbers, tables, and charts mean for the business; and (5) the business insights and recommendations derived from the analysis.</w:t>
            </w:r>
          </w:p>
        </w:tc>
      </w:tr>
    </w:tbl>
    <w:p>
      <w:pPr>
        <w:spacing w:after="0" w:before="200"/>
      </w:pPr>
      <w:r>
        <w:t xml:space="preserve"/>
      </w:r>
    </w:p>
    <w:p>
      <w:pPr>
        <w:pBdr>
          <w:bottom w:val="single" w:color="BDC3C7" w:sz="2" w:space="1"/>
        </w:pBdr>
        <w:spacing w:after="200" w:before="200"/>
      </w:pPr>
      <w:r>
        <w:t xml:space="preserve"/>
      </w:r>
    </w:p>
    <w:p>
      <w:pPr>
        <w:pStyle w:val="Heading1"/>
        <w:pBdr>
          <w:bottom w:val="single" w:color="D4AC0D" w:sz="6" w:space="6"/>
        </w:pBdr>
        <w:spacing w:after="120" w:before="400"/>
      </w:pPr>
      <w:r>
        <w:rPr>
          <w:rFonts w:ascii="Arial" w:cs="Arial" w:eastAsia="Arial" w:hAnsi="Arial"/>
          <w:b/>
          <w:bCs/>
          <w:color w:val="0D2B55"/>
          <w:sz w:val="30"/>
          <w:szCs w:val="30"/>
        </w:rPr>
        <w:t xml:space="preserve">Part 1 — The Aim of This Session</w:t>
      </w:r>
    </w:p>
    <w:p>
      <w:pPr>
        <w:spacing w:after="60" w:before="60"/>
      </w:pPr>
      <w:r>
        <w:rPr>
          <w:rFonts w:ascii="Arial" w:cs="Arial" w:eastAsia="Arial" w:hAnsi="Arial"/>
          <w:color w:val="2C3E50"/>
          <w:sz w:val="21"/>
          <w:szCs w:val="21"/>
        </w:rPr>
        <w:t xml:space="preserve">This session teaches the complete data analytics workflow using a realistic e-commerce sales dataset. Students will practise every core skill a working Data Analyst needs: handling messy data (missing values, wrong types), extracting specific subsets, computing statistics, building visualisations, and translating findings into business recommendations.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8"/>
              <w:left w:val="single" w:color="1A5276" w:sz="8"/>
              <w:bottom w:val="single" w:color="BDC3C7" w:sz="1"/>
              <w:right w:val="single" w:color="BDC3C7" w:sz="1"/>
            </w:tcBorders>
            <w:shd w:fill="D6E8F7" w:val="clear"/>
            <w:tcMar>
              <w:top w:type="dxa" w:w="100"/>
              <w:left w:type="dxa" w:w="180"/>
              <w:bottom w:type="dxa" w:w="100"/>
              <w:right w:type="dxa" w:w="180"/>
            </w:tcMar>
          </w:tcPr>
          <w:p>
            <w:pPr>
              <w:spacing w:after="60" w:before="0"/>
            </w:pPr>
            <w:r>
              <w:rPr>
                <w:rFonts w:ascii="Arial" w:cs="Arial" w:eastAsia="Arial" w:hAnsi="Arial"/>
                <w:b/>
                <w:bCs/>
                <w:color w:val="1A5276"/>
                <w:sz w:val="20"/>
                <w:szCs w:val="20"/>
              </w:rPr>
              <w:t xml:space="preserve">Why E-Commerce Sales Data?</w:t>
            </w:r>
          </w:p>
          <w:p>
            <w:pPr>
              <w:spacing w:after="0" w:before="0"/>
            </w:pPr>
            <w:r>
              <w:rPr>
                <w:rFonts w:ascii="Arial" w:cs="Arial" w:eastAsia="Arial" w:hAnsi="Arial"/>
                <w:color w:val="2C3E50"/>
                <w:sz w:val="20"/>
                <w:szCs w:val="20"/>
              </w:rPr>
              <w:t xml:space="preserve">Sales data from a platform like Jumia Nigeria is ideal for teaching data analytics because it is: (1) relatable — everyone understands buying products online; (2) multi-dimensional — it has geographic, temporal, financial, operational, and customer dimensions all in one dataset; (3) realistic — it contains the same data quality issues (missing values, mixed types, skewed distributions) found in real business data; and (4) decision-relevant — every analysis has an obvious business implication.</w:t>
            </w:r>
          </w:p>
        </w:tc>
      </w:tr>
    </w:tbl>
    <w:p>
      <w:pPr>
        <w:spacing w:after="0" w:before="80"/>
      </w:pPr>
      <w:r>
        <w:t xml:space="preserve"/>
      </w:r>
    </w:p>
    <w:p>
      <w:pPr>
        <w:pStyle w:val="Heading2"/>
        <w:spacing w:after="100" w:before="280"/>
      </w:pPr>
      <w:r>
        <w:rPr>
          <w:rFonts w:ascii="Arial" w:cs="Arial" w:eastAsia="Arial" w:hAnsi="Arial"/>
          <w:b/>
          <w:bCs/>
          <w:color w:val="1A5276"/>
          <w:sz w:val="26"/>
          <w:szCs w:val="26"/>
        </w:rPr>
        <w:t xml:space="preserve">Session Learning Outcomes</w:t>
      </w:r>
    </w:p>
    <w:p>
      <w:pPr>
        <w:pStyle w:val="ListParagraph"/>
        <w:numPr>
          <w:ilvl w:val="0"/>
          <w:numId w:val="2"/>
        </w:numPr>
        <w:spacing w:after="40" w:before="40"/>
      </w:pPr>
      <w:r>
        <w:rPr>
          <w:rFonts w:ascii="Arial" w:cs="Arial" w:eastAsia="Arial" w:hAnsi="Arial"/>
          <w:color w:val="2C3E50"/>
          <w:sz w:val="21"/>
          <w:szCs w:val="21"/>
        </w:rPr>
        <w:t xml:space="preserve">Load a CSV file into pandas and inspect its structure, shape, and data types</w:t>
      </w:r>
    </w:p>
    <w:p>
      <w:pPr>
        <w:pStyle w:val="ListParagraph"/>
        <w:numPr>
          <w:ilvl w:val="0"/>
          <w:numId w:val="2"/>
        </w:numPr>
        <w:spacing w:after="40" w:before="40"/>
      </w:pPr>
      <w:r>
        <w:rPr>
          <w:rFonts w:ascii="Arial" w:cs="Arial" w:eastAsia="Arial" w:hAnsi="Arial"/>
          <w:color w:val="2C3E50"/>
          <w:sz w:val="21"/>
          <w:szCs w:val="21"/>
        </w:rPr>
        <w:t xml:space="preserve">Identify, quantify, and treat missing values using four different strategies</w:t>
      </w:r>
    </w:p>
    <w:p>
      <w:pPr>
        <w:pStyle w:val="ListParagraph"/>
        <w:numPr>
          <w:ilvl w:val="0"/>
          <w:numId w:val="2"/>
        </w:numPr>
        <w:spacing w:after="40" w:before="40"/>
      </w:pPr>
      <w:r>
        <w:rPr>
          <w:rFonts w:ascii="Arial" w:cs="Arial" w:eastAsia="Arial" w:hAnsi="Arial"/>
          <w:color w:val="2C3E50"/>
          <w:sz w:val="21"/>
          <w:szCs w:val="21"/>
        </w:rPr>
        <w:t xml:space="preserve">Convert data types (string to datetime) and create derived/engineered columns</w:t>
      </w:r>
    </w:p>
    <w:p>
      <w:pPr>
        <w:pStyle w:val="ListParagraph"/>
        <w:numPr>
          <w:ilvl w:val="0"/>
          <w:numId w:val="2"/>
        </w:numPr>
        <w:spacing w:after="40" w:before="40"/>
      </w:pPr>
      <w:r>
        <w:rPr>
          <w:rFonts w:ascii="Arial" w:cs="Arial" w:eastAsia="Arial" w:hAnsi="Arial"/>
          <w:color w:val="2C3E50"/>
          <w:sz w:val="21"/>
          <w:szCs w:val="21"/>
        </w:rPr>
        <w:t xml:space="preserve">Filter and extract data subsets using boolean indexing, .loc, .iloc, and .query</w:t>
      </w:r>
    </w:p>
    <w:p>
      <w:pPr>
        <w:pStyle w:val="ListParagraph"/>
        <w:numPr>
          <w:ilvl w:val="0"/>
          <w:numId w:val="2"/>
        </w:numPr>
        <w:spacing w:after="40" w:before="40"/>
      </w:pPr>
      <w:r>
        <w:rPr>
          <w:rFonts w:ascii="Arial" w:cs="Arial" w:eastAsia="Arial" w:hAnsi="Arial"/>
          <w:color w:val="2C3E50"/>
          <w:sz w:val="21"/>
          <w:szCs w:val="21"/>
        </w:rPr>
        <w:t xml:space="preserve">Manipulate data using groupby+agg, pivot_table, apply, and merge/join</w:t>
      </w:r>
    </w:p>
    <w:p>
      <w:pPr>
        <w:pStyle w:val="ListParagraph"/>
        <w:numPr>
          <w:ilvl w:val="0"/>
          <w:numId w:val="2"/>
        </w:numPr>
        <w:spacing w:after="40" w:before="40"/>
      </w:pPr>
      <w:r>
        <w:rPr>
          <w:rFonts w:ascii="Arial" w:cs="Arial" w:eastAsia="Arial" w:hAnsi="Arial"/>
          <w:color w:val="2C3E50"/>
          <w:sz w:val="21"/>
          <w:szCs w:val="21"/>
        </w:rPr>
        <w:t xml:space="preserve">Compute descriptive statistics: mean, median, mode, standard deviation, percentiles, IQR, skewness, and correlation</w:t>
      </w:r>
    </w:p>
    <w:p>
      <w:pPr>
        <w:pStyle w:val="ListParagraph"/>
        <w:numPr>
          <w:ilvl w:val="0"/>
          <w:numId w:val="2"/>
        </w:numPr>
        <w:spacing w:after="40" w:before="40"/>
      </w:pPr>
      <w:r>
        <w:rPr>
          <w:rFonts w:ascii="Arial" w:cs="Arial" w:eastAsia="Arial" w:hAnsi="Arial"/>
          <w:color w:val="2C3E50"/>
          <w:sz w:val="21"/>
          <w:szCs w:val="21"/>
        </w:rPr>
        <w:t xml:space="preserve">Build seven types of charts: bar, line, pie/donut, histogram, box plot, scatter, and heatmap</w:t>
      </w:r>
    </w:p>
    <w:p>
      <w:pPr>
        <w:pStyle w:val="ListParagraph"/>
        <w:numPr>
          <w:ilvl w:val="0"/>
          <w:numId w:val="2"/>
        </w:numPr>
        <w:spacing w:after="40" w:before="40"/>
      </w:pPr>
      <w:r>
        <w:rPr>
          <w:rFonts w:ascii="Arial" w:cs="Arial" w:eastAsia="Arial" w:hAnsi="Arial"/>
          <w:color w:val="2C3E50"/>
          <w:sz w:val="21"/>
          <w:szCs w:val="21"/>
        </w:rPr>
        <w:t xml:space="preserve">Compute business KPIs and produce a management-ready recommendation summary</w:t>
      </w:r>
    </w:p>
    <w:p>
      <w:pPr>
        <w:spacing w:after="0" w:before="200"/>
      </w:pPr>
      <w:r>
        <w:t xml:space="preserve"/>
      </w:r>
    </w:p>
    <w:p>
      <w:pPr>
        <w:pBdr>
          <w:bottom w:val="single" w:color="BDC3C7" w:sz="2" w:space="1"/>
        </w:pBdr>
        <w:spacing w:after="200" w:before="200"/>
      </w:pPr>
      <w:r>
        <w:t xml:space="preserve"/>
      </w:r>
    </w:p>
    <w:p>
      <w:pPr>
        <w:pStyle w:val="Heading1"/>
        <w:pBdr>
          <w:bottom w:val="single" w:color="D4AC0D" w:sz="6" w:space="6"/>
        </w:pBdr>
        <w:spacing w:after="120" w:before="400"/>
      </w:pPr>
      <w:r>
        <w:rPr>
          <w:rFonts w:ascii="Arial" w:cs="Arial" w:eastAsia="Arial" w:hAnsi="Arial"/>
          <w:b/>
          <w:bCs/>
          <w:color w:val="0D2B55"/>
          <w:sz w:val="30"/>
          <w:szCs w:val="30"/>
        </w:rPr>
        <w:t xml:space="preserve">Part 2 — The Dataset: jumia_sales_data.csv</w:t>
      </w:r>
    </w:p>
    <w:p>
      <w:pPr>
        <w:spacing w:after="60" w:before="60"/>
      </w:pPr>
      <w:r>
        <w:rPr>
          <w:rFonts w:ascii="Arial" w:cs="Arial" w:eastAsia="Arial" w:hAnsi="Arial"/>
          <w:color w:val="2C3E50"/>
          <w:sz w:val="21"/>
          <w:szCs w:val="21"/>
        </w:rPr>
        <w:t xml:space="preserve">The dataset simulates one year (2023) of order data from Jumia Nigeria — West Africa's largest e-commerce platform. It contains 3,000 rows (orders) and 28 columns, covering 8 product categories, 10 Nigerian states, 10 banks, and 5 payment methods. Approximately 4% of values are intentionally missing to simulate real-world data quality issues.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500"/>
        <w:gridCol w:w="2900"/>
        <w:gridCol w:w="2660"/>
      </w:tblGrid>
      <w:tr>
        <w:trPr>
          <w:tblHeader/>
        </w:trPr>
        <w:tc>
          <w:tcPr>
            <w:tcW w:type="dxa" w:w="1400"/>
            <w:tcBorders>
              <w:top w:val="single" w:color="1A5276" w:sz="1"/>
              <w:left w:val="single" w:color="1A5276" w:sz="1"/>
              <w:bottom w:val="single" w:color="1A5276" w:sz="1"/>
              <w:right w:val="single" w:color="1A5276" w:sz="1"/>
            </w:tcBorders>
            <w:shd w:fill="0D2B55" w:val="clear"/>
            <w:tcMar>
              <w:top w:type="dxa" w:w="80"/>
              <w:left w:type="dxa" w:w="80"/>
              <w:bottom w:type="dxa" w:w="80"/>
              <w:right w:type="dxa" w:w="80"/>
            </w:tcMar>
          </w:tcPr>
          <w:p>
            <w:pPr>
              <w:jc w:val="center"/>
            </w:pPr>
            <w:r>
              <w:rPr>
                <w:rFonts w:ascii="Arial" w:cs="Arial" w:eastAsia="Arial" w:hAnsi="Arial"/>
                <w:b/>
                <w:bCs/>
                <w:color w:val="FFFFFF"/>
                <w:sz w:val="17"/>
                <w:szCs w:val="17"/>
              </w:rPr>
              <w:t xml:space="preserve">Column</w:t>
            </w:r>
          </w:p>
        </w:tc>
        <w:tc>
          <w:tcPr>
            <w:tcW w:type="dxa" w:w="900"/>
            <w:tcBorders>
              <w:top w:val="single" w:color="1A5276" w:sz="1"/>
              <w:left w:val="single" w:color="1A5276" w:sz="1"/>
              <w:bottom w:val="single" w:color="1A5276" w:sz="1"/>
              <w:right w:val="single" w:color="1A5276" w:sz="1"/>
            </w:tcBorders>
            <w:shd w:fill="0D2B55" w:val="clear"/>
            <w:tcMar>
              <w:top w:type="dxa" w:w="80"/>
              <w:left w:type="dxa" w:w="80"/>
              <w:bottom w:type="dxa" w:w="80"/>
              <w:right w:type="dxa" w:w="80"/>
            </w:tcMar>
          </w:tcPr>
          <w:p>
            <w:pPr>
              <w:jc w:val="center"/>
            </w:pPr>
            <w:r>
              <w:rPr>
                <w:rFonts w:ascii="Arial" w:cs="Arial" w:eastAsia="Arial" w:hAnsi="Arial"/>
                <w:b/>
                <w:bCs/>
                <w:color w:val="FFFFFF"/>
                <w:sz w:val="17"/>
                <w:szCs w:val="17"/>
              </w:rPr>
              <w:t xml:space="preserve">Type</w:t>
            </w:r>
          </w:p>
        </w:tc>
        <w:tc>
          <w:tcPr>
            <w:tcW w:type="dxa" w:w="1500"/>
            <w:tcBorders>
              <w:top w:val="single" w:color="1A5276" w:sz="1"/>
              <w:left w:val="single" w:color="1A5276" w:sz="1"/>
              <w:bottom w:val="single" w:color="1A5276" w:sz="1"/>
              <w:right w:val="single" w:color="1A5276" w:sz="1"/>
            </w:tcBorders>
            <w:shd w:fill="0D2B55" w:val="clear"/>
            <w:tcMar>
              <w:top w:type="dxa" w:w="80"/>
              <w:left w:type="dxa" w:w="80"/>
              <w:bottom w:type="dxa" w:w="80"/>
              <w:right w:type="dxa" w:w="80"/>
            </w:tcMar>
          </w:tcPr>
          <w:p>
            <w:pPr>
              <w:jc w:val="center"/>
            </w:pPr>
            <w:r>
              <w:rPr>
                <w:rFonts w:ascii="Arial" w:cs="Arial" w:eastAsia="Arial" w:hAnsi="Arial"/>
                <w:b/>
                <w:bCs/>
                <w:color w:val="FFFFFF"/>
                <w:sz w:val="17"/>
                <w:szCs w:val="17"/>
              </w:rPr>
              <w:t xml:space="preserve">Example</w:t>
            </w:r>
          </w:p>
        </w:tc>
        <w:tc>
          <w:tcPr>
            <w:tcW w:type="dxa" w:w="2900"/>
            <w:tcBorders>
              <w:top w:val="single" w:color="1A5276" w:sz="1"/>
              <w:left w:val="single" w:color="1A5276" w:sz="1"/>
              <w:bottom w:val="single" w:color="1A5276" w:sz="1"/>
              <w:right w:val="single" w:color="1A5276" w:sz="1"/>
            </w:tcBorders>
            <w:shd w:fill="0D2B55" w:val="clear"/>
            <w:tcMar>
              <w:top w:type="dxa" w:w="80"/>
              <w:left w:type="dxa" w:w="80"/>
              <w:bottom w:type="dxa" w:w="80"/>
              <w:right w:type="dxa" w:w="80"/>
            </w:tcMar>
          </w:tcPr>
          <w:p>
            <w:pPr>
              <w:jc w:val="center"/>
            </w:pPr>
            <w:r>
              <w:rPr>
                <w:rFonts w:ascii="Arial" w:cs="Arial" w:eastAsia="Arial" w:hAnsi="Arial"/>
                <w:b/>
                <w:bCs/>
                <w:color w:val="FFFFFF"/>
                <w:sz w:val="17"/>
                <w:szCs w:val="17"/>
              </w:rPr>
              <w:t xml:space="preserve">Description</w:t>
            </w:r>
          </w:p>
        </w:tc>
        <w:tc>
          <w:tcPr>
            <w:tcW w:type="dxa" w:w="2660"/>
            <w:tcBorders>
              <w:top w:val="single" w:color="1A5276" w:sz="1"/>
              <w:left w:val="single" w:color="1A5276" w:sz="1"/>
              <w:bottom w:val="single" w:color="1A5276" w:sz="1"/>
              <w:right w:val="single" w:color="1A5276" w:sz="1"/>
            </w:tcBorders>
            <w:shd w:fill="0D2B55" w:val="clear"/>
            <w:tcMar>
              <w:top w:type="dxa" w:w="80"/>
              <w:left w:type="dxa" w:w="80"/>
              <w:bottom w:type="dxa" w:w="80"/>
              <w:right w:type="dxa" w:w="80"/>
            </w:tcMar>
          </w:tcPr>
          <w:p>
            <w:pPr>
              <w:jc w:val="center"/>
            </w:pPr>
            <w:r>
              <w:rPr>
                <w:rFonts w:ascii="Arial" w:cs="Arial" w:eastAsia="Arial" w:hAnsi="Arial"/>
                <w:b/>
                <w:bCs/>
                <w:color w:val="FFFFFF"/>
                <w:sz w:val="17"/>
                <w:szCs w:val="17"/>
              </w:rPr>
              <w:t xml:space="preserve">Business Role &amp; Analytics Use</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Courier New" w:cs="Courier New" w:eastAsia="Courier New" w:hAnsi="Courier New"/>
                <w:b/>
                <w:bCs/>
                <w:color w:val="2C3E50"/>
                <w:sz w:val="15"/>
                <w:szCs w:val="15"/>
              </w:rPr>
              <w:t xml:space="preserve">order_id</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string</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JO-2023-10001</w:t>
            </w:r>
          </w:p>
        </w:tc>
        <w:tc>
          <w:tcPr>
            <w:tcW w:type="dxa" w:w="2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Unique identifier for each order — JO-2023 prefix + sequential 5-digit number.</w:t>
            </w:r>
          </w:p>
        </w:tc>
        <w:tc>
          <w:tcPr>
            <w:tcW w:type="dxa" w:w="26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Primary key. Used to count orders (COUNT), join tables, and reference specific transactions in fraud/dispute investigations.</w:t>
            </w:r>
          </w:p>
        </w:tc>
      </w:tr>
      <w:tr>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Courier New" w:cs="Courier New" w:eastAsia="Courier New" w:hAnsi="Courier New"/>
                <w:b/>
                <w:bCs/>
                <w:color w:val="2C3E50"/>
                <w:sz w:val="15"/>
                <w:szCs w:val="15"/>
              </w:rPr>
              <w:t xml:space="preserve">order_date</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string→datetime</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2023-01-15</w:t>
            </w:r>
          </w:p>
        </w:tc>
        <w:tc>
          <w:tcPr>
            <w:tcW w:type="dxa" w:w="2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Calendar date of order placement in YYYY-MM-DD format. Converted to datetime in Section 2.</w:t>
            </w:r>
          </w:p>
        </w:tc>
        <w:tc>
          <w:tcPr>
            <w:tcW w:type="dxa" w:w="26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Drives all time-based analysis: monthly trends, quarterly comparisons, seasonality, day-of-week patterns.</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Courier New" w:cs="Courier New" w:eastAsia="Courier New" w:hAnsi="Courier New"/>
                <w:b/>
                <w:bCs/>
                <w:color w:val="2C3E50"/>
                <w:sz w:val="15"/>
                <w:szCs w:val="15"/>
              </w:rPr>
              <w:t xml:space="preserve">order_time</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string</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14:32:07</w:t>
            </w:r>
          </w:p>
        </w:tc>
        <w:tc>
          <w:tcPr>
            <w:tcW w:type="dxa" w:w="2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Time of order placement in HH:MM:SS format.</w:t>
            </w:r>
          </w:p>
        </w:tc>
        <w:tc>
          <w:tcPr>
            <w:tcW w:type="dxa" w:w="26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Used to analyse when customers shop most actively (peak hours for server capacity planning and targeted promotions).</w:t>
            </w:r>
          </w:p>
        </w:tc>
      </w:tr>
      <w:tr>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Courier New" w:cs="Courier New" w:eastAsia="Courier New" w:hAnsi="Courier New"/>
                <w:b/>
                <w:bCs/>
                <w:color w:val="2C3E50"/>
                <w:sz w:val="15"/>
                <w:szCs w:val="15"/>
              </w:rPr>
              <w:t xml:space="preserve">month</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string</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January</w:t>
            </w:r>
          </w:p>
        </w:tc>
        <w:tc>
          <w:tcPr>
            <w:tcW w:type="dxa" w:w="2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Full month name derived from order_date.</w:t>
            </w:r>
          </w:p>
        </w:tc>
        <w:tc>
          <w:tcPr>
            <w:tcW w:type="dxa" w:w="26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Used for groupby monthly analysis without datetime conversion. Provides human-readable labels for charts.</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Courier New" w:cs="Courier New" w:eastAsia="Courier New" w:hAnsi="Courier New"/>
                <w:b/>
                <w:bCs/>
                <w:color w:val="2C3E50"/>
                <w:sz w:val="15"/>
                <w:szCs w:val="15"/>
              </w:rPr>
              <w:t xml:space="preserve">quarter</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string</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Q1</w:t>
            </w:r>
          </w:p>
        </w:tc>
        <w:tc>
          <w:tcPr>
            <w:tcW w:type="dxa" w:w="2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Quarter label (Q1–Q4) derived from order_date month.</w:t>
            </w:r>
          </w:p>
        </w:tc>
        <w:tc>
          <w:tcPr>
            <w:tcW w:type="dxa" w:w="26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Used for quarterly trend analysis and Q-o-Q growth calculations in pivot tables.</w:t>
            </w:r>
          </w:p>
        </w:tc>
      </w:tr>
      <w:tr>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Courier New" w:cs="Courier New" w:eastAsia="Courier New" w:hAnsi="Courier New"/>
                <w:b/>
                <w:bCs/>
                <w:color w:val="2C3E50"/>
                <w:sz w:val="15"/>
                <w:szCs w:val="15"/>
              </w:rPr>
              <w:t xml:space="preserve">day_of_week</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string</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Saturday</w:t>
            </w:r>
          </w:p>
        </w:tc>
        <w:tc>
          <w:tcPr>
            <w:tcW w:type="dxa" w:w="2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Day name derived from order_date.</w:t>
            </w:r>
          </w:p>
        </w:tc>
        <w:tc>
          <w:tcPr>
            <w:tcW w:type="dxa" w:w="26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Weekend vs weekday analysis. Jumia's marketing team needs to know if weekend promotions justify their cost.</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Courier New" w:cs="Courier New" w:eastAsia="Courier New" w:hAnsi="Courier New"/>
                <w:b/>
                <w:bCs/>
                <w:color w:val="2C3E50"/>
                <w:sz w:val="15"/>
                <w:szCs w:val="15"/>
              </w:rPr>
              <w:t xml:space="preserve">customer_id</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string</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JMC001234</w:t>
            </w:r>
          </w:p>
        </w:tc>
        <w:tc>
          <w:tcPr>
            <w:tcW w:type="dxa" w:w="2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Unique customer identifier. Multiple orders can share the same customer_id.</w:t>
            </w:r>
          </w:p>
        </w:tc>
        <w:tc>
          <w:tcPr>
            <w:tcW w:type="dxa" w:w="26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Enables customer-level analysis: who is a repeat buyer? Which customers generate the most revenue? RFM segmentation.</w:t>
            </w:r>
          </w:p>
        </w:tc>
      </w:tr>
      <w:tr>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Courier New" w:cs="Courier New" w:eastAsia="Courier New" w:hAnsi="Courier New"/>
                <w:b/>
                <w:bCs/>
                <w:color w:val="2C3E50"/>
                <w:sz w:val="15"/>
                <w:szCs w:val="15"/>
              </w:rPr>
              <w:t xml:space="preserve">state</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string</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Lagos</w:t>
            </w:r>
          </w:p>
        </w:tc>
        <w:tc>
          <w:tcPr>
            <w:tcW w:type="dxa" w:w="2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Nigerian state where the customer is located (20 states represented).</w:t>
            </w:r>
          </w:p>
        </w:tc>
        <w:tc>
          <w:tcPr>
            <w:tcW w:type="dxa" w:w="26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Geographic revenue analysis. Identifies which states to invest in logistics. Cross-referenced with region_map in the merge exercise.</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Courier New" w:cs="Courier New" w:eastAsia="Courier New" w:hAnsi="Courier New"/>
                <w:b/>
                <w:bCs/>
                <w:color w:val="2C3E50"/>
                <w:sz w:val="15"/>
                <w:szCs w:val="15"/>
              </w:rPr>
              <w:t xml:space="preserve">city</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string</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Ikeja</w:t>
            </w:r>
          </w:p>
        </w:tc>
        <w:tc>
          <w:tcPr>
            <w:tcW w:type="dxa" w:w="2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City within the state.</w:t>
            </w:r>
          </w:p>
        </w:tc>
        <w:tc>
          <w:tcPr>
            <w:tcW w:type="dxa" w:w="26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More granular geographic analysis. Useful for last-mile delivery optimisation.</w:t>
            </w:r>
          </w:p>
        </w:tc>
      </w:tr>
      <w:tr>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Courier New" w:cs="Courier New" w:eastAsia="Courier New" w:hAnsi="Courier New"/>
                <w:b/>
                <w:bCs/>
                <w:color w:val="2C3E50"/>
                <w:sz w:val="15"/>
                <w:szCs w:val="15"/>
              </w:rPr>
              <w:t xml:space="preserve">category</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string</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Electronics</w:t>
            </w:r>
          </w:p>
        </w:tc>
        <w:tc>
          <w:tcPr>
            <w:tcW w:type="dxa" w:w="2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Product category (8 categories: Electronics, Fashion, Home &amp; Kitchen, etc.).</w:t>
            </w:r>
          </w:p>
        </w:tc>
        <w:tc>
          <w:tcPr>
            <w:tcW w:type="dxa" w:w="26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The most important groupby dimension. Every category has different margins, return rates, and customer ratings.</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Courier New" w:cs="Courier New" w:eastAsia="Courier New" w:hAnsi="Courier New"/>
                <w:b/>
                <w:bCs/>
                <w:color w:val="2C3E50"/>
                <w:sz w:val="15"/>
                <w:szCs w:val="15"/>
              </w:rPr>
              <w:t xml:space="preserve">product_name</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string</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Wireless Earbuds</w:t>
            </w:r>
          </w:p>
        </w:tc>
        <w:tc>
          <w:tcPr>
            <w:tcW w:type="dxa" w:w="2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The specific product purchased.</w:t>
            </w:r>
          </w:p>
        </w:tc>
        <w:tc>
          <w:tcPr>
            <w:tcW w:type="dxa" w:w="26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Used in top-product analysis (nlargest). Identifies which specific products drive the most revenue.</w:t>
            </w:r>
          </w:p>
        </w:tc>
      </w:tr>
      <w:tr>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Courier New" w:cs="Courier New" w:eastAsia="Courier New" w:hAnsi="Courier New"/>
                <w:b/>
                <w:bCs/>
                <w:color w:val="2C3E50"/>
                <w:sz w:val="15"/>
                <w:szCs w:val="15"/>
              </w:rPr>
              <w:t xml:space="preserve">brand</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string</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Samsung</w:t>
            </w:r>
          </w:p>
        </w:tc>
        <w:tc>
          <w:tcPr>
            <w:tcW w:type="dxa" w:w="2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Product brand. Contains ~2% missing values.</w:t>
            </w:r>
          </w:p>
        </w:tc>
        <w:tc>
          <w:tcPr>
            <w:tcW w:type="dxa" w:w="26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Brand analysis: which brands generate most revenue per category. Missing values treated as 'Unknown Brand' in Section 1.</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Courier New" w:cs="Courier New" w:eastAsia="Courier New" w:hAnsi="Courier New"/>
                <w:b/>
                <w:bCs/>
                <w:color w:val="2C3E50"/>
                <w:sz w:val="15"/>
                <w:szCs w:val="15"/>
              </w:rPr>
              <w:t xml:space="preserve">quantity</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integer</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2</w:t>
            </w:r>
          </w:p>
        </w:tc>
        <w:tc>
          <w:tcPr>
            <w:tcW w:type="dxa" w:w="2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Number of units ordered. Values: 1–5.</w:t>
            </w:r>
          </w:p>
        </w:tc>
        <w:tc>
          <w:tcPr>
            <w:tcW w:type="dxa" w:w="26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Multiplied by selling_price to compute total_revenue. Also indicates bulk buyers (B2B customers) vs individual consumers.</w:t>
            </w:r>
          </w:p>
        </w:tc>
      </w:tr>
      <w:tr>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Courier New" w:cs="Courier New" w:eastAsia="Courier New" w:hAnsi="Courier New"/>
                <w:b/>
                <w:bCs/>
                <w:color w:val="2C3E50"/>
                <w:sz w:val="15"/>
                <w:szCs w:val="15"/>
              </w:rPr>
              <w:t xml:space="preserve">unit_price</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float</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45000.00</w:t>
            </w:r>
          </w:p>
        </w:tc>
        <w:tc>
          <w:tcPr>
            <w:tcW w:type="dxa" w:w="2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Original list price before any discount.</w:t>
            </w:r>
          </w:p>
        </w:tc>
        <w:tc>
          <w:tcPr>
            <w:tcW w:type="dxa" w:w="26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The baseline price. Comparing unit_price to selling_price reveals the discount applied (if any).</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Courier New" w:cs="Courier New" w:eastAsia="Courier New" w:hAnsi="Courier New"/>
                <w:b/>
                <w:bCs/>
                <w:color w:val="2C3E50"/>
                <w:sz w:val="15"/>
                <w:szCs w:val="15"/>
              </w:rPr>
              <w:t xml:space="preserve">discount_percent</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float</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20.0</w:t>
            </w:r>
          </w:p>
        </w:tc>
        <w:tc>
          <w:tcPr>
            <w:tcW w:type="dxa" w:w="2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Percentage discount applied (0–50%). Contains ~3% missing values.</w:t>
            </w:r>
          </w:p>
        </w:tc>
        <w:tc>
          <w:tcPr>
            <w:tcW w:type="dxa" w:w="26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MISSING VALUES: filled with 0 (no discount). Key for analysing discount impact on margins. Used in the discount vs margin scatter plot.</w:t>
            </w:r>
          </w:p>
        </w:tc>
      </w:tr>
      <w:tr>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Courier New" w:cs="Courier New" w:eastAsia="Courier New" w:hAnsi="Courier New"/>
                <w:b/>
                <w:bCs/>
                <w:color w:val="2C3E50"/>
                <w:sz w:val="15"/>
                <w:szCs w:val="15"/>
              </w:rPr>
              <w:t xml:space="preserve">selling_price</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float</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36000.00</w:t>
            </w:r>
          </w:p>
        </w:tc>
        <w:tc>
          <w:tcPr>
            <w:tcW w:type="dxa" w:w="2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Actual price paid after discount: unit_price × (1 - discount_percent/100).</w:t>
            </w:r>
          </w:p>
        </w:tc>
        <w:tc>
          <w:tcPr>
            <w:tcW w:type="dxa" w:w="26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Input to total_revenue calculation. Used in box plots to show price distribution by category.</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Courier New" w:cs="Courier New" w:eastAsia="Courier New" w:hAnsi="Courier New"/>
                <w:b/>
                <w:bCs/>
                <w:color w:val="2C3E50"/>
                <w:sz w:val="15"/>
                <w:szCs w:val="15"/>
              </w:rPr>
              <w:t xml:space="preserve">cost_price</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float</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25920.00</w:t>
            </w:r>
          </w:p>
        </w:tc>
        <w:tc>
          <w:tcPr>
            <w:tcW w:type="dxa" w:w="2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Jumia's cost to acquire/stock this product.</w:t>
            </w:r>
          </w:p>
        </w:tc>
        <w:tc>
          <w:tcPr>
            <w:tcW w:type="dxa" w:w="26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Used to compute profit: (selling_price - cost_price) × quantity. Never shown to customers.</w:t>
            </w:r>
          </w:p>
        </w:tc>
      </w:tr>
      <w:tr>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Courier New" w:cs="Courier New" w:eastAsia="Courier New" w:hAnsi="Courier New"/>
                <w:b/>
                <w:bCs/>
                <w:color w:val="2C3E50"/>
                <w:sz w:val="15"/>
                <w:szCs w:val="15"/>
              </w:rPr>
              <w:t xml:space="preserve">shipping_fee</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float</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0.00</w:t>
            </w:r>
          </w:p>
        </w:tc>
        <w:tc>
          <w:tcPr>
            <w:tcW w:type="dxa" w:w="2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Shipping charge to customer. 0 for orders ≥ ₦10,000. Contains ~3% missing.</w:t>
            </w:r>
          </w:p>
        </w:tc>
        <w:tc>
          <w:tcPr>
            <w:tcW w:type="dxa" w:w="26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MISSING VALUES: filled with category-specific median. Adds to order revenue. High shipping fees can deter purchases.</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Courier New" w:cs="Courier New" w:eastAsia="Courier New" w:hAnsi="Courier New"/>
                <w:b/>
                <w:bCs/>
                <w:color w:val="2C3E50"/>
                <w:sz w:val="15"/>
                <w:szCs w:val="15"/>
              </w:rPr>
              <w:t xml:space="preserve">total_revenue</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float</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72000.00</w:t>
            </w:r>
          </w:p>
        </w:tc>
        <w:tc>
          <w:tcPr>
            <w:tcW w:type="dxa" w:w="2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Total order value paid by customer: selling_price × quantity.</w:t>
            </w:r>
          </w:p>
        </w:tc>
        <w:tc>
          <w:tcPr>
            <w:tcW w:type="dxa" w:w="26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Primary revenue metric. Used in every financial KPI, chart, and statistical analysis in the notebook.</w:t>
            </w:r>
          </w:p>
        </w:tc>
      </w:tr>
      <w:tr>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Courier New" w:cs="Courier New" w:eastAsia="Courier New" w:hAnsi="Courier New"/>
                <w:b/>
                <w:bCs/>
                <w:color w:val="2C3E50"/>
                <w:sz w:val="15"/>
                <w:szCs w:val="15"/>
              </w:rPr>
              <w:t xml:space="preserve">profit</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float</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20160.00</w:t>
            </w:r>
          </w:p>
        </w:tc>
        <w:tc>
          <w:tcPr>
            <w:tcW w:type="dxa" w:w="2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Profit per order: (selling_price - cost_price) × quantity.</w:t>
            </w:r>
          </w:p>
        </w:tc>
        <w:tc>
          <w:tcPr>
            <w:tcW w:type="dxa" w:w="26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Primary profitability metric. Used alongside revenue to compute margins and compare category profitability.</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Courier New" w:cs="Courier New" w:eastAsia="Courier New" w:hAnsi="Courier New"/>
                <w:b/>
                <w:bCs/>
                <w:color w:val="2C3E50"/>
                <w:sz w:val="15"/>
                <w:szCs w:val="15"/>
              </w:rPr>
              <w:t xml:space="preserve">gross_margin_pct</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float</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28.00</w:t>
            </w:r>
          </w:p>
        </w:tc>
        <w:tc>
          <w:tcPr>
            <w:tcW w:type="dxa" w:w="2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Gross profit as % of revenue: (profit / total_revenue) × 100.</w:t>
            </w:r>
          </w:p>
        </w:tc>
        <w:tc>
          <w:tcPr>
            <w:tcW w:type="dxa" w:w="26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The profitability rate per ₦ of revenue. Used in the correlation analysis, discount impact chart, and KPI dashboard.</w:t>
            </w:r>
          </w:p>
        </w:tc>
      </w:tr>
      <w:tr>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Courier New" w:cs="Courier New" w:eastAsia="Courier New" w:hAnsi="Courier New"/>
                <w:b/>
                <w:bCs/>
                <w:color w:val="2C3E50"/>
                <w:sz w:val="15"/>
                <w:szCs w:val="15"/>
              </w:rPr>
              <w:t xml:space="preserve">payment_method</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string</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Card Payment</w:t>
            </w:r>
          </w:p>
        </w:tc>
        <w:tc>
          <w:tcPr>
            <w:tcW w:type="dxa" w:w="2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How the customer paid (5 methods: Card, Bank Transfer, Jumia Pay, Cash on Delivery, USSD).</w:t>
            </w:r>
          </w:p>
        </w:tc>
        <w:tc>
          <w:tcPr>
            <w:tcW w:type="dxa" w:w="26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Used in donut chart and rating-by-payment analysis. Cash on Delivery correlation with lower ratings is a key business insight.</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Courier New" w:cs="Courier New" w:eastAsia="Courier New" w:hAnsi="Courier New"/>
                <w:b/>
                <w:bCs/>
                <w:color w:val="2C3E50"/>
                <w:sz w:val="15"/>
                <w:szCs w:val="15"/>
              </w:rPr>
              <w:t xml:space="preserve">order_status</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string</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Delivered</w:t>
            </w:r>
          </w:p>
        </w:tc>
        <w:tc>
          <w:tcPr>
            <w:tcW w:type="dxa" w:w="2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Current status of the order (5 values: Delivered, Processing, Shipped, Cancelled, Returned).</w:t>
            </w:r>
          </w:p>
        </w:tc>
        <w:tc>
          <w:tcPr>
            <w:tcW w:type="dxa" w:w="26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Used to compute delivery rate, return rate, and filter for analysis subsets. The most important operational metric.</w:t>
            </w:r>
          </w:p>
        </w:tc>
      </w:tr>
      <w:tr>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Courier New" w:cs="Courier New" w:eastAsia="Courier New" w:hAnsi="Courier New"/>
                <w:b/>
                <w:bCs/>
                <w:color w:val="2C3E50"/>
                <w:sz w:val="15"/>
                <w:szCs w:val="15"/>
              </w:rPr>
              <w:t xml:space="preserve">delivery_days</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integer</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3</w:t>
            </w:r>
          </w:p>
        </w:tc>
        <w:tc>
          <w:tcPr>
            <w:tcW w:type="dxa" w:w="2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Days from order placement to expected delivery (1–8).</w:t>
            </w:r>
          </w:p>
        </w:tc>
        <w:tc>
          <w:tcPr>
            <w:tcW w:type="dxa" w:w="26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Used in correlation with customer_rating (longer waits → lower ratings) and delivery days distribution chart.</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Courier New" w:cs="Courier New" w:eastAsia="Courier New" w:hAnsi="Courier New"/>
                <w:b/>
                <w:bCs/>
                <w:color w:val="2C3E50"/>
                <w:sz w:val="15"/>
                <w:szCs w:val="15"/>
              </w:rPr>
              <w:t xml:space="preserve">sales_channel</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string</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Mobile App</w:t>
            </w:r>
          </w:p>
        </w:tc>
        <w:tc>
          <w:tcPr>
            <w:tcW w:type="dxa" w:w="2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How the order was placed (5 channels: Mobile App, Website Desktop, USSD, Agent Network, WhatsApp Store).</w:t>
            </w:r>
          </w:p>
        </w:tc>
        <w:tc>
          <w:tcPr>
            <w:tcW w:type="dxa" w:w="26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Used in the bubble chart (channel vs margin vs volume). Strategic for technology investment decisions.</w:t>
            </w:r>
          </w:p>
        </w:tc>
      </w:tr>
      <w:tr>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Courier New" w:cs="Courier New" w:eastAsia="Courier New" w:hAnsi="Courier New"/>
                <w:b/>
                <w:bCs/>
                <w:color w:val="2C3E50"/>
                <w:sz w:val="15"/>
                <w:szCs w:val="15"/>
              </w:rPr>
              <w:t xml:space="preserve">customer_rating</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float</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4.2</w:t>
            </w:r>
          </w:p>
        </w:tc>
        <w:tc>
          <w:tcPr>
            <w:tcW w:type="dxa" w:w="2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Customer satisfaction rating (1–5). Only given after delivery. ~4% missing.</w:t>
            </w:r>
          </w:p>
        </w:tc>
        <w:tc>
          <w:tcPr>
            <w:tcW w:type="dxa" w:w="26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MISSING VALUES: filled with category median. Used in box plots, KPI dashboard, and correlation with delivery_days and is_return.</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Courier New" w:cs="Courier New" w:eastAsia="Courier New" w:hAnsi="Courier New"/>
                <w:b/>
                <w:bCs/>
                <w:color w:val="2C3E50"/>
                <w:sz w:val="15"/>
                <w:szCs w:val="15"/>
              </w:rPr>
              <w:t xml:space="preserve">is_return</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integer</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0</w:t>
            </w:r>
          </w:p>
        </w:tc>
        <w:tc>
          <w:tcPr>
            <w:tcW w:type="dxa" w:w="2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Binary flag: 1 = order was returned, 0 = not returned.</w:t>
            </w:r>
          </w:p>
        </w:tc>
        <w:tc>
          <w:tcPr>
            <w:tcW w:type="dxa" w:w="26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Used to compute return rate by category and correlate with customer_rating. Returns represent lost revenue.</w:t>
            </w:r>
          </w:p>
        </w:tc>
      </w:tr>
      <w:tr>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Courier New" w:cs="Courier New" w:eastAsia="Courier New" w:hAnsi="Courier New"/>
                <w:b/>
                <w:bCs/>
                <w:color w:val="2C3E50"/>
                <w:sz w:val="15"/>
                <w:szCs w:val="15"/>
              </w:rPr>
              <w:t xml:space="preserve">is_repeat_customer</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integer</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1</w:t>
            </w:r>
          </w:p>
        </w:tc>
        <w:tc>
          <w:tcPr>
            <w:tcW w:type="dxa" w:w="2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Binary flag: 1 = customer has placed more than one order, 0 = first-time buyer.</w:t>
            </w:r>
          </w:p>
        </w:tc>
        <w:tc>
          <w:tcPr>
            <w:tcW w:type="dxa" w:w="26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Used to compute repeat customer rate — a key customer loyalty KPI. Repeat customers have lower acquisition cost.</w:t>
            </w:r>
          </w:p>
        </w:tc>
      </w:tr>
    </w:tbl>
    <w:p>
      <w:pPr>
        <w:spacing w:after="0" w:before="200"/>
      </w:pPr>
      <w:r>
        <w:t xml:space="preserve"/>
      </w:r>
    </w:p>
    <w:p>
      <w:pPr>
        <w:pBdr>
          <w:bottom w:val="single" w:color="BDC3C7" w:sz="2" w:space="1"/>
        </w:pBdr>
        <w:spacing w:after="200" w:before="200"/>
      </w:pPr>
      <w:r>
        <w:t xml:space="preserve"/>
      </w:r>
    </w:p>
    <w:p>
      <w:pPr>
        <w:pStyle w:val="Heading1"/>
        <w:pBdr>
          <w:bottom w:val="single" w:color="D4AC0D" w:sz="6" w:space="6"/>
        </w:pBdr>
        <w:spacing w:after="120" w:before="400"/>
      </w:pPr>
      <w:r>
        <w:rPr>
          <w:rFonts w:ascii="Arial" w:cs="Arial" w:eastAsia="Arial" w:hAnsi="Arial"/>
          <w:b/>
          <w:bCs/>
          <w:color w:val="0D2B55"/>
          <w:sz w:val="30"/>
          <w:szCs w:val="30"/>
        </w:rPr>
        <w:t xml:space="preserve">Part 3 — Code Walkthrough: Sections 0, 1, and 2</w:t>
      </w:r>
    </w:p>
    <w:p>
      <w:pPr>
        <w:pStyle w:val="Heading2"/>
        <w:spacing w:after="100" w:before="280"/>
      </w:pPr>
      <w:r>
        <w:rPr>
          <w:rFonts w:ascii="Arial" w:cs="Arial" w:eastAsia="Arial" w:hAnsi="Arial"/>
          <w:b/>
          <w:bCs/>
          <w:color w:val="1A5276"/>
          <w:sz w:val="26"/>
          <w:szCs w:val="26"/>
        </w:rPr>
        <w:t xml:space="preserve">Section 0 — Loading &amp; Inspecting</w:t>
      </w:r>
    </w:p>
    <w:p>
      <w:pPr>
        <w:spacing w:after="80" w:before="200"/>
      </w:pPr>
      <w:r>
        <w:rPr>
          <w:rFonts w:ascii="Arial" w:cs="Arial" w:eastAsia="Arial" w:hAnsi="Arial"/>
          <w:b/>
          <w:bCs/>
          <w:color w:val="2980B9"/>
          <w:sz w:val="23"/>
          <w:szCs w:val="23"/>
        </w:rPr>
        <w:t xml:space="preserve">Import Cell — All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import pandas as pd</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import numpy as np</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import matplotlib.pyplot as plt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import seaborn as sns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import warnings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warnings.filterwarnings('ignore')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plt.rcParams['figure.facecolor'] = '#F8FAFC'</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plt.rcParams['axes.grid'] = True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plt.rcParams['axes.spines.top'] = False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JUMIA_ORANGE = '#F68B1F'</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JUMIA_TEAL   = '#007CC3'</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COLORS = [JUMIA_ORANGE,'#007CC3','#2ECC71',...]</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500"/>
        <w:gridCol w:w="2960"/>
      </w:tblGrid>
      <w:tr>
        <w:trPr>
          <w:tblHeader/>
        </w:trPr>
        <w:tc>
          <w:tcPr>
            <w:tcW w:type="dxa" w:w="2900"/>
            <w:tcBorders>
              <w:top w:val="single" w:color="1A5276" w:sz="1"/>
              <w:left w:val="single" w:color="1A5276" w:sz="1"/>
              <w:bottom w:val="single" w:color="1A5276" w:sz="1"/>
              <w:right w:val="single" w:color="1A5276" w:sz="1"/>
            </w:tcBorders>
            <w:shd w:fill="0D2B55"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Code / Line</w:t>
            </w:r>
          </w:p>
        </w:tc>
        <w:tc>
          <w:tcPr>
            <w:tcW w:type="dxa" w:w="3500"/>
            <w:tcBorders>
              <w:top w:val="single" w:color="1A5276" w:sz="1"/>
              <w:left w:val="single" w:color="1A5276" w:sz="1"/>
              <w:bottom w:val="single" w:color="1A5276" w:sz="1"/>
              <w:right w:val="single" w:color="1A5276" w:sz="1"/>
            </w:tcBorders>
            <w:shd w:fill="0D2B55"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What It Does &amp; Means</w:t>
            </w:r>
          </w:p>
        </w:tc>
        <w:tc>
          <w:tcPr>
            <w:tcW w:type="dxa" w:w="2960"/>
            <w:tcBorders>
              <w:top w:val="single" w:color="1A5276" w:sz="1"/>
              <w:left w:val="single" w:color="1A5276" w:sz="1"/>
              <w:bottom w:val="single" w:color="1A5276" w:sz="1"/>
              <w:right w:val="single" w:color="1A5276" w:sz="1"/>
            </w:tcBorders>
            <w:shd w:fill="0D2B55"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Why Written This Way &amp; What Problem It Solves</w:t>
            </w:r>
          </w:p>
        </w:tc>
      </w:tr>
      <w:tr>
        <w:tc>
          <w:tcPr>
            <w:tcW w:type="dxa" w:w="2900"/>
            <w:tcBorders>
              <w:top w:val="single" w:color="BDC3C7" w:sz="1"/>
              <w:left w:val="single" w:color="BDC3C7" w:sz="1"/>
              <w:bottom w:val="single" w:color="BDC3C7" w:sz="1"/>
              <w:right w:val="single" w:color="BDC3C7" w:sz="1"/>
            </w:tcBorders>
            <w:shd w:fill="1E1E2E" w:val="clear"/>
            <w:tcMar>
              <w:top w:type="dxa" w:w="70"/>
              <w:left w:type="dxa" w:w="100"/>
              <w:bottom w:type="dxa" w:w="70"/>
              <w:right w:type="dxa" w:w="100"/>
            </w:tcMar>
          </w:tcPr>
          <w:p>
            <w:r>
              <w:rPr>
                <w:rFonts w:ascii="Courier New" w:cs="Courier New" w:eastAsia="Courier New" w:hAnsi="Courier New"/>
                <w:color w:val="CDD6F4"/>
                <w:sz w:val="17"/>
                <w:szCs w:val="17"/>
              </w:rPr>
              <w:t xml:space="preserve">import pandas as pd</w:t>
            </w:r>
          </w:p>
        </w:tc>
        <w:tc>
          <w:tcPr>
            <w:tcW w:type="dxa" w:w="35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Loads the Pandas library and gives it the alias 'pd'. Pandas is Python's primary data analysis library — it provides the DataFrame (a table structure), and hundreds of functions for loading, cleaning, transforming, and analysing tabular data.</w:t>
            </w:r>
          </w:p>
        </w:tc>
        <w:tc>
          <w:tcPr>
            <w:tcW w:type="dxa" w:w="29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Every data operation in the notebook uses pandas. Without it, we would need to write hundreds of lines of custom code to do what pd.read_csv, groupby, merge, and pivot_table do in a single line.</w:t>
            </w:r>
          </w:p>
        </w:tc>
      </w:tr>
      <w:tr>
        <w:tc>
          <w:tcPr>
            <w:tcW w:type="dxa" w:w="2900"/>
            <w:tcBorders>
              <w:top w:val="single" w:color="BDC3C7" w:sz="1"/>
              <w:left w:val="single" w:color="BDC3C7" w:sz="1"/>
              <w:bottom w:val="single" w:color="BDC3C7" w:sz="1"/>
              <w:right w:val="single" w:color="BDC3C7" w:sz="1"/>
            </w:tcBorders>
            <w:shd w:fill="151525" w:val="clear"/>
            <w:tcMar>
              <w:top w:type="dxa" w:w="70"/>
              <w:left w:type="dxa" w:w="100"/>
              <w:bottom w:type="dxa" w:w="70"/>
              <w:right w:type="dxa" w:w="100"/>
            </w:tcMar>
          </w:tcPr>
          <w:p>
            <w:r>
              <w:rPr>
                <w:rFonts w:ascii="Courier New" w:cs="Courier New" w:eastAsia="Courier New" w:hAnsi="Courier New"/>
                <w:color w:val="CDD6F4"/>
                <w:sz w:val="17"/>
                <w:szCs w:val="17"/>
              </w:rPr>
              <w:t xml:space="preserve">import numpy as np</w:t>
            </w:r>
          </w:p>
        </w:tc>
        <w:tc>
          <w:tcPr>
            <w:tcW w:type="dxa" w:w="3500"/>
            <w:tcBorders>
              <w:top w:val="single" w:color="BDC3C7" w:sz="1"/>
              <w:left w:val="single" w:color="BDC3C7" w:sz="1"/>
              <w:bottom w:val="single" w:color="BDC3C7" w:sz="1"/>
              <w:right w:val="single" w:color="BDC3C7" w:sz="1"/>
            </w:tcBorders>
            <w:shd w:fill="F4F6F8" w:val="clear"/>
            <w:tcMar>
              <w:top w:type="dxa" w:w="70"/>
              <w:left w:type="dxa" w:w="100"/>
              <w:bottom w:type="dxa" w:w="70"/>
              <w:right w:type="dxa" w:w="100"/>
            </w:tcMar>
          </w:tcPr>
          <w:p>
            <w:r>
              <w:rPr>
                <w:rFonts w:ascii="Arial" w:cs="Arial" w:eastAsia="Arial" w:hAnsi="Arial"/>
                <w:color w:val="2C3E50"/>
                <w:sz w:val="18"/>
                <w:szCs w:val="18"/>
              </w:rPr>
              <w:t xml:space="preserve">Loads NumPy (Numerical Python) with alias 'np'. Provides fast mathematical operations on arrays: np.polyfit (trend lines), np.linspace (evenly spaced values), np.triu (upper triangle matrix mask), and mathematical functions.</w:t>
            </w:r>
          </w:p>
        </w:tc>
        <w:tc>
          <w:tcPr>
            <w:tcW w:type="dxa" w:w="2960"/>
            <w:tcBorders>
              <w:top w:val="single" w:color="BDC3C7" w:sz="1"/>
              <w:left w:val="single" w:color="BDC3C7" w:sz="1"/>
              <w:bottom w:val="single" w:color="BDC3C7" w:sz="1"/>
              <w:right w:val="single" w:color="BDC3C7" w:sz="1"/>
            </w:tcBorders>
            <w:shd w:fill="F4F6F8" w:val="clear"/>
            <w:tcMar>
              <w:top w:type="dxa" w:w="70"/>
              <w:left w:type="dxa" w:w="100"/>
              <w:bottom w:type="dxa" w:w="70"/>
              <w:right w:type="dxa" w:w="100"/>
            </w:tcMar>
          </w:tcPr>
          <w:p>
            <w:r>
              <w:rPr>
                <w:rFonts w:ascii="Arial" w:cs="Arial" w:eastAsia="Arial" w:hAnsi="Arial"/>
                <w:color w:val="2C3E50"/>
                <w:sz w:val="18"/>
                <w:szCs w:val="18"/>
              </w:rPr>
              <w:t xml:space="preserve">NumPy underpins pandas and matplotlib internally. We use it explicitly for the scatter plot trend line (np.polyfit), the correlation heatmap mask (np.triu), and clipping operations (.clip()).</w:t>
            </w:r>
          </w:p>
        </w:tc>
      </w:tr>
      <w:tr>
        <w:tc>
          <w:tcPr>
            <w:tcW w:type="dxa" w:w="2900"/>
            <w:tcBorders>
              <w:top w:val="single" w:color="BDC3C7" w:sz="1"/>
              <w:left w:val="single" w:color="BDC3C7" w:sz="1"/>
              <w:bottom w:val="single" w:color="BDC3C7" w:sz="1"/>
              <w:right w:val="single" w:color="BDC3C7" w:sz="1"/>
            </w:tcBorders>
            <w:shd w:fill="1E1E2E" w:val="clear"/>
            <w:tcMar>
              <w:top w:type="dxa" w:w="70"/>
              <w:left w:type="dxa" w:w="100"/>
              <w:bottom w:type="dxa" w:w="70"/>
              <w:right w:type="dxa" w:w="100"/>
            </w:tcMar>
          </w:tcPr>
          <w:p>
            <w:r>
              <w:rPr>
                <w:rFonts w:ascii="Courier New" w:cs="Courier New" w:eastAsia="Courier New" w:hAnsi="Courier New"/>
                <w:color w:val="CDD6F4"/>
                <w:sz w:val="17"/>
                <w:szCs w:val="17"/>
              </w:rPr>
              <w:t xml:space="preserve">import matplotlib.pyplot as plt</w:t>
            </w:r>
          </w:p>
        </w:tc>
        <w:tc>
          <w:tcPr>
            <w:tcW w:type="dxa" w:w="35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Loads Matplotlib's plotting interface as 'plt'. Every chart in the notebook — histograms, bar charts, line charts, scatter plots — is built using plt.subplots(), ax.plot(), ax.bar(), and related methods.</w:t>
            </w:r>
          </w:p>
        </w:tc>
        <w:tc>
          <w:tcPr>
            <w:tcW w:type="dxa" w:w="29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Matplotlib is the foundation plotting library in Python. Seaborn builds on top of it for statistical charts. Direct matplotlib usage gives full control over every visual element — colours, labels, line styles, annotations.</w:t>
            </w:r>
          </w:p>
        </w:tc>
      </w:tr>
      <w:tr>
        <w:tc>
          <w:tcPr>
            <w:tcW w:type="dxa" w:w="2900"/>
            <w:tcBorders>
              <w:top w:val="single" w:color="BDC3C7" w:sz="1"/>
              <w:left w:val="single" w:color="BDC3C7" w:sz="1"/>
              <w:bottom w:val="single" w:color="BDC3C7" w:sz="1"/>
              <w:right w:val="single" w:color="BDC3C7" w:sz="1"/>
            </w:tcBorders>
            <w:shd w:fill="151525" w:val="clear"/>
            <w:tcMar>
              <w:top w:type="dxa" w:w="70"/>
              <w:left w:type="dxa" w:w="100"/>
              <w:bottom w:type="dxa" w:w="70"/>
              <w:right w:type="dxa" w:w="100"/>
            </w:tcMar>
          </w:tcPr>
          <w:p>
            <w:r>
              <w:rPr>
                <w:rFonts w:ascii="Courier New" w:cs="Courier New" w:eastAsia="Courier New" w:hAnsi="Courier New"/>
                <w:color w:val="CDD6F4"/>
                <w:sz w:val="17"/>
                <w:szCs w:val="17"/>
              </w:rPr>
              <w:t xml:space="preserve">import seaborn as sns</w:t>
            </w:r>
          </w:p>
        </w:tc>
        <w:tc>
          <w:tcPr>
            <w:tcW w:type="dxa" w:w="3500"/>
            <w:tcBorders>
              <w:top w:val="single" w:color="BDC3C7" w:sz="1"/>
              <w:left w:val="single" w:color="BDC3C7" w:sz="1"/>
              <w:bottom w:val="single" w:color="BDC3C7" w:sz="1"/>
              <w:right w:val="single" w:color="BDC3C7" w:sz="1"/>
            </w:tcBorders>
            <w:shd w:fill="F4F6F8" w:val="clear"/>
            <w:tcMar>
              <w:top w:type="dxa" w:w="70"/>
              <w:left w:type="dxa" w:w="100"/>
              <w:bottom w:type="dxa" w:w="70"/>
              <w:right w:type="dxa" w:w="100"/>
            </w:tcMar>
          </w:tcPr>
          <w:p>
            <w:r>
              <w:rPr>
                <w:rFonts w:ascii="Arial" w:cs="Arial" w:eastAsia="Arial" w:hAnsi="Arial"/>
                <w:color w:val="2C3E50"/>
                <w:sz w:val="18"/>
                <w:szCs w:val="18"/>
              </w:rPr>
              <w:t xml:space="preserve">Loads Seaborn — a high-level statistical visualisation library built on matplotlib. Used specifically for sns.heatmap() (correlation heatmap) which would require hundreds of lines of matplotlib code to replicate.</w:t>
            </w:r>
          </w:p>
        </w:tc>
        <w:tc>
          <w:tcPr>
            <w:tcW w:type="dxa" w:w="2960"/>
            <w:tcBorders>
              <w:top w:val="single" w:color="BDC3C7" w:sz="1"/>
              <w:left w:val="single" w:color="BDC3C7" w:sz="1"/>
              <w:bottom w:val="single" w:color="BDC3C7" w:sz="1"/>
              <w:right w:val="single" w:color="BDC3C7" w:sz="1"/>
            </w:tcBorders>
            <w:shd w:fill="F4F6F8" w:val="clear"/>
            <w:tcMar>
              <w:top w:type="dxa" w:w="70"/>
              <w:left w:type="dxa" w:w="100"/>
              <w:bottom w:type="dxa" w:w="70"/>
              <w:right w:type="dxa" w:w="100"/>
            </w:tcMar>
          </w:tcPr>
          <w:p>
            <w:r>
              <w:rPr>
                <w:rFonts w:ascii="Arial" w:cs="Arial" w:eastAsia="Arial" w:hAnsi="Arial"/>
                <w:color w:val="2C3E50"/>
                <w:sz w:val="18"/>
                <w:szCs w:val="18"/>
              </w:rPr>
              <w:t xml:space="preserve">Seaborn handles complex statistical charts (heatmaps, distribution plots, regression plots) in one function call. sns.heatmap() with colour-coded cells, annotations, and a colour bar is a one-liner in seaborn vs a complex custom implementation in raw matplotlib.</w:t>
            </w:r>
          </w:p>
        </w:tc>
      </w:tr>
      <w:tr>
        <w:tc>
          <w:tcPr>
            <w:tcW w:type="dxa" w:w="2900"/>
            <w:tcBorders>
              <w:top w:val="single" w:color="BDC3C7" w:sz="1"/>
              <w:left w:val="single" w:color="BDC3C7" w:sz="1"/>
              <w:bottom w:val="single" w:color="BDC3C7" w:sz="1"/>
              <w:right w:val="single" w:color="BDC3C7" w:sz="1"/>
            </w:tcBorders>
            <w:shd w:fill="1E1E2E" w:val="clear"/>
            <w:tcMar>
              <w:top w:type="dxa" w:w="70"/>
              <w:left w:type="dxa" w:w="100"/>
              <w:bottom w:type="dxa" w:w="70"/>
              <w:right w:type="dxa" w:w="100"/>
            </w:tcMar>
          </w:tcPr>
          <w:p>
            <w:r>
              <w:rPr>
                <w:rFonts w:ascii="Courier New" w:cs="Courier New" w:eastAsia="Courier New" w:hAnsi="Courier New"/>
                <w:color w:val="CDD6F4"/>
                <w:sz w:val="17"/>
                <w:szCs w:val="17"/>
              </w:rPr>
              <w:t xml:space="preserve">warnings.filterwarnings('ignore')</w:t>
            </w:r>
          </w:p>
        </w:tc>
        <w:tc>
          <w:tcPr>
            <w:tcW w:type="dxa" w:w="35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Suppresses Python warning messages that would otherwise appear in the notebook output. Pandas 2.x produces several DeprecationWarnings for operations that work correctly but will change in a future version.</w:t>
            </w:r>
          </w:p>
        </w:tc>
        <w:tc>
          <w:tcPr>
            <w:tcW w:type="dxa" w:w="29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Warnings cluttering the output confuse students and obscure the actual results. In a production environment, warnings would be logged to a monitoring system rather than printed to a user interface.</w:t>
            </w:r>
          </w:p>
        </w:tc>
      </w:tr>
      <w:tr>
        <w:tc>
          <w:tcPr>
            <w:tcW w:type="dxa" w:w="2900"/>
            <w:tcBorders>
              <w:top w:val="single" w:color="BDC3C7" w:sz="1"/>
              <w:left w:val="single" w:color="BDC3C7" w:sz="1"/>
              <w:bottom w:val="single" w:color="BDC3C7" w:sz="1"/>
              <w:right w:val="single" w:color="BDC3C7" w:sz="1"/>
            </w:tcBorders>
            <w:shd w:fill="151525" w:val="clear"/>
            <w:tcMar>
              <w:top w:type="dxa" w:w="70"/>
              <w:left w:type="dxa" w:w="100"/>
              <w:bottom w:type="dxa" w:w="70"/>
              <w:right w:type="dxa" w:w="100"/>
            </w:tcMar>
          </w:tcPr>
          <w:p>
            <w:r>
              <w:rPr>
                <w:rFonts w:ascii="Courier New" w:cs="Courier New" w:eastAsia="Courier New" w:hAnsi="Courier New"/>
                <w:color w:val="CDD6F4"/>
                <w:sz w:val="17"/>
                <w:szCs w:val="17"/>
              </w:rPr>
              <w:t xml:space="preserve">plt.rcParams['figure.facecolor'] = '#F8FAFC'</w:t>
            </w:r>
          </w:p>
        </w:tc>
        <w:tc>
          <w:tcPr>
            <w:tcW w:type="dxa" w:w="3500"/>
            <w:tcBorders>
              <w:top w:val="single" w:color="BDC3C7" w:sz="1"/>
              <w:left w:val="single" w:color="BDC3C7" w:sz="1"/>
              <w:bottom w:val="single" w:color="BDC3C7" w:sz="1"/>
              <w:right w:val="single" w:color="BDC3C7" w:sz="1"/>
            </w:tcBorders>
            <w:shd w:fill="F4F6F8" w:val="clear"/>
            <w:tcMar>
              <w:top w:type="dxa" w:w="70"/>
              <w:left w:type="dxa" w:w="100"/>
              <w:bottom w:type="dxa" w:w="70"/>
              <w:right w:type="dxa" w:w="100"/>
            </w:tcMar>
          </w:tcPr>
          <w:p>
            <w:r>
              <w:rPr>
                <w:rFonts w:ascii="Arial" w:cs="Arial" w:eastAsia="Arial" w:hAnsi="Arial"/>
                <w:color w:val="2C3E50"/>
                <w:sz w:val="18"/>
                <w:szCs w:val="18"/>
              </w:rPr>
              <w:t xml:space="preserve">rcParams (runtime configuration parameters) are global settings that apply to ALL subsequent matplotlib charts in the session. Setting figure.facecolor once here means every chart automatically has a light grey background without repeating this in every chart cell.</w:t>
            </w:r>
          </w:p>
        </w:tc>
        <w:tc>
          <w:tcPr>
            <w:tcW w:type="dxa" w:w="2960"/>
            <w:tcBorders>
              <w:top w:val="single" w:color="BDC3C7" w:sz="1"/>
              <w:left w:val="single" w:color="BDC3C7" w:sz="1"/>
              <w:bottom w:val="single" w:color="BDC3C7" w:sz="1"/>
              <w:right w:val="single" w:color="BDC3C7" w:sz="1"/>
            </w:tcBorders>
            <w:shd w:fill="F4F6F8" w:val="clear"/>
            <w:tcMar>
              <w:top w:type="dxa" w:w="70"/>
              <w:left w:type="dxa" w:w="100"/>
              <w:bottom w:type="dxa" w:w="70"/>
              <w:right w:type="dxa" w:w="100"/>
            </w:tcMar>
          </w:tcPr>
          <w:p>
            <w:r>
              <w:rPr>
                <w:rFonts w:ascii="Arial" w:cs="Arial" w:eastAsia="Arial" w:hAnsi="Arial"/>
                <w:color w:val="2C3E50"/>
                <w:sz w:val="18"/>
                <w:szCs w:val="18"/>
              </w:rPr>
              <w:t xml:space="preserve">Consistency in chart styling across a notebook is professional practice. Setting rcParams once at the top is the DRY (Don't Repeat Yourself) principle applied to visualisation.</w:t>
            </w:r>
          </w:p>
        </w:tc>
      </w:tr>
      <w:tr>
        <w:tc>
          <w:tcPr>
            <w:tcW w:type="dxa" w:w="2900"/>
            <w:tcBorders>
              <w:top w:val="single" w:color="BDC3C7" w:sz="1"/>
              <w:left w:val="single" w:color="BDC3C7" w:sz="1"/>
              <w:bottom w:val="single" w:color="BDC3C7" w:sz="1"/>
              <w:right w:val="single" w:color="BDC3C7" w:sz="1"/>
            </w:tcBorders>
            <w:shd w:fill="1E1E2E" w:val="clear"/>
            <w:tcMar>
              <w:top w:type="dxa" w:w="70"/>
              <w:left w:type="dxa" w:w="100"/>
              <w:bottom w:type="dxa" w:w="70"/>
              <w:right w:type="dxa" w:w="100"/>
            </w:tcMar>
          </w:tcPr>
          <w:p>
            <w:r>
              <w:rPr>
                <w:rFonts w:ascii="Courier New" w:cs="Courier New" w:eastAsia="Courier New" w:hAnsi="Courier New"/>
                <w:color w:val="CDD6F4"/>
                <w:sz w:val="17"/>
                <w:szCs w:val="17"/>
              </w:rPr>
              <w:t xml:space="preserve">JUMIA_ORANGE = '#F68B1F'</w:t>
            </w:r>
          </w:p>
        </w:tc>
        <w:tc>
          <w:tcPr>
            <w:tcW w:type="dxa" w:w="35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Stores the hex colour code for Jumia's brand orange as a named variable. #F68B1F is Jumia's official orange from their brand guidelines.</w:t>
            </w:r>
          </w:p>
        </w:tc>
        <w:tc>
          <w:tcPr>
            <w:tcW w:type="dxa" w:w="29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Using a named constant means changing the primary colour requires editing one line, not searching through every chart. It also communicates intent: the reader immediately knows this is the brand colour, not an arbitrary choice.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All libraries imported successfully</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Pandas version     : 3.0.2</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NumPy version      : 2.4.4</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Seaborn version    : 0.13.x</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8"/>
              <w:left w:val="single" w:color="1A5276" w:sz="8"/>
              <w:bottom w:val="single" w:color="BDC3C7" w:sz="1"/>
              <w:right w:val="single" w:color="BDC3C7" w:sz="1"/>
            </w:tcBorders>
            <w:shd w:fill="D6E8F7" w:val="clear"/>
            <w:tcMar>
              <w:top w:type="dxa" w:w="100"/>
              <w:left w:type="dxa" w:w="180"/>
              <w:bottom w:type="dxa" w:w="100"/>
              <w:right w:type="dxa" w:w="180"/>
            </w:tcMar>
          </w:tcPr>
          <w:p>
            <w:pPr>
              <w:spacing w:after="60" w:before="0"/>
            </w:pPr>
            <w:r>
              <w:rPr>
                <w:rFonts w:ascii="Arial" w:cs="Arial" w:eastAsia="Arial" w:hAnsi="Arial"/>
                <w:b/>
                <w:bCs/>
                <w:color w:val="1A5276"/>
                <w:sz w:val="20"/>
                <w:szCs w:val="20"/>
              </w:rPr>
              <w:t xml:space="preserve">Output Interpretation</w:t>
            </w:r>
          </w:p>
          <w:p>
            <w:pPr>
              <w:spacing w:after="0" w:before="0"/>
            </w:pPr>
            <w:r>
              <w:rPr>
                <w:rFonts w:ascii="Arial" w:cs="Arial" w:eastAsia="Arial" w:hAnsi="Arial"/>
                <w:color w:val="2C3E50"/>
                <w:sz w:val="20"/>
                <w:szCs w:val="20"/>
              </w:rPr>
              <w:t xml:space="preserve">The version numbers confirm all libraries are installed and compatible. If any import fails with 'ModuleNotFoundError', run pip install [package_name] in the terminal before re-running the cell. Always check that pandas is version 1.5+ and seaborn is 0.12+ for the functions used in this notebook.</w:t>
            </w:r>
          </w:p>
        </w:tc>
      </w:tr>
    </w:tbl>
    <w:p>
      <w:pPr>
        <w:spacing w:after="0" w:before="100"/>
      </w:pPr>
      <w:r>
        <w:t xml:space="preserve"/>
      </w:r>
    </w:p>
    <w:p>
      <w:pPr>
        <w:spacing w:after="80" w:before="200"/>
      </w:pPr>
      <w:r>
        <w:rPr>
          <w:rFonts w:ascii="Arial" w:cs="Arial" w:eastAsia="Arial" w:hAnsi="Arial"/>
          <w:b/>
          <w:bCs/>
          <w:color w:val="2980B9"/>
          <w:sz w:val="23"/>
          <w:szCs w:val="23"/>
        </w:rPr>
        <w:t xml:space="preserve">Load, Inspect Shape, dtypes, describe()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df = pd.read_csv('jumia_sales_data.csv')</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 Shape and size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print(f'Rows: {df.shape[0]:,}')</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print(f'Columns: {df.shape[1]}')</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print(f'Memory: {df.memory_usage(deep=True).sum()/1024:.1f} KB')</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 Data types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print(df.dtypes)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 Statistical summary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df.describe().round(2)</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500"/>
        <w:gridCol w:w="2960"/>
      </w:tblGrid>
      <w:tr>
        <w:trPr>
          <w:tblHeader/>
        </w:trPr>
        <w:tc>
          <w:tcPr>
            <w:tcW w:type="dxa" w:w="2900"/>
            <w:tcBorders>
              <w:top w:val="single" w:color="1A5276" w:sz="1"/>
              <w:left w:val="single" w:color="1A5276" w:sz="1"/>
              <w:bottom w:val="single" w:color="1A5276" w:sz="1"/>
              <w:right w:val="single" w:color="1A5276" w:sz="1"/>
            </w:tcBorders>
            <w:shd w:fill="0D2B55"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Code / Line</w:t>
            </w:r>
          </w:p>
        </w:tc>
        <w:tc>
          <w:tcPr>
            <w:tcW w:type="dxa" w:w="3500"/>
            <w:tcBorders>
              <w:top w:val="single" w:color="1A5276" w:sz="1"/>
              <w:left w:val="single" w:color="1A5276" w:sz="1"/>
              <w:bottom w:val="single" w:color="1A5276" w:sz="1"/>
              <w:right w:val="single" w:color="1A5276" w:sz="1"/>
            </w:tcBorders>
            <w:shd w:fill="0D2B55"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What It Does &amp; Means</w:t>
            </w:r>
          </w:p>
        </w:tc>
        <w:tc>
          <w:tcPr>
            <w:tcW w:type="dxa" w:w="2960"/>
            <w:tcBorders>
              <w:top w:val="single" w:color="1A5276" w:sz="1"/>
              <w:left w:val="single" w:color="1A5276" w:sz="1"/>
              <w:bottom w:val="single" w:color="1A5276" w:sz="1"/>
              <w:right w:val="single" w:color="1A5276" w:sz="1"/>
            </w:tcBorders>
            <w:shd w:fill="0D2B55"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Why Written This Way &amp; What Problem It Solves</w:t>
            </w:r>
          </w:p>
        </w:tc>
      </w:tr>
      <w:tr>
        <w:tc>
          <w:tcPr>
            <w:tcW w:type="dxa" w:w="2900"/>
            <w:tcBorders>
              <w:top w:val="single" w:color="BDC3C7" w:sz="1"/>
              <w:left w:val="single" w:color="BDC3C7" w:sz="1"/>
              <w:bottom w:val="single" w:color="BDC3C7" w:sz="1"/>
              <w:right w:val="single" w:color="BDC3C7" w:sz="1"/>
            </w:tcBorders>
            <w:shd w:fill="1E1E2E" w:val="clear"/>
            <w:tcMar>
              <w:top w:type="dxa" w:w="70"/>
              <w:left w:type="dxa" w:w="100"/>
              <w:bottom w:type="dxa" w:w="70"/>
              <w:right w:type="dxa" w:w="100"/>
            </w:tcMar>
          </w:tcPr>
          <w:p>
            <w:r>
              <w:rPr>
                <w:rFonts w:ascii="Courier New" w:cs="Courier New" w:eastAsia="Courier New" w:hAnsi="Courier New"/>
                <w:color w:val="CDD6F4"/>
                <w:sz w:val="17"/>
                <w:szCs w:val="17"/>
              </w:rPr>
              <w:t xml:space="preserve">pd.read_csv('jumia_sales_data.csv')</w:t>
            </w:r>
          </w:p>
        </w:tc>
        <w:tc>
          <w:tcPr>
            <w:tcW w:type="dxa" w:w="35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Reads the CSV file into a pandas DataFrame. Every row becomes a record; every column header becomes a Series. All values initially read as strings unless pandas can infer a numeric type (integers and decimals are auto-detected). Dates remain as strings.</w:t>
            </w:r>
          </w:p>
        </w:tc>
        <w:tc>
          <w:tcPr>
            <w:tcW w:type="dxa" w:w="29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read_csv is the universal entry point for tabular data analysis in Python. It handles quoted strings containing commas (like city names 'Ikeja, Lagos'), encoding, and custom delimiters automatically.</w:t>
            </w:r>
          </w:p>
        </w:tc>
      </w:tr>
      <w:tr>
        <w:tc>
          <w:tcPr>
            <w:tcW w:type="dxa" w:w="2900"/>
            <w:tcBorders>
              <w:top w:val="single" w:color="BDC3C7" w:sz="1"/>
              <w:left w:val="single" w:color="BDC3C7" w:sz="1"/>
              <w:bottom w:val="single" w:color="BDC3C7" w:sz="1"/>
              <w:right w:val="single" w:color="BDC3C7" w:sz="1"/>
            </w:tcBorders>
            <w:shd w:fill="151525" w:val="clear"/>
            <w:tcMar>
              <w:top w:type="dxa" w:w="70"/>
              <w:left w:type="dxa" w:w="100"/>
              <w:bottom w:type="dxa" w:w="70"/>
              <w:right w:type="dxa" w:w="100"/>
            </w:tcMar>
          </w:tcPr>
          <w:p>
            <w:r>
              <w:rPr>
                <w:rFonts w:ascii="Courier New" w:cs="Courier New" w:eastAsia="Courier New" w:hAnsi="Courier New"/>
                <w:color w:val="CDD6F4"/>
                <w:sz w:val="17"/>
                <w:szCs w:val="17"/>
              </w:rPr>
              <w:t xml:space="preserve">df.shape[0], df.shape[1]</w:t>
            </w:r>
          </w:p>
        </w:tc>
        <w:tc>
          <w:tcPr>
            <w:tcW w:type="dxa" w:w="3500"/>
            <w:tcBorders>
              <w:top w:val="single" w:color="BDC3C7" w:sz="1"/>
              <w:left w:val="single" w:color="BDC3C7" w:sz="1"/>
              <w:bottom w:val="single" w:color="BDC3C7" w:sz="1"/>
              <w:right w:val="single" w:color="BDC3C7" w:sz="1"/>
            </w:tcBorders>
            <w:shd w:fill="F4F6F8" w:val="clear"/>
            <w:tcMar>
              <w:top w:type="dxa" w:w="70"/>
              <w:left w:type="dxa" w:w="100"/>
              <w:bottom w:type="dxa" w:w="70"/>
              <w:right w:type="dxa" w:w="100"/>
            </w:tcMar>
          </w:tcPr>
          <w:p>
            <w:r>
              <w:rPr>
                <w:rFonts w:ascii="Arial" w:cs="Arial" w:eastAsia="Arial" w:hAnsi="Arial"/>
                <w:color w:val="2C3E50"/>
                <w:sz w:val="18"/>
                <w:szCs w:val="18"/>
              </w:rPr>
              <w:t xml:space="preserve">df.shape returns a tuple (rows, columns). shape[0] is the row count; shape[1] is the column count. Verifying these confirms the full file was loaded.</w:t>
            </w:r>
          </w:p>
        </w:tc>
        <w:tc>
          <w:tcPr>
            <w:tcW w:type="dxa" w:w="2960"/>
            <w:tcBorders>
              <w:top w:val="single" w:color="BDC3C7" w:sz="1"/>
              <w:left w:val="single" w:color="BDC3C7" w:sz="1"/>
              <w:bottom w:val="single" w:color="BDC3C7" w:sz="1"/>
              <w:right w:val="single" w:color="BDC3C7" w:sz="1"/>
            </w:tcBorders>
            <w:shd w:fill="F4F6F8" w:val="clear"/>
            <w:tcMar>
              <w:top w:type="dxa" w:w="70"/>
              <w:left w:type="dxa" w:w="100"/>
              <w:bottom w:type="dxa" w:w="70"/>
              <w:right w:type="dxa" w:w="100"/>
            </w:tcMar>
          </w:tcPr>
          <w:p>
            <w:r>
              <w:rPr>
                <w:rFonts w:ascii="Arial" w:cs="Arial" w:eastAsia="Arial" w:hAnsi="Arial"/>
                <w:color w:val="2C3E50"/>
                <w:sz w:val="18"/>
                <w:szCs w:val="18"/>
              </w:rPr>
              <w:t xml:space="preserve">A common loading error is truncation — only the first N rows load if there is an encoding error midway through. Checking shape immediately after loading catches this. Expected: (3000, 28).</w:t>
            </w:r>
          </w:p>
        </w:tc>
      </w:tr>
      <w:tr>
        <w:tc>
          <w:tcPr>
            <w:tcW w:type="dxa" w:w="2900"/>
            <w:tcBorders>
              <w:top w:val="single" w:color="BDC3C7" w:sz="1"/>
              <w:left w:val="single" w:color="BDC3C7" w:sz="1"/>
              <w:bottom w:val="single" w:color="BDC3C7" w:sz="1"/>
              <w:right w:val="single" w:color="BDC3C7" w:sz="1"/>
            </w:tcBorders>
            <w:shd w:fill="1E1E2E" w:val="clear"/>
            <w:tcMar>
              <w:top w:type="dxa" w:w="70"/>
              <w:left w:type="dxa" w:w="100"/>
              <w:bottom w:type="dxa" w:w="70"/>
              <w:right w:type="dxa" w:w="100"/>
            </w:tcMar>
          </w:tcPr>
          <w:p>
            <w:r>
              <w:rPr>
                <w:rFonts w:ascii="Courier New" w:cs="Courier New" w:eastAsia="Courier New" w:hAnsi="Courier New"/>
                <w:color w:val="CDD6F4"/>
                <w:sz w:val="17"/>
                <w:szCs w:val="17"/>
              </w:rPr>
              <w:t xml:space="preserve">df.memory_usage(deep=True).sum()/1024</w:t>
            </w:r>
          </w:p>
        </w:tc>
        <w:tc>
          <w:tcPr>
            <w:tcW w:type="dxa" w:w="35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Computes the RAM usage of the DataFrame in kilobytes. deep=True ensures string columns are accurately measured (otherwise object columns are underestimated).</w:t>
            </w:r>
          </w:p>
        </w:tc>
        <w:tc>
          <w:tcPr>
            <w:tcW w:type="dxa" w:w="29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Memory awareness is important for scalability. At 3,000 rows, memory is trivial. At 3,000,000 rows (a real Jumia dataset), memory management becomes critical. This teaches the habit of checking before problems arise.</w:t>
            </w:r>
          </w:p>
        </w:tc>
      </w:tr>
      <w:tr>
        <w:tc>
          <w:tcPr>
            <w:tcW w:type="dxa" w:w="2900"/>
            <w:tcBorders>
              <w:top w:val="single" w:color="BDC3C7" w:sz="1"/>
              <w:left w:val="single" w:color="BDC3C7" w:sz="1"/>
              <w:bottom w:val="single" w:color="BDC3C7" w:sz="1"/>
              <w:right w:val="single" w:color="BDC3C7" w:sz="1"/>
            </w:tcBorders>
            <w:shd w:fill="151525" w:val="clear"/>
            <w:tcMar>
              <w:top w:type="dxa" w:w="70"/>
              <w:left w:type="dxa" w:w="100"/>
              <w:bottom w:type="dxa" w:w="70"/>
              <w:right w:type="dxa" w:w="100"/>
            </w:tcMar>
          </w:tcPr>
          <w:p>
            <w:r>
              <w:rPr>
                <w:rFonts w:ascii="Courier New" w:cs="Courier New" w:eastAsia="Courier New" w:hAnsi="Courier New"/>
                <w:color w:val="CDD6F4"/>
                <w:sz w:val="17"/>
                <w:szCs w:val="17"/>
              </w:rPr>
              <w:t xml:space="preserve">df.dtypes</w:t>
            </w:r>
          </w:p>
        </w:tc>
        <w:tc>
          <w:tcPr>
            <w:tcW w:type="dxa" w:w="3500"/>
            <w:tcBorders>
              <w:top w:val="single" w:color="BDC3C7" w:sz="1"/>
              <w:left w:val="single" w:color="BDC3C7" w:sz="1"/>
              <w:bottom w:val="single" w:color="BDC3C7" w:sz="1"/>
              <w:right w:val="single" w:color="BDC3C7" w:sz="1"/>
            </w:tcBorders>
            <w:shd w:fill="F4F6F8" w:val="clear"/>
            <w:tcMar>
              <w:top w:type="dxa" w:w="70"/>
              <w:left w:type="dxa" w:w="100"/>
              <w:bottom w:type="dxa" w:w="70"/>
              <w:right w:type="dxa" w:w="100"/>
            </w:tcMar>
          </w:tcPr>
          <w:p>
            <w:r>
              <w:rPr>
                <w:rFonts w:ascii="Arial" w:cs="Arial" w:eastAsia="Arial" w:hAnsi="Arial"/>
                <w:color w:val="2C3E50"/>
                <w:sz w:val="18"/>
                <w:szCs w:val="18"/>
              </w:rPr>
              <w:t xml:space="preserve">Shows the data type of every column. Expected types: object (string) for names and dates, float64 for prices/percentages, int64 for counts and binary flags.</w:t>
            </w:r>
          </w:p>
        </w:tc>
        <w:tc>
          <w:tcPr>
            <w:tcW w:type="dxa" w:w="2960"/>
            <w:tcBorders>
              <w:top w:val="single" w:color="BDC3C7" w:sz="1"/>
              <w:left w:val="single" w:color="BDC3C7" w:sz="1"/>
              <w:bottom w:val="single" w:color="BDC3C7" w:sz="1"/>
              <w:right w:val="single" w:color="BDC3C7" w:sz="1"/>
            </w:tcBorders>
            <w:shd w:fill="F4F6F8" w:val="clear"/>
            <w:tcMar>
              <w:top w:type="dxa" w:w="70"/>
              <w:left w:type="dxa" w:w="100"/>
              <w:bottom w:type="dxa" w:w="70"/>
              <w:right w:type="dxa" w:w="100"/>
            </w:tcMar>
          </w:tcPr>
          <w:p>
            <w:r>
              <w:rPr>
                <w:rFonts w:ascii="Arial" w:cs="Arial" w:eastAsia="Arial" w:hAnsi="Arial"/>
                <w:color w:val="2C3E50"/>
                <w:sz w:val="18"/>
                <w:szCs w:val="18"/>
              </w:rPr>
              <w:t xml:space="preserve">Incorrect data types cause silent errors. A numeric column stored as object means df['amount'].sum() would concatenate strings instead of adding numbers. dtypes is the first diagnostic step.</w:t>
            </w:r>
          </w:p>
        </w:tc>
      </w:tr>
      <w:tr>
        <w:tc>
          <w:tcPr>
            <w:tcW w:type="dxa" w:w="2900"/>
            <w:tcBorders>
              <w:top w:val="single" w:color="BDC3C7" w:sz="1"/>
              <w:left w:val="single" w:color="BDC3C7" w:sz="1"/>
              <w:bottom w:val="single" w:color="BDC3C7" w:sz="1"/>
              <w:right w:val="single" w:color="BDC3C7" w:sz="1"/>
            </w:tcBorders>
            <w:shd w:fill="1E1E2E" w:val="clear"/>
            <w:tcMar>
              <w:top w:type="dxa" w:w="70"/>
              <w:left w:type="dxa" w:w="100"/>
              <w:bottom w:type="dxa" w:w="70"/>
              <w:right w:type="dxa" w:w="100"/>
            </w:tcMar>
          </w:tcPr>
          <w:p>
            <w:r>
              <w:rPr>
                <w:rFonts w:ascii="Courier New" w:cs="Courier New" w:eastAsia="Courier New" w:hAnsi="Courier New"/>
                <w:color w:val="CDD6F4"/>
                <w:sz w:val="17"/>
                <w:szCs w:val="17"/>
              </w:rPr>
              <w:t xml:space="preserve">df.describe().round(2)</w:t>
            </w:r>
          </w:p>
        </w:tc>
        <w:tc>
          <w:tcPr>
            <w:tcW w:type="dxa" w:w="35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Computes 8 summary statistics for every numeric column simultaneously: count (non-null values), mean, std (standard deviation), min, 25th percentile, 50th percentile (median), 75th percentile, and max. .round(2) rounds all values to 2 decimal places for readability.</w:t>
            </w:r>
          </w:p>
        </w:tc>
        <w:tc>
          <w:tcPr>
            <w:tcW w:type="dxa" w:w="29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describe() gives an instant overview of scale, spread, and potential issues. If count is less than 3000 for any column, there are missing values. If min is negative for a price column, there is a data error. If max is 1000× the mean, there may be outliers.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DATASET LOADED — JUMIA NIGERIA SALES 2023</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Rows (orders)  : 3,000</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Columns        : 28</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Memory usage   : ~580 KB</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COLUMN DATA TYPES:</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order_id            object   (string)</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order_date          object   (string — convert to datetime in Sec 2)</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total_revenue       float64</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profit              float64</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quantity            int64</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is_return           int64</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STATISTICAL SUMMARY (describe):</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total_revenue : count=3000, mean=192570, std=196341, min=300, max=1530000</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customer_rating: count=2875, mean=4.02, std=0.47, min=2.5, max=5.0</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8"/>
              <w:left w:val="single" w:color="1A5276" w:sz="8"/>
              <w:bottom w:val="single" w:color="BDC3C7" w:sz="1"/>
              <w:right w:val="single" w:color="BDC3C7" w:sz="1"/>
            </w:tcBorders>
            <w:shd w:fill="D6E8F7" w:val="clear"/>
            <w:tcMar>
              <w:top w:type="dxa" w:w="100"/>
              <w:left w:type="dxa" w:w="180"/>
              <w:bottom w:type="dxa" w:w="100"/>
              <w:right w:type="dxa" w:w="180"/>
            </w:tcMar>
          </w:tcPr>
          <w:p>
            <w:pPr>
              <w:spacing w:after="60" w:before="0"/>
            </w:pPr>
            <w:r>
              <w:rPr>
                <w:rFonts w:ascii="Arial" w:cs="Arial" w:eastAsia="Arial" w:hAnsi="Arial"/>
                <w:b/>
                <w:bCs/>
                <w:color w:val="1A5276"/>
                <w:sz w:val="20"/>
                <w:szCs w:val="20"/>
              </w:rPr>
              <w:t xml:space="preserve">Output Interpretation</w:t>
            </w:r>
          </w:p>
          <w:p>
            <w:pPr>
              <w:spacing w:after="0" w:before="0"/>
            </w:pPr>
            <w:r>
              <w:rPr>
                <w:rFonts w:ascii="Arial" w:cs="Arial" w:eastAsia="Arial" w:hAnsi="Arial"/>
                <w:color w:val="2C3E50"/>
                <w:sz w:val="20"/>
                <w:szCs w:val="20"/>
              </w:rPr>
              <w:t xml:space="preserve">3,000 rows and 28 columns loaded. Memory is minimal for this training dataset. The dtypes output immediately reveals order_date as 'object' (string) — a conversion needed in Section 2. The describe() output shows customer_rating has count=2875 (not 3000) — confirming missing values we will handle in Section 1. The total_revenue range (₦300 to ₦1.53M) reflects the dataset's product diversity: ₦300 is a pack of noodles; ₦1.53M is a premium laptop order.</w:t>
            </w:r>
          </w:p>
        </w:tc>
      </w:tr>
    </w:tbl>
    <w:p>
      <w:pPr>
        <w:spacing w:after="0" w:before="200"/>
      </w:pPr>
      <w:r>
        <w:t xml:space="preserve"/>
      </w:r>
    </w:p>
    <w:p>
      <w:pPr>
        <w:pStyle w:val="Heading2"/>
        <w:spacing w:after="100" w:before="280"/>
      </w:pPr>
      <w:r>
        <w:rPr>
          <w:rFonts w:ascii="Arial" w:cs="Arial" w:eastAsia="Arial" w:hAnsi="Arial"/>
          <w:b/>
          <w:bCs/>
          <w:color w:val="1A5276"/>
          <w:sz w:val="26"/>
          <w:szCs w:val="26"/>
        </w:rPr>
        <w:t xml:space="preserve">Section 1 — Handling Missing Values</w:t>
      </w:r>
    </w:p>
    <w:p>
      <w:pPr>
        <w:spacing w:after="80" w:before="200"/>
      </w:pPr>
      <w:r>
        <w:rPr>
          <w:rFonts w:ascii="Arial" w:cs="Arial" w:eastAsia="Arial" w:hAnsi="Arial"/>
          <w:b/>
          <w:bCs/>
          <w:color w:val="2980B9"/>
          <w:sz w:val="23"/>
          <w:szCs w:val="23"/>
        </w:rPr>
        <w:t xml:space="preserve">Count, Visualise, and Treat Missing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 Count missing values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missing = df.isnull().sum()</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missing_cols = missing[missing &gt; 0]</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 Visualise: bar chart + heatmap</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sns.heatmap(df[missing_cols.index].isnull().head(200).T,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            cmap=['#2ECC71','#E74C3C'], cbar=False)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 Treat missing values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df_clean = df.copy()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df_clean['discount_percent'] = df_clean['discount_percent'].fillna(0)</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cat_median = df_clean.groupby('category')['shipping_fee'].transform('median')</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df_clean['shipping_fee'] = df_clean['shipping_fee'].fillna(cat_median)</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df_clean['brand']          = df_clean['brand'].fillna('Unknown Brand')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500"/>
        <w:gridCol w:w="2960"/>
      </w:tblGrid>
      <w:tr>
        <w:trPr>
          <w:tblHeader/>
        </w:trPr>
        <w:tc>
          <w:tcPr>
            <w:tcW w:type="dxa" w:w="2900"/>
            <w:tcBorders>
              <w:top w:val="single" w:color="1A5276" w:sz="1"/>
              <w:left w:val="single" w:color="1A5276" w:sz="1"/>
              <w:bottom w:val="single" w:color="1A5276" w:sz="1"/>
              <w:right w:val="single" w:color="1A5276" w:sz="1"/>
            </w:tcBorders>
            <w:shd w:fill="0D2B55"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Code / Line</w:t>
            </w:r>
          </w:p>
        </w:tc>
        <w:tc>
          <w:tcPr>
            <w:tcW w:type="dxa" w:w="3500"/>
            <w:tcBorders>
              <w:top w:val="single" w:color="1A5276" w:sz="1"/>
              <w:left w:val="single" w:color="1A5276" w:sz="1"/>
              <w:bottom w:val="single" w:color="1A5276" w:sz="1"/>
              <w:right w:val="single" w:color="1A5276" w:sz="1"/>
            </w:tcBorders>
            <w:shd w:fill="0D2B55"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What It Does &amp; Means</w:t>
            </w:r>
          </w:p>
        </w:tc>
        <w:tc>
          <w:tcPr>
            <w:tcW w:type="dxa" w:w="2960"/>
            <w:tcBorders>
              <w:top w:val="single" w:color="1A5276" w:sz="1"/>
              <w:left w:val="single" w:color="1A5276" w:sz="1"/>
              <w:bottom w:val="single" w:color="1A5276" w:sz="1"/>
              <w:right w:val="single" w:color="1A5276" w:sz="1"/>
            </w:tcBorders>
            <w:shd w:fill="0D2B55"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Why Written This Way &amp; What Problem It Solves</w:t>
            </w:r>
          </w:p>
        </w:tc>
      </w:tr>
      <w:tr>
        <w:tc>
          <w:tcPr>
            <w:tcW w:type="dxa" w:w="2900"/>
            <w:tcBorders>
              <w:top w:val="single" w:color="BDC3C7" w:sz="1"/>
              <w:left w:val="single" w:color="BDC3C7" w:sz="1"/>
              <w:bottom w:val="single" w:color="BDC3C7" w:sz="1"/>
              <w:right w:val="single" w:color="BDC3C7" w:sz="1"/>
            </w:tcBorders>
            <w:shd w:fill="1E1E2E" w:val="clear"/>
            <w:tcMar>
              <w:top w:type="dxa" w:w="70"/>
              <w:left w:type="dxa" w:w="100"/>
              <w:bottom w:type="dxa" w:w="70"/>
              <w:right w:type="dxa" w:w="100"/>
            </w:tcMar>
          </w:tcPr>
          <w:p>
            <w:r>
              <w:rPr>
                <w:rFonts w:ascii="Courier New" w:cs="Courier New" w:eastAsia="Courier New" w:hAnsi="Courier New"/>
                <w:color w:val="CDD6F4"/>
                <w:sz w:val="17"/>
                <w:szCs w:val="17"/>
              </w:rPr>
              <w:t xml:space="preserve">df.isnull().sum()</w:t>
            </w:r>
          </w:p>
        </w:tc>
        <w:tc>
          <w:tcPr>
            <w:tcW w:type="dxa" w:w="35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isnull() returns a DataFrame of True/False values — True where a cell is NaN (missing). .sum() on a boolean Series counts True values (True=1) per column. The result is a Series mapping each column to its missing value count.</w:t>
            </w:r>
          </w:p>
        </w:tc>
        <w:tc>
          <w:tcPr>
            <w:tcW w:type="dxa" w:w="29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This single line gives a complete missing value audit in one shot. More efficient than checking column by column.</w:t>
            </w:r>
          </w:p>
        </w:tc>
      </w:tr>
      <w:tr>
        <w:tc>
          <w:tcPr>
            <w:tcW w:type="dxa" w:w="2900"/>
            <w:tcBorders>
              <w:top w:val="single" w:color="BDC3C7" w:sz="1"/>
              <w:left w:val="single" w:color="BDC3C7" w:sz="1"/>
              <w:bottom w:val="single" w:color="BDC3C7" w:sz="1"/>
              <w:right w:val="single" w:color="BDC3C7" w:sz="1"/>
            </w:tcBorders>
            <w:shd w:fill="151525" w:val="clear"/>
            <w:tcMar>
              <w:top w:type="dxa" w:w="70"/>
              <w:left w:type="dxa" w:w="100"/>
              <w:bottom w:type="dxa" w:w="70"/>
              <w:right w:type="dxa" w:w="100"/>
            </w:tcMar>
          </w:tcPr>
          <w:p>
            <w:r>
              <w:rPr>
                <w:rFonts w:ascii="Courier New" w:cs="Courier New" w:eastAsia="Courier New" w:hAnsi="Courier New"/>
                <w:color w:val="CDD6F4"/>
                <w:sz w:val="17"/>
                <w:szCs w:val="17"/>
              </w:rPr>
              <w:t xml:space="preserve">missing[missing &gt; 0]</w:t>
            </w:r>
          </w:p>
        </w:tc>
        <w:tc>
          <w:tcPr>
            <w:tcW w:type="dxa" w:w="3500"/>
            <w:tcBorders>
              <w:top w:val="single" w:color="BDC3C7" w:sz="1"/>
              <w:left w:val="single" w:color="BDC3C7" w:sz="1"/>
              <w:bottom w:val="single" w:color="BDC3C7" w:sz="1"/>
              <w:right w:val="single" w:color="BDC3C7" w:sz="1"/>
            </w:tcBorders>
            <w:shd w:fill="F4F6F8" w:val="clear"/>
            <w:tcMar>
              <w:top w:type="dxa" w:w="70"/>
              <w:left w:type="dxa" w:w="100"/>
              <w:bottom w:type="dxa" w:w="70"/>
              <w:right w:type="dxa" w:w="100"/>
            </w:tcMar>
          </w:tcPr>
          <w:p>
            <w:r>
              <w:rPr>
                <w:rFonts w:ascii="Arial" w:cs="Arial" w:eastAsia="Arial" w:hAnsi="Arial"/>
                <w:color w:val="2C3E50"/>
                <w:sz w:val="18"/>
                <w:szCs w:val="18"/>
              </w:rPr>
              <w:t xml:space="preserve">Filters the missing Series to keep only columns with at least one missing value. The boolean condition missing &gt; 0 returns True for columns with missing values; only those are retained.</w:t>
            </w:r>
          </w:p>
        </w:tc>
        <w:tc>
          <w:tcPr>
            <w:tcW w:type="dxa" w:w="2960"/>
            <w:tcBorders>
              <w:top w:val="single" w:color="BDC3C7" w:sz="1"/>
              <w:left w:val="single" w:color="BDC3C7" w:sz="1"/>
              <w:bottom w:val="single" w:color="BDC3C7" w:sz="1"/>
              <w:right w:val="single" w:color="BDC3C7" w:sz="1"/>
            </w:tcBorders>
            <w:shd w:fill="F4F6F8" w:val="clear"/>
            <w:tcMar>
              <w:top w:type="dxa" w:w="70"/>
              <w:left w:type="dxa" w:w="100"/>
              <w:bottom w:type="dxa" w:w="70"/>
              <w:right w:type="dxa" w:w="100"/>
            </w:tcMar>
          </w:tcPr>
          <w:p>
            <w:r>
              <w:rPr>
                <w:rFonts w:ascii="Arial" w:cs="Arial" w:eastAsia="Arial" w:hAnsi="Arial"/>
                <w:color w:val="2C3E50"/>
                <w:sz w:val="18"/>
                <w:szCs w:val="18"/>
              </w:rPr>
              <w:t xml:space="preserve">In a 28-column dataset, many columns will have 0 missing values. Showing only the problematic columns makes the output concise and actionable.</w:t>
            </w:r>
          </w:p>
        </w:tc>
      </w:tr>
      <w:tr>
        <w:tc>
          <w:tcPr>
            <w:tcW w:type="dxa" w:w="2900"/>
            <w:tcBorders>
              <w:top w:val="single" w:color="BDC3C7" w:sz="1"/>
              <w:left w:val="single" w:color="BDC3C7" w:sz="1"/>
              <w:bottom w:val="single" w:color="BDC3C7" w:sz="1"/>
              <w:right w:val="single" w:color="BDC3C7" w:sz="1"/>
            </w:tcBorders>
            <w:shd w:fill="1E1E2E" w:val="clear"/>
            <w:tcMar>
              <w:top w:type="dxa" w:w="70"/>
              <w:left w:type="dxa" w:w="100"/>
              <w:bottom w:type="dxa" w:w="70"/>
              <w:right w:type="dxa" w:w="100"/>
            </w:tcMar>
          </w:tcPr>
          <w:p>
            <w:r>
              <w:rPr>
                <w:rFonts w:ascii="Courier New" w:cs="Courier New" w:eastAsia="Courier New" w:hAnsi="Courier New"/>
                <w:color w:val="CDD6F4"/>
                <w:sz w:val="17"/>
                <w:szCs w:val="17"/>
              </w:rPr>
              <w:t xml:space="preserve">sns.heatmap(df[missing_cols.index].isnull().head(200).T, cmap=['#2ECC71','#E74C3C'])</w:t>
            </w:r>
          </w:p>
        </w:tc>
        <w:tc>
          <w:tcPr>
            <w:tcW w:type="dxa" w:w="35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Creates a colour-coded heatmap. isnull() converts cells to True/False. .head(200) takes first 200 rows. .T transposes (rows become columns). cmap=['green','red'] maps False→green (present) and True→red (missing). cbar=False removes the colour scale legend.</w:t>
            </w:r>
          </w:p>
        </w:tc>
        <w:tc>
          <w:tcPr>
            <w:tcW w:type="dxa" w:w="29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The heatmap immediately reveals the PATTERN of missingness. A random scatter of red cells = Missing At Random (acceptable). A block of red cells in a specific row range = systematic recording failure (serious problem requiring investigation).</w:t>
            </w:r>
          </w:p>
        </w:tc>
      </w:tr>
      <w:tr>
        <w:tc>
          <w:tcPr>
            <w:tcW w:type="dxa" w:w="2900"/>
            <w:tcBorders>
              <w:top w:val="single" w:color="BDC3C7" w:sz="1"/>
              <w:left w:val="single" w:color="BDC3C7" w:sz="1"/>
              <w:bottom w:val="single" w:color="BDC3C7" w:sz="1"/>
              <w:right w:val="single" w:color="BDC3C7" w:sz="1"/>
            </w:tcBorders>
            <w:shd w:fill="151525" w:val="clear"/>
            <w:tcMar>
              <w:top w:type="dxa" w:w="70"/>
              <w:left w:type="dxa" w:w="100"/>
              <w:bottom w:type="dxa" w:w="70"/>
              <w:right w:type="dxa" w:w="100"/>
            </w:tcMar>
          </w:tcPr>
          <w:p>
            <w:r>
              <w:rPr>
                <w:rFonts w:ascii="Courier New" w:cs="Courier New" w:eastAsia="Courier New" w:hAnsi="Courier New"/>
                <w:color w:val="CDD6F4"/>
                <w:sz w:val="17"/>
                <w:szCs w:val="17"/>
              </w:rPr>
              <w:t xml:space="preserve">df_clean = df.copy()</w:t>
            </w:r>
          </w:p>
        </w:tc>
        <w:tc>
          <w:tcPr>
            <w:tcW w:type="dxa" w:w="3500"/>
            <w:tcBorders>
              <w:top w:val="single" w:color="BDC3C7" w:sz="1"/>
              <w:left w:val="single" w:color="BDC3C7" w:sz="1"/>
              <w:bottom w:val="single" w:color="BDC3C7" w:sz="1"/>
              <w:right w:val="single" w:color="BDC3C7" w:sz="1"/>
            </w:tcBorders>
            <w:shd w:fill="F4F6F8" w:val="clear"/>
            <w:tcMar>
              <w:top w:type="dxa" w:w="70"/>
              <w:left w:type="dxa" w:w="100"/>
              <w:bottom w:type="dxa" w:w="70"/>
              <w:right w:type="dxa" w:w="100"/>
            </w:tcMar>
          </w:tcPr>
          <w:p>
            <w:r>
              <w:rPr>
                <w:rFonts w:ascii="Arial" w:cs="Arial" w:eastAsia="Arial" w:hAnsi="Arial"/>
                <w:color w:val="2C3E50"/>
                <w:sz w:val="18"/>
                <w:szCs w:val="18"/>
              </w:rPr>
              <w:t xml:space="preserve">Creates a complete independent copy of the original DataFrame. All transformations are applied to df_clean, leaving df unchanged.</w:t>
            </w:r>
          </w:p>
        </w:tc>
        <w:tc>
          <w:tcPr>
            <w:tcW w:type="dxa" w:w="2960"/>
            <w:tcBorders>
              <w:top w:val="single" w:color="BDC3C7" w:sz="1"/>
              <w:left w:val="single" w:color="BDC3C7" w:sz="1"/>
              <w:bottom w:val="single" w:color="BDC3C7" w:sz="1"/>
              <w:right w:val="single" w:color="BDC3C7" w:sz="1"/>
            </w:tcBorders>
            <w:shd w:fill="F4F6F8" w:val="clear"/>
            <w:tcMar>
              <w:top w:type="dxa" w:w="70"/>
              <w:left w:type="dxa" w:w="100"/>
              <w:bottom w:type="dxa" w:w="70"/>
              <w:right w:type="dxa" w:w="100"/>
            </w:tcMar>
          </w:tcPr>
          <w:p>
            <w:r>
              <w:rPr>
                <w:rFonts w:ascii="Arial" w:cs="Arial" w:eastAsia="Arial" w:hAnsi="Arial"/>
                <w:color w:val="2C3E50"/>
                <w:sz w:val="18"/>
                <w:szCs w:val="18"/>
              </w:rPr>
              <w:t xml:space="preserve">If we modified df directly and made an error, we would have to reload the CSV to start fresh. With df.copy(), we can always restart Section 1 with the original clean df still available.</w:t>
            </w:r>
          </w:p>
        </w:tc>
      </w:tr>
      <w:tr>
        <w:tc>
          <w:tcPr>
            <w:tcW w:type="dxa" w:w="2900"/>
            <w:tcBorders>
              <w:top w:val="single" w:color="BDC3C7" w:sz="1"/>
              <w:left w:val="single" w:color="BDC3C7" w:sz="1"/>
              <w:bottom w:val="single" w:color="BDC3C7" w:sz="1"/>
              <w:right w:val="single" w:color="BDC3C7" w:sz="1"/>
            </w:tcBorders>
            <w:shd w:fill="1E1E2E" w:val="clear"/>
            <w:tcMar>
              <w:top w:type="dxa" w:w="70"/>
              <w:left w:type="dxa" w:w="100"/>
              <w:bottom w:type="dxa" w:w="70"/>
              <w:right w:type="dxa" w:w="100"/>
            </w:tcMar>
          </w:tcPr>
          <w:p>
            <w:r>
              <w:rPr>
                <w:rFonts w:ascii="Courier New" w:cs="Courier New" w:eastAsia="Courier New" w:hAnsi="Courier New"/>
                <w:color w:val="CDD6F4"/>
                <w:sz w:val="17"/>
                <w:szCs w:val="17"/>
              </w:rPr>
              <w:t xml:space="preserve">df_clean['discount_percent'].fillna(0)</w:t>
            </w:r>
          </w:p>
        </w:tc>
        <w:tc>
          <w:tcPr>
            <w:tcW w:type="dxa" w:w="35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fillna(0) replaces every NaN in discount_percent with the integer 0. The result is assigned back to the column, overwriting the NaNs.</w:t>
            </w:r>
          </w:p>
        </w:tc>
        <w:tc>
          <w:tcPr>
            <w:tcW w:type="dxa" w:w="29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Missing discount is not 'unknown' — it means NO discount was applied. 0 is the factually correct value. This is the only missing value treatment that requires no statistical estimation.</w:t>
            </w:r>
          </w:p>
        </w:tc>
      </w:tr>
      <w:tr>
        <w:tc>
          <w:tcPr>
            <w:tcW w:type="dxa" w:w="2900"/>
            <w:tcBorders>
              <w:top w:val="single" w:color="BDC3C7" w:sz="1"/>
              <w:left w:val="single" w:color="BDC3C7" w:sz="1"/>
              <w:bottom w:val="single" w:color="BDC3C7" w:sz="1"/>
              <w:right w:val="single" w:color="BDC3C7" w:sz="1"/>
            </w:tcBorders>
            <w:shd w:fill="151525" w:val="clear"/>
            <w:tcMar>
              <w:top w:type="dxa" w:w="70"/>
              <w:left w:type="dxa" w:w="100"/>
              <w:bottom w:type="dxa" w:w="70"/>
              <w:right w:type="dxa" w:w="100"/>
            </w:tcMar>
          </w:tcPr>
          <w:p>
            <w:r>
              <w:rPr>
                <w:rFonts w:ascii="Courier New" w:cs="Courier New" w:eastAsia="Courier New" w:hAnsi="Courier New"/>
                <w:color w:val="CDD6F4"/>
                <w:sz w:val="17"/>
                <w:szCs w:val="17"/>
              </w:rPr>
              <w:t xml:space="preserve">df_clean.groupby('category')['shipping_fee'].transform('median')</w:t>
            </w:r>
          </w:p>
        </w:tc>
        <w:tc>
          <w:tcPr>
            <w:tcW w:type="dxa" w:w="3500"/>
            <w:tcBorders>
              <w:top w:val="single" w:color="BDC3C7" w:sz="1"/>
              <w:left w:val="single" w:color="BDC3C7" w:sz="1"/>
              <w:bottom w:val="single" w:color="BDC3C7" w:sz="1"/>
              <w:right w:val="single" w:color="BDC3C7" w:sz="1"/>
            </w:tcBorders>
            <w:shd w:fill="F4F6F8" w:val="clear"/>
            <w:tcMar>
              <w:top w:type="dxa" w:w="70"/>
              <w:left w:type="dxa" w:w="100"/>
              <w:bottom w:type="dxa" w:w="70"/>
              <w:right w:type="dxa" w:w="100"/>
            </w:tcMar>
          </w:tcPr>
          <w:p>
            <w:r>
              <w:rPr>
                <w:rFonts w:ascii="Arial" w:cs="Arial" w:eastAsia="Arial" w:hAnsi="Arial"/>
                <w:color w:val="2C3E50"/>
                <w:sz w:val="18"/>
                <w:szCs w:val="18"/>
              </w:rPr>
              <w:t xml:space="preserve">groupby('category') splits the DataFrame by category. ['shipping_fee'] accesses that column within each group. transform('median') computes the median shipping fee for each category and returns a Series of the SAME LENGTH as the original DataFrame, with each row receiving its group's median. fillna() then fills only the NaN positions.</w:t>
            </w:r>
          </w:p>
        </w:tc>
        <w:tc>
          <w:tcPr>
            <w:tcW w:type="dxa" w:w="2960"/>
            <w:tcBorders>
              <w:top w:val="single" w:color="BDC3C7" w:sz="1"/>
              <w:left w:val="single" w:color="BDC3C7" w:sz="1"/>
              <w:bottom w:val="single" w:color="BDC3C7" w:sz="1"/>
              <w:right w:val="single" w:color="BDC3C7" w:sz="1"/>
            </w:tcBorders>
            <w:shd w:fill="F4F6F8" w:val="clear"/>
            <w:tcMar>
              <w:top w:type="dxa" w:w="70"/>
              <w:left w:type="dxa" w:w="100"/>
              <w:bottom w:type="dxa" w:w="70"/>
              <w:right w:type="dxa" w:w="100"/>
            </w:tcMar>
          </w:tcPr>
          <w:p>
            <w:r>
              <w:rPr>
                <w:rFonts w:ascii="Arial" w:cs="Arial" w:eastAsia="Arial" w:hAnsi="Arial"/>
                <w:color w:val="2C3E50"/>
                <w:sz w:val="18"/>
                <w:szCs w:val="18"/>
              </w:rPr>
              <w:t xml:space="preserve">transform is the key function here — unlike agg() which reduces to one value per group, transform returns a full-length Series aligned with the original index. This allows us to fill each missing shipping_fee with its category-appropriate median in a single operation.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MISSING VALUES REPORT:</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Column                   Missing    % of Rows  Visual</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customer_rating            121       4.0%  ░░░░░░░░░░░░</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shipping_fee                89       3.0%  ░░░░░░░░░</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brand                       65       2.2%  ░░░░░░░</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discount_percent            50       1.7%  ░░░░░</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TOTAL MISSING             325       0.39% of all cells</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Complete rows (no missing): 2,689 of 3,000</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discount_percent : missing → 0 (no discount applied)</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shipping_fee     : missing → category-specific median</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brand            : missing → 'Unknown Brand'</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customer_rating  : missing → category median</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Missing values remaining: 0</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Dataset is now complete.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8"/>
              <w:left w:val="single" w:color="1A5276" w:sz="8"/>
              <w:bottom w:val="single" w:color="BDC3C7" w:sz="1"/>
              <w:right w:val="single" w:color="BDC3C7" w:sz="1"/>
            </w:tcBorders>
            <w:shd w:fill="D6E8F7" w:val="clear"/>
            <w:tcMar>
              <w:top w:type="dxa" w:w="100"/>
              <w:left w:type="dxa" w:w="180"/>
              <w:bottom w:type="dxa" w:w="100"/>
              <w:right w:type="dxa" w:w="180"/>
            </w:tcMar>
          </w:tcPr>
          <w:p>
            <w:pPr>
              <w:spacing w:after="60" w:before="0"/>
            </w:pPr>
            <w:r>
              <w:rPr>
                <w:rFonts w:ascii="Arial" w:cs="Arial" w:eastAsia="Arial" w:hAnsi="Arial"/>
                <w:b/>
                <w:bCs/>
                <w:color w:val="1A5276"/>
                <w:sz w:val="20"/>
                <w:szCs w:val="20"/>
              </w:rPr>
              <w:t xml:space="preserve">Output Interpretation</w:t>
            </w:r>
          </w:p>
          <w:p>
            <w:pPr>
              <w:spacing w:after="0" w:before="0"/>
            </w:pPr>
            <w:r>
              <w:rPr>
                <w:rFonts w:ascii="Arial" w:cs="Arial" w:eastAsia="Arial" w:hAnsi="Arial"/>
                <w:color w:val="2C3E50"/>
                <w:sz w:val="20"/>
                <w:szCs w:val="20"/>
              </w:rPr>
              <w:t xml:space="preserve">Four columns have missing values, all below 5% — a healthy dataset. The visual bar using '░' characters gives an instant proportional sense without needing a chart. The specific percentages matter: 4% missing ratings is normal (customers don't always review); 2.2% missing brand is acceptable; 0% missing revenue and profit confirms the core financial data is complete. The final '0 remaining' confirms all four treatments worked correctly.</w:t>
            </w:r>
          </w:p>
        </w:tc>
      </w:tr>
    </w:tbl>
    <w:p>
      <w:pPr>
        <w:spacing w:after="0" w:before="100"/>
      </w:pPr>
      <w:r>
        <w:t xml:space="preserve"/>
      </w:r>
    </w:p>
    <w:p>
      <w:pPr>
        <w:pStyle w:val="Heading2"/>
        <w:spacing w:after="100" w:before="280"/>
      </w:pPr>
      <w:r>
        <w:rPr>
          <w:rFonts w:ascii="Arial" w:cs="Arial" w:eastAsia="Arial" w:hAnsi="Arial"/>
          <w:b/>
          <w:bCs/>
          <w:color w:val="1A5276"/>
          <w:sz w:val="26"/>
          <w:szCs w:val="26"/>
        </w:rPr>
        <w:t xml:space="preserve">Section 2 — Data Cleaning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500"/>
        <w:gridCol w:w="2960"/>
      </w:tblGrid>
      <w:tr>
        <w:trPr>
          <w:tblHeader/>
        </w:trPr>
        <w:tc>
          <w:tcPr>
            <w:tcW w:type="dxa" w:w="2900"/>
            <w:tcBorders>
              <w:top w:val="single" w:color="1A5276" w:sz="1"/>
              <w:left w:val="single" w:color="1A5276" w:sz="1"/>
              <w:bottom w:val="single" w:color="1A5276" w:sz="1"/>
              <w:right w:val="single" w:color="1A5276" w:sz="1"/>
            </w:tcBorders>
            <w:shd w:fill="0D2B55"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Code / Line</w:t>
            </w:r>
          </w:p>
        </w:tc>
        <w:tc>
          <w:tcPr>
            <w:tcW w:type="dxa" w:w="3500"/>
            <w:tcBorders>
              <w:top w:val="single" w:color="1A5276" w:sz="1"/>
              <w:left w:val="single" w:color="1A5276" w:sz="1"/>
              <w:bottom w:val="single" w:color="1A5276" w:sz="1"/>
              <w:right w:val="single" w:color="1A5276" w:sz="1"/>
            </w:tcBorders>
            <w:shd w:fill="0D2B55"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What It Does &amp; Means</w:t>
            </w:r>
          </w:p>
        </w:tc>
        <w:tc>
          <w:tcPr>
            <w:tcW w:type="dxa" w:w="2960"/>
            <w:tcBorders>
              <w:top w:val="single" w:color="1A5276" w:sz="1"/>
              <w:left w:val="single" w:color="1A5276" w:sz="1"/>
              <w:bottom w:val="single" w:color="1A5276" w:sz="1"/>
              <w:right w:val="single" w:color="1A5276" w:sz="1"/>
            </w:tcBorders>
            <w:shd w:fill="0D2B55"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Why Written This Way &amp; What Problem It Solves</w:t>
            </w:r>
          </w:p>
        </w:tc>
      </w:tr>
      <w:tr>
        <w:tc>
          <w:tcPr>
            <w:tcW w:type="dxa" w:w="2900"/>
            <w:tcBorders>
              <w:top w:val="single" w:color="BDC3C7" w:sz="1"/>
              <w:left w:val="single" w:color="BDC3C7" w:sz="1"/>
              <w:bottom w:val="single" w:color="BDC3C7" w:sz="1"/>
              <w:right w:val="single" w:color="BDC3C7" w:sz="1"/>
            </w:tcBorders>
            <w:shd w:fill="1E1E2E" w:val="clear"/>
            <w:tcMar>
              <w:top w:type="dxa" w:w="70"/>
              <w:left w:type="dxa" w:w="100"/>
              <w:bottom w:type="dxa" w:w="70"/>
              <w:right w:type="dxa" w:w="100"/>
            </w:tcMar>
          </w:tcPr>
          <w:p>
            <w:r>
              <w:rPr>
                <w:rFonts w:ascii="Courier New" w:cs="Courier New" w:eastAsia="Courier New" w:hAnsi="Courier New"/>
                <w:color w:val="CDD6F4"/>
                <w:sz w:val="17"/>
                <w:szCs w:val="17"/>
              </w:rPr>
              <w:t xml:space="preserve">pd.to_datetime(df_clean['order_date'])</w:t>
            </w:r>
          </w:p>
        </w:tc>
        <w:tc>
          <w:tcPr>
            <w:tcW w:type="dxa" w:w="35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Converts the string column '2023-01-15' into a pandas Timestamp object: Timestamp('2023-01-15 00:00:00'). The Timestamp type supports all date arithmetic and the .dt accessor.</w:t>
            </w:r>
          </w:p>
        </w:tc>
        <w:tc>
          <w:tcPr>
            <w:tcW w:type="dxa" w:w="29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String comparison of dates is alphabetical ('2023-11' &gt; '2023-02' works, but '2023-11-01' vs '2023-2-15' would fail). Timestamp comparison is chronological and correct. The .dt accessor only works after this conversion.</w:t>
            </w:r>
          </w:p>
        </w:tc>
      </w:tr>
      <w:tr>
        <w:tc>
          <w:tcPr>
            <w:tcW w:type="dxa" w:w="2900"/>
            <w:tcBorders>
              <w:top w:val="single" w:color="BDC3C7" w:sz="1"/>
              <w:left w:val="single" w:color="BDC3C7" w:sz="1"/>
              <w:bottom w:val="single" w:color="BDC3C7" w:sz="1"/>
              <w:right w:val="single" w:color="BDC3C7" w:sz="1"/>
            </w:tcBorders>
            <w:shd w:fill="151525" w:val="clear"/>
            <w:tcMar>
              <w:top w:type="dxa" w:w="70"/>
              <w:left w:type="dxa" w:w="100"/>
              <w:bottom w:type="dxa" w:w="70"/>
              <w:right w:type="dxa" w:w="100"/>
            </w:tcMar>
          </w:tcPr>
          <w:p>
            <w:r>
              <w:rPr>
                <w:rFonts w:ascii="Courier New" w:cs="Courier New" w:eastAsia="Courier New" w:hAnsi="Courier New"/>
                <w:color w:val="CDD6F4"/>
                <w:sz w:val="17"/>
                <w:szCs w:val="17"/>
              </w:rPr>
              <w:t xml:space="preserve">df_clean['order_date'].dt.month</w:t>
            </w:r>
          </w:p>
        </w:tc>
        <w:tc>
          <w:tcPr>
            <w:tcW w:type="dxa" w:w="3500"/>
            <w:tcBorders>
              <w:top w:val="single" w:color="BDC3C7" w:sz="1"/>
              <w:left w:val="single" w:color="BDC3C7" w:sz="1"/>
              <w:bottom w:val="single" w:color="BDC3C7" w:sz="1"/>
              <w:right w:val="single" w:color="BDC3C7" w:sz="1"/>
            </w:tcBorders>
            <w:shd w:fill="F4F6F8" w:val="clear"/>
            <w:tcMar>
              <w:top w:type="dxa" w:w="70"/>
              <w:left w:type="dxa" w:w="100"/>
              <w:bottom w:type="dxa" w:w="70"/>
              <w:right w:type="dxa" w:w="100"/>
            </w:tcMar>
          </w:tcPr>
          <w:p>
            <w:r>
              <w:rPr>
                <w:rFonts w:ascii="Arial" w:cs="Arial" w:eastAsia="Arial" w:hAnsi="Arial"/>
                <w:color w:val="2C3E50"/>
                <w:sz w:val="18"/>
                <w:szCs w:val="18"/>
              </w:rPr>
              <w:t xml:space="preserve">The .dt accessor provides date/time component extraction. .dt.month returns the month as an integer (1=January, 12=December) for every row simultaneously.</w:t>
            </w:r>
          </w:p>
        </w:tc>
        <w:tc>
          <w:tcPr>
            <w:tcW w:type="dxa" w:w="2960"/>
            <w:tcBorders>
              <w:top w:val="single" w:color="BDC3C7" w:sz="1"/>
              <w:left w:val="single" w:color="BDC3C7" w:sz="1"/>
              <w:bottom w:val="single" w:color="BDC3C7" w:sz="1"/>
              <w:right w:val="single" w:color="BDC3C7" w:sz="1"/>
            </w:tcBorders>
            <w:shd w:fill="F4F6F8" w:val="clear"/>
            <w:tcMar>
              <w:top w:type="dxa" w:w="70"/>
              <w:left w:type="dxa" w:w="100"/>
              <w:bottom w:type="dxa" w:w="70"/>
              <w:right w:type="dxa" w:w="100"/>
            </w:tcMar>
          </w:tcPr>
          <w:p>
            <w:r>
              <w:rPr>
                <w:rFonts w:ascii="Arial" w:cs="Arial" w:eastAsia="Arial" w:hAnsi="Arial"/>
                <w:color w:val="2C3E50"/>
                <w:sz w:val="18"/>
                <w:szCs w:val="18"/>
              </w:rPr>
              <w:t xml:space="preserve">Month numbers are required for groupby('month_num') operations that produce chronologically ordered output. String month names ('January', 'February') sort alphabetically, which would show April before August — wrong for a time series.</w:t>
            </w:r>
          </w:p>
        </w:tc>
      </w:tr>
      <w:tr>
        <w:tc>
          <w:tcPr>
            <w:tcW w:type="dxa" w:w="2900"/>
            <w:tcBorders>
              <w:top w:val="single" w:color="BDC3C7" w:sz="1"/>
              <w:left w:val="single" w:color="BDC3C7" w:sz="1"/>
              <w:bottom w:val="single" w:color="BDC3C7" w:sz="1"/>
              <w:right w:val="single" w:color="BDC3C7" w:sz="1"/>
            </w:tcBorders>
            <w:shd w:fill="1E1E2E" w:val="clear"/>
            <w:tcMar>
              <w:top w:type="dxa" w:w="70"/>
              <w:left w:type="dxa" w:w="100"/>
              <w:bottom w:type="dxa" w:w="70"/>
              <w:right w:type="dxa" w:w="100"/>
            </w:tcMar>
          </w:tcPr>
          <w:p>
            <w:r>
              <w:rPr>
                <w:rFonts w:ascii="Courier New" w:cs="Courier New" w:eastAsia="Courier New" w:hAnsi="Courier New"/>
                <w:color w:val="CDD6F4"/>
                <w:sz w:val="17"/>
                <w:szCs w:val="17"/>
              </w:rPr>
              <w:t xml:space="preserve">df_clean['order_date'].dt.isocalendar().week</w:t>
            </w:r>
          </w:p>
        </w:tc>
        <w:tc>
          <w:tcPr>
            <w:tcW w:type="dxa" w:w="35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Returns the ISO week number (1–52) for each date. ISO weeks start on Monday and are the international standard for week numbering.</w:t>
            </w:r>
          </w:p>
        </w:tc>
        <w:tc>
          <w:tcPr>
            <w:tcW w:type="dxa" w:w="29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Weekly granularity is between monthly (too coarse for operational analysis) and daily (too noisy). Week numbers allow trend analysis at a level that reveals patterns invisible at monthly aggregation.</w:t>
            </w:r>
          </w:p>
        </w:tc>
      </w:tr>
      <w:tr>
        <w:tc>
          <w:tcPr>
            <w:tcW w:type="dxa" w:w="2900"/>
            <w:tcBorders>
              <w:top w:val="single" w:color="BDC3C7" w:sz="1"/>
              <w:left w:val="single" w:color="BDC3C7" w:sz="1"/>
              <w:bottom w:val="single" w:color="BDC3C7" w:sz="1"/>
              <w:right w:val="single" w:color="BDC3C7" w:sz="1"/>
            </w:tcBorders>
            <w:shd w:fill="151525" w:val="clear"/>
            <w:tcMar>
              <w:top w:type="dxa" w:w="70"/>
              <w:left w:type="dxa" w:w="100"/>
              <w:bottom w:type="dxa" w:w="70"/>
              <w:right w:type="dxa" w:w="100"/>
            </w:tcMar>
          </w:tcPr>
          <w:p>
            <w:r>
              <w:rPr>
                <w:rFonts w:ascii="Courier New" w:cs="Courier New" w:eastAsia="Courier New" w:hAnsi="Courier New"/>
                <w:color w:val="CDD6F4"/>
                <w:sz w:val="17"/>
                <w:szCs w:val="17"/>
              </w:rPr>
              <w:t xml:space="preserve">df_clean['order_date'].dt.dayofweek.isin([5,6]).astype(int)</w:t>
            </w:r>
          </w:p>
        </w:tc>
        <w:tc>
          <w:tcPr>
            <w:tcW w:type="dxa" w:w="3500"/>
            <w:tcBorders>
              <w:top w:val="single" w:color="BDC3C7" w:sz="1"/>
              <w:left w:val="single" w:color="BDC3C7" w:sz="1"/>
              <w:bottom w:val="single" w:color="BDC3C7" w:sz="1"/>
              <w:right w:val="single" w:color="BDC3C7" w:sz="1"/>
            </w:tcBorders>
            <w:shd w:fill="F4F6F8" w:val="clear"/>
            <w:tcMar>
              <w:top w:type="dxa" w:w="70"/>
              <w:left w:type="dxa" w:w="100"/>
              <w:bottom w:type="dxa" w:w="70"/>
              <w:right w:type="dxa" w:w="100"/>
            </w:tcMar>
          </w:tcPr>
          <w:p>
            <w:r>
              <w:rPr>
                <w:rFonts w:ascii="Arial" w:cs="Arial" w:eastAsia="Arial" w:hAnsi="Arial"/>
                <w:color w:val="2C3E50"/>
                <w:sz w:val="18"/>
                <w:szCs w:val="18"/>
              </w:rPr>
              <w:t xml:space="preserve">dt.dayofweek returns 0=Monday through 6=Sunday. isin([5,6]) returns True for Saturday and Sunday. .astype(int) converts True→1, False→0. Creates a binary weekend indicator.</w:t>
            </w:r>
          </w:p>
        </w:tc>
        <w:tc>
          <w:tcPr>
            <w:tcW w:type="dxa" w:w="2960"/>
            <w:tcBorders>
              <w:top w:val="single" w:color="BDC3C7" w:sz="1"/>
              <w:left w:val="single" w:color="BDC3C7" w:sz="1"/>
              <w:bottom w:val="single" w:color="BDC3C7" w:sz="1"/>
              <w:right w:val="single" w:color="BDC3C7" w:sz="1"/>
            </w:tcBorders>
            <w:shd w:fill="F4F6F8" w:val="clear"/>
            <w:tcMar>
              <w:top w:type="dxa" w:w="70"/>
              <w:left w:type="dxa" w:w="100"/>
              <w:bottom w:type="dxa" w:w="70"/>
              <w:right w:type="dxa" w:w="100"/>
            </w:tcMar>
          </w:tcPr>
          <w:p>
            <w:r>
              <w:rPr>
                <w:rFonts w:ascii="Arial" w:cs="Arial" w:eastAsia="Arial" w:hAnsi="Arial"/>
                <w:color w:val="2C3E50"/>
                <w:sz w:val="18"/>
                <w:szCs w:val="18"/>
              </w:rPr>
              <w:t xml:space="preserve">The binary encoding (0/1) allows the is_weekend column to be used in both filters (df[df['is_weekend']==1]) and statistical operations (df_clean['is_weekend'].mean() gives the weekend transaction rate).</w:t>
            </w:r>
          </w:p>
        </w:tc>
      </w:tr>
      <w:tr>
        <w:tc>
          <w:tcPr>
            <w:tcW w:type="dxa" w:w="2900"/>
            <w:tcBorders>
              <w:top w:val="single" w:color="BDC3C7" w:sz="1"/>
              <w:left w:val="single" w:color="BDC3C7" w:sz="1"/>
              <w:bottom w:val="single" w:color="BDC3C7" w:sz="1"/>
              <w:right w:val="single" w:color="BDC3C7" w:sz="1"/>
            </w:tcBorders>
            <w:shd w:fill="1E1E2E" w:val="clear"/>
            <w:tcMar>
              <w:top w:type="dxa" w:w="70"/>
              <w:left w:type="dxa" w:w="100"/>
              <w:bottom w:type="dxa" w:w="70"/>
              <w:right w:type="dxa" w:w="100"/>
            </w:tcMar>
          </w:tcPr>
          <w:p>
            <w:r>
              <w:rPr>
                <w:rFonts w:ascii="Courier New" w:cs="Courier New" w:eastAsia="Courier New" w:hAnsi="Courier New"/>
                <w:color w:val="CDD6F4"/>
                <w:sz w:val="17"/>
                <w:szCs w:val="17"/>
              </w:rPr>
              <w:t xml:space="preserve">pd.cut(df_clean['total_revenue'], bins=bins, labels=labels, right=True)</w:t>
            </w:r>
          </w:p>
        </w:tc>
        <w:tc>
          <w:tcPr>
            <w:tcW w:type="dxa" w:w="35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pd.cut() bins a continuous variable into discrete categories. bins=[0,5000,20000,100000,inf] defines 4 intervals. labels=['Small','Medium','Large','Premium'] names them. right=True makes each bin include the right endpoint: (0,5000] means orders of exactly ₦5000 fall in 'Small', not 'Medium'.</w:t>
            </w:r>
          </w:p>
        </w:tc>
        <w:tc>
          <w:tcPr>
            <w:tcW w:type="dxa" w:w="29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Binning converts a metric that varies from ₦300 to ₦1.5M into 4 manageable categories for groupby analysis, bar charts, and management reporting. It is equivalent to Excel's IF nesting for band classification but in one readable line.</w:t>
            </w:r>
          </w:p>
        </w:tc>
      </w:tr>
      <w:tr>
        <w:tc>
          <w:tcPr>
            <w:tcW w:type="dxa" w:w="2900"/>
            <w:tcBorders>
              <w:top w:val="single" w:color="BDC3C7" w:sz="1"/>
              <w:left w:val="single" w:color="BDC3C7" w:sz="1"/>
              <w:bottom w:val="single" w:color="BDC3C7" w:sz="1"/>
              <w:right w:val="single" w:color="BDC3C7" w:sz="1"/>
            </w:tcBorders>
            <w:shd w:fill="151525" w:val="clear"/>
            <w:tcMar>
              <w:top w:type="dxa" w:w="70"/>
              <w:left w:type="dxa" w:w="100"/>
              <w:bottom w:type="dxa" w:w="70"/>
              <w:right w:type="dxa" w:w="100"/>
            </w:tcMar>
          </w:tcPr>
          <w:p>
            <w:r>
              <w:rPr>
                <w:rFonts w:ascii="Courier New" w:cs="Courier New" w:eastAsia="Courier New" w:hAnsi="Courier New"/>
                <w:color w:val="CDD6F4"/>
                <w:sz w:val="17"/>
                <w:szCs w:val="17"/>
              </w:rPr>
              <w:t xml:space="preserve">df_clean[col].astype(str).str.strip().str.title()</w:t>
            </w:r>
          </w:p>
        </w:tc>
        <w:tc>
          <w:tcPr>
            <w:tcW w:type="dxa" w:w="3500"/>
            <w:tcBorders>
              <w:top w:val="single" w:color="BDC3C7" w:sz="1"/>
              <w:left w:val="single" w:color="BDC3C7" w:sz="1"/>
              <w:bottom w:val="single" w:color="BDC3C7" w:sz="1"/>
              <w:right w:val="single" w:color="BDC3C7" w:sz="1"/>
            </w:tcBorders>
            <w:shd w:fill="F4F6F8" w:val="clear"/>
            <w:tcMar>
              <w:top w:type="dxa" w:w="70"/>
              <w:left w:type="dxa" w:w="100"/>
              <w:bottom w:type="dxa" w:w="70"/>
              <w:right w:type="dxa" w:w="100"/>
            </w:tcMar>
          </w:tcPr>
          <w:p>
            <w:r>
              <w:rPr>
                <w:rFonts w:ascii="Arial" w:cs="Arial" w:eastAsia="Arial" w:hAnsi="Arial"/>
                <w:color w:val="2C3E50"/>
                <w:sz w:val="18"/>
                <w:szCs w:val="18"/>
              </w:rPr>
              <w:t xml:space="preserve">astype(str) ensures the column is string type. .str.strip() removes whitespace from both ends of every value. .str.title() capitalises the first letter of each word. All three methods are chained — applied in sequence.</w:t>
            </w:r>
          </w:p>
        </w:tc>
        <w:tc>
          <w:tcPr>
            <w:tcW w:type="dxa" w:w="2960"/>
            <w:tcBorders>
              <w:top w:val="single" w:color="BDC3C7" w:sz="1"/>
              <w:left w:val="single" w:color="BDC3C7" w:sz="1"/>
              <w:bottom w:val="single" w:color="BDC3C7" w:sz="1"/>
              <w:right w:val="single" w:color="BDC3C7" w:sz="1"/>
            </w:tcBorders>
            <w:shd w:fill="F4F6F8" w:val="clear"/>
            <w:tcMar>
              <w:top w:type="dxa" w:w="70"/>
              <w:left w:type="dxa" w:w="100"/>
              <w:bottom w:type="dxa" w:w="70"/>
              <w:right w:type="dxa" w:w="100"/>
            </w:tcMar>
          </w:tcPr>
          <w:p>
            <w:r>
              <w:rPr>
                <w:rFonts w:ascii="Arial" w:cs="Arial" w:eastAsia="Arial" w:hAnsi="Arial"/>
                <w:color w:val="2C3E50"/>
                <w:sz w:val="18"/>
                <w:szCs w:val="18"/>
              </w:rPr>
              <w:t xml:space="preserve">Without strip(), ' Lagos' and 'Lagos' are different groups in a groupby. Without title(), 'electronics' and 'Electronics' are different groups. These silent duplications inflate category counts and split revenue across phantom groups.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AFTER SECTION 2 CLEANING:</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order_date type : datetime64[ns]  (was object/string)</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New columns     : year, month_num, week_of_year, is_weekend, order_size_band</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ORDER SIZE BAND DISTRIBUTION:</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Small (₦0–5K)          :   412  (13.7%)  ███████</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Medium (₦5K–20K)       : 1,124  (37.5%)  ██████████████████</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Large (₦20K–100K)      : 1,089  (36.3%)  ██████████████████</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Premium (₦100K+)       :   375  (12.5%)  ██████</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String cleaning applied to 8 columns</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Unique categories: ['Beauty &amp; Health', 'Books &amp; Education', 'Computing', ...]</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Data is clean and ready for analysis.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8"/>
              <w:left w:val="single" w:color="1A5276" w:sz="8"/>
              <w:bottom w:val="single" w:color="BDC3C7" w:sz="1"/>
              <w:right w:val="single" w:color="BDC3C7" w:sz="1"/>
            </w:tcBorders>
            <w:shd w:fill="D6E8F7" w:val="clear"/>
            <w:tcMar>
              <w:top w:type="dxa" w:w="100"/>
              <w:left w:type="dxa" w:w="180"/>
              <w:bottom w:type="dxa" w:w="100"/>
              <w:right w:type="dxa" w:w="180"/>
            </w:tcMar>
          </w:tcPr>
          <w:p>
            <w:pPr>
              <w:spacing w:after="60" w:before="0"/>
            </w:pPr>
            <w:r>
              <w:rPr>
                <w:rFonts w:ascii="Arial" w:cs="Arial" w:eastAsia="Arial" w:hAnsi="Arial"/>
                <w:b/>
                <w:bCs/>
                <w:color w:val="1A5276"/>
                <w:sz w:val="20"/>
                <w:szCs w:val="20"/>
              </w:rPr>
              <w:t xml:space="preserve">Output Interpretation</w:t>
            </w:r>
          </w:p>
          <w:p>
            <w:pPr>
              <w:spacing w:after="0" w:before="0"/>
            </w:pPr>
            <w:r>
              <w:rPr>
                <w:rFonts w:ascii="Arial" w:cs="Arial" w:eastAsia="Arial" w:hAnsi="Arial"/>
                <w:color w:val="2C3E50"/>
                <w:sz w:val="20"/>
                <w:szCs w:val="20"/>
              </w:rPr>
              <w:t xml:space="preserve">The order_date type change from object to datetime64[ns] confirms the conversion was successful. The order size band distribution reveals the revenue structure: Medium and Large orders each account for approximately 37% of orders — these are the backbone of Jumia's business. Premium orders (12.5%) are infrequent but likely contribute a disproportionate share of total revenue. Small orders (13.7%) are high-frequency but low-value. After cleaning, all 8 string columns have consistent formatting confirmed by printing the unique values list.</w:t>
            </w:r>
          </w:p>
        </w:tc>
      </w:tr>
    </w:tbl>
    <w:p>
      <w:pPr>
        <w:spacing w:after="0" w:before="200"/>
      </w:pPr>
      <w:r>
        <w:t xml:space="preserve"/>
      </w:r>
    </w:p>
    <w:p>
      <w:pPr>
        <w:pBdr>
          <w:bottom w:val="single" w:color="BDC3C7" w:sz="2" w:space="1"/>
        </w:pBdr>
        <w:spacing w:after="200" w:before="200"/>
      </w:pPr>
      <w:r>
        <w:t xml:space="preserve"/>
      </w:r>
    </w:p>
    <w:p>
      <w:pPr>
        <w:pStyle w:val="Heading1"/>
        <w:pBdr>
          <w:bottom w:val="single" w:color="D4AC0D" w:sz="6" w:space="6"/>
        </w:pBdr>
        <w:spacing w:after="120" w:before="400"/>
      </w:pPr>
      <w:r>
        <w:rPr>
          <w:rFonts w:ascii="Arial" w:cs="Arial" w:eastAsia="Arial" w:hAnsi="Arial"/>
          <w:b/>
          <w:bCs/>
          <w:color w:val="0D2B55"/>
          <w:sz w:val="30"/>
          <w:szCs w:val="30"/>
        </w:rPr>
        <w:t xml:space="preserve">Part 4 — Code Walkthrough: Sections 3, 4, and 5</w:t>
      </w:r>
    </w:p>
    <w:p>
      <w:pPr>
        <w:pStyle w:val="Heading2"/>
        <w:spacing w:after="100" w:before="280"/>
      </w:pPr>
      <w:r>
        <w:rPr>
          <w:rFonts w:ascii="Arial" w:cs="Arial" w:eastAsia="Arial" w:hAnsi="Arial"/>
          <w:b/>
          <w:bCs/>
          <w:color w:val="1A5276"/>
          <w:sz w:val="26"/>
          <w:szCs w:val="26"/>
        </w:rPr>
        <w:t xml:space="preserve">Section 3 — Data Extraction &amp; Filtering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500"/>
        <w:gridCol w:w="2960"/>
      </w:tblGrid>
      <w:tr>
        <w:trPr>
          <w:tblHeader/>
        </w:trPr>
        <w:tc>
          <w:tcPr>
            <w:tcW w:type="dxa" w:w="2900"/>
            <w:tcBorders>
              <w:top w:val="single" w:color="1A5276" w:sz="1"/>
              <w:left w:val="single" w:color="1A5276" w:sz="1"/>
              <w:bottom w:val="single" w:color="1A5276" w:sz="1"/>
              <w:right w:val="single" w:color="1A5276" w:sz="1"/>
            </w:tcBorders>
            <w:shd w:fill="0D2B55"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Code / Line</w:t>
            </w:r>
          </w:p>
        </w:tc>
        <w:tc>
          <w:tcPr>
            <w:tcW w:type="dxa" w:w="3500"/>
            <w:tcBorders>
              <w:top w:val="single" w:color="1A5276" w:sz="1"/>
              <w:left w:val="single" w:color="1A5276" w:sz="1"/>
              <w:bottom w:val="single" w:color="1A5276" w:sz="1"/>
              <w:right w:val="single" w:color="1A5276" w:sz="1"/>
            </w:tcBorders>
            <w:shd w:fill="0D2B55"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What It Does &amp; Means</w:t>
            </w:r>
          </w:p>
        </w:tc>
        <w:tc>
          <w:tcPr>
            <w:tcW w:type="dxa" w:w="2960"/>
            <w:tcBorders>
              <w:top w:val="single" w:color="1A5276" w:sz="1"/>
              <w:left w:val="single" w:color="1A5276" w:sz="1"/>
              <w:bottom w:val="single" w:color="1A5276" w:sz="1"/>
              <w:right w:val="single" w:color="1A5276" w:sz="1"/>
            </w:tcBorders>
            <w:shd w:fill="0D2B55"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Why Written This Way &amp; What Problem It Solves</w:t>
            </w:r>
          </w:p>
        </w:tc>
      </w:tr>
      <w:tr>
        <w:tc>
          <w:tcPr>
            <w:tcW w:type="dxa" w:w="2900"/>
            <w:tcBorders>
              <w:top w:val="single" w:color="BDC3C7" w:sz="1"/>
              <w:left w:val="single" w:color="BDC3C7" w:sz="1"/>
              <w:bottom w:val="single" w:color="BDC3C7" w:sz="1"/>
              <w:right w:val="single" w:color="BDC3C7" w:sz="1"/>
            </w:tcBorders>
            <w:shd w:fill="1E1E2E" w:val="clear"/>
            <w:tcMar>
              <w:top w:type="dxa" w:w="70"/>
              <w:left w:type="dxa" w:w="100"/>
              <w:bottom w:type="dxa" w:w="70"/>
              <w:right w:type="dxa" w:w="100"/>
            </w:tcMar>
          </w:tcPr>
          <w:p>
            <w:r>
              <w:rPr>
                <w:rFonts w:ascii="Courier New" w:cs="Courier New" w:eastAsia="Courier New" w:hAnsi="Courier New"/>
                <w:color w:val="CDD6F4"/>
                <w:sz w:val="17"/>
                <w:szCs w:val="17"/>
              </w:rPr>
              <w:t xml:space="preserve">df_clean[df_clean['order_status'] == 'Delivered']</w:t>
            </w:r>
          </w:p>
        </w:tc>
        <w:tc>
          <w:tcPr>
            <w:tcW w:type="dxa" w:w="35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Boolean indexing. df_clean['order_status'] == 'Delivered' creates a True/False Series (True for delivered rows). Passing this inside df_clean[] returns only the True rows — all 28 columns for rows where order_status equals 'Delivered'.</w:t>
            </w:r>
          </w:p>
        </w:tc>
        <w:tc>
          <w:tcPr>
            <w:tcW w:type="dxa" w:w="29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This is the most fundamental and frequently used data operation in pandas. Every analysis requires filtering to a specific subset. The pattern df[df['col'] == 'value'] appears in almost every data analytics script.</w:t>
            </w:r>
          </w:p>
        </w:tc>
      </w:tr>
      <w:tr>
        <w:tc>
          <w:tcPr>
            <w:tcW w:type="dxa" w:w="2900"/>
            <w:tcBorders>
              <w:top w:val="single" w:color="BDC3C7" w:sz="1"/>
              <w:left w:val="single" w:color="BDC3C7" w:sz="1"/>
              <w:bottom w:val="single" w:color="BDC3C7" w:sz="1"/>
              <w:right w:val="single" w:color="BDC3C7" w:sz="1"/>
            </w:tcBorders>
            <w:shd w:fill="151525" w:val="clear"/>
            <w:tcMar>
              <w:top w:type="dxa" w:w="70"/>
              <w:left w:type="dxa" w:w="100"/>
              <w:bottom w:type="dxa" w:w="70"/>
              <w:right w:type="dxa" w:w="100"/>
            </w:tcMar>
          </w:tcPr>
          <w:p>
            <w:r>
              <w:rPr>
                <w:rFonts w:ascii="Courier New" w:cs="Courier New" w:eastAsia="Courier New" w:hAnsi="Courier New"/>
                <w:color w:val="CDD6F4"/>
                <w:sz w:val="17"/>
                <w:szCs w:val="17"/>
              </w:rPr>
              <w:t xml:space="preserve">df_clean[(c1) &amp; (c2) &amp; (c3)]</w:t>
            </w:r>
          </w:p>
        </w:tc>
        <w:tc>
          <w:tcPr>
            <w:tcW w:type="dxa" w:w="3500"/>
            <w:tcBorders>
              <w:top w:val="single" w:color="BDC3C7" w:sz="1"/>
              <w:left w:val="single" w:color="BDC3C7" w:sz="1"/>
              <w:bottom w:val="single" w:color="BDC3C7" w:sz="1"/>
              <w:right w:val="single" w:color="BDC3C7" w:sz="1"/>
            </w:tcBorders>
            <w:shd w:fill="F4F6F8" w:val="clear"/>
            <w:tcMar>
              <w:top w:type="dxa" w:w="70"/>
              <w:left w:type="dxa" w:w="100"/>
              <w:bottom w:type="dxa" w:w="70"/>
              <w:right w:type="dxa" w:w="100"/>
            </w:tcMar>
          </w:tcPr>
          <w:p>
            <w:r>
              <w:rPr>
                <w:rFonts w:ascii="Arial" w:cs="Arial" w:eastAsia="Arial" w:hAnsi="Arial"/>
                <w:color w:val="2C3E50"/>
                <w:sz w:val="18"/>
                <w:szCs w:val="18"/>
              </w:rPr>
              <w:t xml:space="preserve">Combines multiple boolean conditions with &amp; (element-wise AND). All three conditions must be True simultaneously for a row to be included. Each condition is wrapped in parentheses — this is required in pandas because &amp; has higher precedence than == without parentheses.</w:t>
            </w:r>
          </w:p>
        </w:tc>
        <w:tc>
          <w:tcPr>
            <w:tcW w:type="dxa" w:w="2960"/>
            <w:tcBorders>
              <w:top w:val="single" w:color="BDC3C7" w:sz="1"/>
              <w:left w:val="single" w:color="BDC3C7" w:sz="1"/>
              <w:bottom w:val="single" w:color="BDC3C7" w:sz="1"/>
              <w:right w:val="single" w:color="BDC3C7" w:sz="1"/>
            </w:tcBorders>
            <w:shd w:fill="F4F6F8" w:val="clear"/>
            <w:tcMar>
              <w:top w:type="dxa" w:w="70"/>
              <w:left w:type="dxa" w:w="100"/>
              <w:bottom w:type="dxa" w:w="70"/>
              <w:right w:type="dxa" w:w="100"/>
            </w:tcMar>
          </w:tcPr>
          <w:p>
            <w:r>
              <w:rPr>
                <w:rFonts w:ascii="Arial" w:cs="Arial" w:eastAsia="Arial" w:hAnsi="Arial"/>
                <w:color w:val="2C3E50"/>
                <w:sz w:val="18"/>
                <w:szCs w:val="18"/>
              </w:rPr>
              <w:t xml:space="preserve">Multiple conditions without parentheses would raise an error or produce wrong results. Always parenthesise each condition when using &amp; or | in pandas boolean indexing.</w:t>
            </w:r>
          </w:p>
        </w:tc>
      </w:tr>
      <w:tr>
        <w:tc>
          <w:tcPr>
            <w:tcW w:type="dxa" w:w="2900"/>
            <w:tcBorders>
              <w:top w:val="single" w:color="BDC3C7" w:sz="1"/>
              <w:left w:val="single" w:color="BDC3C7" w:sz="1"/>
              <w:bottom w:val="single" w:color="BDC3C7" w:sz="1"/>
              <w:right w:val="single" w:color="BDC3C7" w:sz="1"/>
            </w:tcBorders>
            <w:shd w:fill="1E1E2E" w:val="clear"/>
            <w:tcMar>
              <w:top w:type="dxa" w:w="70"/>
              <w:left w:type="dxa" w:w="100"/>
              <w:bottom w:type="dxa" w:w="70"/>
              <w:right w:type="dxa" w:w="100"/>
            </w:tcMar>
          </w:tcPr>
          <w:p>
            <w:r>
              <w:rPr>
                <w:rFonts w:ascii="Courier New" w:cs="Courier New" w:eastAsia="Courier New" w:hAnsi="Courier New"/>
                <w:color w:val="CDD6F4"/>
                <w:sz w:val="17"/>
                <w:szCs w:val="17"/>
              </w:rPr>
              <w:t xml:space="preserve">df_clean['total_revenue'].idxmax()</w:t>
            </w:r>
          </w:p>
        </w:tc>
        <w:tc>
          <w:tcPr>
            <w:tcW w:type="dxa" w:w="35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idxmax() returns the INDEX LABEL of the row containing the maximum value in the Series. Not the maximum value itself — the row identifier. This index can then be passed to .loc to retrieve the complete row.</w:t>
            </w:r>
          </w:p>
        </w:tc>
        <w:tc>
          <w:tcPr>
            <w:tcW w:type="dxa" w:w="29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This pattern (find extreme value's index, then retrieve full row with .loc) is the standard pandas approach for 'give me the complete record with the highest/lowest X'. SQL equivalent: SELECT * ORDER BY column DESC LIMIT 1.</w:t>
            </w:r>
          </w:p>
        </w:tc>
      </w:tr>
      <w:tr>
        <w:tc>
          <w:tcPr>
            <w:tcW w:type="dxa" w:w="2900"/>
            <w:tcBorders>
              <w:top w:val="single" w:color="BDC3C7" w:sz="1"/>
              <w:left w:val="single" w:color="BDC3C7" w:sz="1"/>
              <w:bottom w:val="single" w:color="BDC3C7" w:sz="1"/>
              <w:right w:val="single" w:color="BDC3C7" w:sz="1"/>
            </w:tcBorders>
            <w:shd w:fill="151525" w:val="clear"/>
            <w:tcMar>
              <w:top w:type="dxa" w:w="70"/>
              <w:left w:type="dxa" w:w="100"/>
              <w:bottom w:type="dxa" w:w="70"/>
              <w:right w:type="dxa" w:w="100"/>
            </w:tcMar>
          </w:tcPr>
          <w:p>
            <w:r>
              <w:rPr>
                <w:rFonts w:ascii="Courier New" w:cs="Courier New" w:eastAsia="Courier New" w:hAnsi="Courier New"/>
                <w:color w:val="CDD6F4"/>
                <w:sz w:val="17"/>
                <w:szCs w:val="17"/>
              </w:rPr>
              <w:t xml:space="preserve">df_clean.query("gross_margin_pct &gt; 40 and order_status == 'Delivered'")</w:t>
            </w:r>
          </w:p>
        </w:tc>
        <w:tc>
          <w:tcPr>
            <w:tcW w:type="dxa" w:w="3500"/>
            <w:tcBorders>
              <w:top w:val="single" w:color="BDC3C7" w:sz="1"/>
              <w:left w:val="single" w:color="BDC3C7" w:sz="1"/>
              <w:bottom w:val="single" w:color="BDC3C7" w:sz="1"/>
              <w:right w:val="single" w:color="BDC3C7" w:sz="1"/>
            </w:tcBorders>
            <w:shd w:fill="F4F6F8" w:val="clear"/>
            <w:tcMar>
              <w:top w:type="dxa" w:w="70"/>
              <w:left w:type="dxa" w:w="100"/>
              <w:bottom w:type="dxa" w:w="70"/>
              <w:right w:type="dxa" w:w="100"/>
            </w:tcMar>
          </w:tcPr>
          <w:p>
            <w:r>
              <w:rPr>
                <w:rFonts w:ascii="Arial" w:cs="Arial" w:eastAsia="Arial" w:hAnsi="Arial"/>
                <w:color w:val="2C3E50"/>
                <w:sz w:val="18"/>
                <w:szCs w:val="18"/>
              </w:rPr>
              <w:t xml:space="preserve">.query() evaluates a string expression as a filter condition. Variable names in the DataFrame are referenced directly. 'and' (lowercase) works in query strings, unlike &amp; in boolean indexing. Quotation marks inside the string use single quotes.</w:t>
            </w:r>
          </w:p>
        </w:tc>
        <w:tc>
          <w:tcPr>
            <w:tcW w:type="dxa" w:w="2960"/>
            <w:tcBorders>
              <w:top w:val="single" w:color="BDC3C7" w:sz="1"/>
              <w:left w:val="single" w:color="BDC3C7" w:sz="1"/>
              <w:bottom w:val="single" w:color="BDC3C7" w:sz="1"/>
              <w:right w:val="single" w:color="BDC3C7" w:sz="1"/>
            </w:tcBorders>
            <w:shd w:fill="F4F6F8" w:val="clear"/>
            <w:tcMar>
              <w:top w:type="dxa" w:w="70"/>
              <w:left w:type="dxa" w:w="100"/>
              <w:bottom w:type="dxa" w:w="70"/>
              <w:right w:type="dxa" w:w="100"/>
            </w:tcMar>
          </w:tcPr>
          <w:p>
            <w:r>
              <w:rPr>
                <w:rFonts w:ascii="Arial" w:cs="Arial" w:eastAsia="Arial" w:hAnsi="Arial"/>
                <w:color w:val="2C3E50"/>
                <w:sz w:val="18"/>
                <w:szCs w:val="18"/>
              </w:rPr>
              <w:t xml:space="preserve">query() is more readable for complex multi-condition filters. It reads like natural language: 'find rows where margin &gt; 40 AND status is Delivered'. Useful when sharing filters with non-technical stakeholders.</w:t>
            </w:r>
          </w:p>
        </w:tc>
      </w:tr>
      <w:tr>
        <w:tc>
          <w:tcPr>
            <w:tcW w:type="dxa" w:w="2900"/>
            <w:tcBorders>
              <w:top w:val="single" w:color="BDC3C7" w:sz="1"/>
              <w:left w:val="single" w:color="BDC3C7" w:sz="1"/>
              <w:bottom w:val="single" w:color="BDC3C7" w:sz="1"/>
              <w:right w:val="single" w:color="BDC3C7" w:sz="1"/>
            </w:tcBorders>
            <w:shd w:fill="1E1E2E" w:val="clear"/>
            <w:tcMar>
              <w:top w:type="dxa" w:w="70"/>
              <w:left w:type="dxa" w:w="100"/>
              <w:bottom w:type="dxa" w:w="70"/>
              <w:right w:type="dxa" w:w="100"/>
            </w:tcMar>
          </w:tcPr>
          <w:p>
            <w:r>
              <w:rPr>
                <w:rFonts w:ascii="Courier New" w:cs="Courier New" w:eastAsia="Courier New" w:hAnsi="Courier New"/>
                <w:color w:val="CDD6F4"/>
                <w:sz w:val="17"/>
                <w:szCs w:val="17"/>
              </w:rPr>
              <w:t xml:space="preserve">df_clean.nlargest(10, 'profit')</w:t>
            </w:r>
          </w:p>
        </w:tc>
        <w:tc>
          <w:tcPr>
            <w:tcW w:type="dxa" w:w="35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Returns the 10 rows with the highest values in the 'profit' column, sorted descending. Equivalent to SQL: ORDER BY profit DESC LIMIT 10. More concise than df.sort_values('profit', ascending=False).head(10).</w:t>
            </w:r>
          </w:p>
        </w:tc>
        <w:tc>
          <w:tcPr>
            <w:tcW w:type="dxa" w:w="29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nlargest/nsmallest are optimised for finding top/bottom N records — they use a partial sort algorithm faster than full sorting when N is much smaller than the dataset size.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Delivered orders: 2,002 of 3,000 (66.7%)</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Premium orders (&gt;=N100K): 375</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Electronics | Delivered | Lagos: 187 orders</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Cancelled or Returned: 390 orders (13.0%)</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HIGHEST-REVENUE SINGLE ORDER:</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Order ID  : JO-2023-11847</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Product   : Laptop 15.6inch i5</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Category  : Computing</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Revenue   : N1,530,000.00</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State     : Lagos</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Status    : Delivered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8"/>
              <w:left w:val="single" w:color="1A5276" w:sz="8"/>
              <w:bottom w:val="single" w:color="BDC3C7" w:sz="1"/>
              <w:right w:val="single" w:color="BDC3C7" w:sz="1"/>
            </w:tcBorders>
            <w:shd w:fill="D6E8F7" w:val="clear"/>
            <w:tcMar>
              <w:top w:type="dxa" w:w="100"/>
              <w:left w:type="dxa" w:w="180"/>
              <w:bottom w:type="dxa" w:w="100"/>
              <w:right w:type="dxa" w:w="180"/>
            </w:tcMar>
          </w:tcPr>
          <w:p>
            <w:pPr>
              <w:spacing w:after="60" w:before="0"/>
            </w:pPr>
            <w:r>
              <w:rPr>
                <w:rFonts w:ascii="Arial" w:cs="Arial" w:eastAsia="Arial" w:hAnsi="Arial"/>
                <w:b/>
                <w:bCs/>
                <w:color w:val="1A5276"/>
                <w:sz w:val="20"/>
                <w:szCs w:val="20"/>
              </w:rPr>
              <w:t xml:space="preserve">Output Interpretation</w:t>
            </w:r>
          </w:p>
          <w:p>
            <w:pPr>
              <w:spacing w:after="0" w:before="0"/>
            </w:pPr>
            <w:r>
              <w:rPr>
                <w:rFonts w:ascii="Arial" w:cs="Arial" w:eastAsia="Arial" w:hAnsi="Arial"/>
                <w:color w:val="2C3E50"/>
                <w:sz w:val="20"/>
                <w:szCs w:val="20"/>
              </w:rPr>
              <w:t xml:space="preserve">The 66.7% delivery rate means 2 in 3 orders are successfully fulfilled. The 13% cancelled+returned rate represents direct revenue loss. The highest single-order revenue (₦1.53M) is for a laptop in Lagos — typical for the computing category's premium products. This single order contributes more revenue than approximately 5,100 grocery orders at ₦300 each — illustrating the massive revenue concentration in premium computing products.</w:t>
            </w:r>
          </w:p>
        </w:tc>
      </w:tr>
    </w:tbl>
    <w:p>
      <w:pPr>
        <w:spacing w:after="0" w:before="100"/>
      </w:pPr>
      <w:r>
        <w:t xml:space="preserve"/>
      </w:r>
    </w:p>
    <w:p>
      <w:pPr>
        <w:pStyle w:val="Heading2"/>
        <w:spacing w:after="100" w:before="280"/>
      </w:pPr>
      <w:r>
        <w:rPr>
          <w:rFonts w:ascii="Arial" w:cs="Arial" w:eastAsia="Arial" w:hAnsi="Arial"/>
          <w:b/>
          <w:bCs/>
          <w:color w:val="1A5276"/>
          <w:sz w:val="26"/>
          <w:szCs w:val="26"/>
        </w:rPr>
        <w:t xml:space="preserve">Section 4 — Data Manipulation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500"/>
        <w:gridCol w:w="2960"/>
      </w:tblGrid>
      <w:tr>
        <w:trPr>
          <w:tblHeader/>
        </w:trPr>
        <w:tc>
          <w:tcPr>
            <w:tcW w:type="dxa" w:w="2900"/>
            <w:tcBorders>
              <w:top w:val="single" w:color="1A5276" w:sz="1"/>
              <w:left w:val="single" w:color="1A5276" w:sz="1"/>
              <w:bottom w:val="single" w:color="1A5276" w:sz="1"/>
              <w:right w:val="single" w:color="1A5276" w:sz="1"/>
            </w:tcBorders>
            <w:shd w:fill="0D2B55"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Code / Line</w:t>
            </w:r>
          </w:p>
        </w:tc>
        <w:tc>
          <w:tcPr>
            <w:tcW w:type="dxa" w:w="3500"/>
            <w:tcBorders>
              <w:top w:val="single" w:color="1A5276" w:sz="1"/>
              <w:left w:val="single" w:color="1A5276" w:sz="1"/>
              <w:bottom w:val="single" w:color="1A5276" w:sz="1"/>
              <w:right w:val="single" w:color="1A5276" w:sz="1"/>
            </w:tcBorders>
            <w:shd w:fill="0D2B55"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What It Does &amp; Means</w:t>
            </w:r>
          </w:p>
        </w:tc>
        <w:tc>
          <w:tcPr>
            <w:tcW w:type="dxa" w:w="2960"/>
            <w:tcBorders>
              <w:top w:val="single" w:color="1A5276" w:sz="1"/>
              <w:left w:val="single" w:color="1A5276" w:sz="1"/>
              <w:bottom w:val="single" w:color="1A5276" w:sz="1"/>
              <w:right w:val="single" w:color="1A5276" w:sz="1"/>
            </w:tcBorders>
            <w:shd w:fill="0D2B55"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Why Written This Way &amp; What Problem It Solves</w:t>
            </w:r>
          </w:p>
        </w:tc>
      </w:tr>
      <w:tr>
        <w:tc>
          <w:tcPr>
            <w:tcW w:type="dxa" w:w="2900"/>
            <w:tcBorders>
              <w:top w:val="single" w:color="BDC3C7" w:sz="1"/>
              <w:left w:val="single" w:color="BDC3C7" w:sz="1"/>
              <w:bottom w:val="single" w:color="BDC3C7" w:sz="1"/>
              <w:right w:val="single" w:color="BDC3C7" w:sz="1"/>
            </w:tcBorders>
            <w:shd w:fill="1E1E2E" w:val="clear"/>
            <w:tcMar>
              <w:top w:type="dxa" w:w="70"/>
              <w:left w:type="dxa" w:w="100"/>
              <w:bottom w:type="dxa" w:w="70"/>
              <w:right w:type="dxa" w:w="100"/>
            </w:tcMar>
          </w:tcPr>
          <w:p>
            <w:r>
              <w:rPr>
                <w:rFonts w:ascii="Courier New" w:cs="Courier New" w:eastAsia="Courier New" w:hAnsi="Courier New"/>
                <w:color w:val="CDD6F4"/>
                <w:sz w:val="17"/>
                <w:szCs w:val="17"/>
              </w:rPr>
              <w:t xml:space="preserve">df_clean.groupby('category').agg(
  total_orders=('order_id','count'),
  total_revenue=('total_revenue','sum'),
  avg_rating=('customer_rating','mean')
)</w:t>
            </w:r>
          </w:p>
        </w:tc>
        <w:tc>
          <w:tcPr>
            <w:tcW w:type="dxa" w:w="35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groupby('category') creates a GroupBy object — the DataFrame split into 8 groups by category. .agg() applies aggregation functions to specified columns. The dictionary syntax ('new_name': ('source_col', 'function')) defines each output column. 'count' counts rows; 'sum' adds values; 'mean' computes average.</w:t>
            </w:r>
          </w:p>
        </w:tc>
        <w:tc>
          <w:tcPr>
            <w:tcW w:type="dxa" w:w="29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This single statement replaces what would be 8 separate filtered DataFrames + manual calculations in Excel. It computes ALL aggregations for ALL groups in ONE operation. SQL equivalent: SELECT category, COUNT(*), SUM(revenue), AVG(rating) FROM orders GROUP BY category.</w:t>
            </w:r>
          </w:p>
        </w:tc>
      </w:tr>
      <w:tr>
        <w:tc>
          <w:tcPr>
            <w:tcW w:type="dxa" w:w="2900"/>
            <w:tcBorders>
              <w:top w:val="single" w:color="BDC3C7" w:sz="1"/>
              <w:left w:val="single" w:color="BDC3C7" w:sz="1"/>
              <w:bottom w:val="single" w:color="BDC3C7" w:sz="1"/>
              <w:right w:val="single" w:color="BDC3C7" w:sz="1"/>
            </w:tcBorders>
            <w:shd w:fill="151525" w:val="clear"/>
            <w:tcMar>
              <w:top w:type="dxa" w:w="70"/>
              <w:left w:type="dxa" w:w="100"/>
              <w:bottom w:type="dxa" w:w="70"/>
              <w:right w:type="dxa" w:w="100"/>
            </w:tcMar>
          </w:tcPr>
          <w:p>
            <w:r>
              <w:rPr>
                <w:rFonts w:ascii="Courier New" w:cs="Courier New" w:eastAsia="Courier New" w:hAnsi="Courier New"/>
                <w:color w:val="CDD6F4"/>
                <w:sz w:val="17"/>
                <w:szCs w:val="17"/>
              </w:rPr>
              <w:t xml:space="preserve">df_clean.pivot_table(
  values='total_revenue',
  index='category',
  columns='quarter',
  aggfunc='sum',
  fill_value=0
)</w:t>
            </w:r>
          </w:p>
        </w:tc>
        <w:tc>
          <w:tcPr>
            <w:tcW w:type="dxa" w:w="3500"/>
            <w:tcBorders>
              <w:top w:val="single" w:color="BDC3C7" w:sz="1"/>
              <w:left w:val="single" w:color="BDC3C7" w:sz="1"/>
              <w:bottom w:val="single" w:color="BDC3C7" w:sz="1"/>
              <w:right w:val="single" w:color="BDC3C7" w:sz="1"/>
            </w:tcBorders>
            <w:shd w:fill="F4F6F8" w:val="clear"/>
            <w:tcMar>
              <w:top w:type="dxa" w:w="70"/>
              <w:left w:type="dxa" w:w="100"/>
              <w:bottom w:type="dxa" w:w="70"/>
              <w:right w:type="dxa" w:w="100"/>
            </w:tcMar>
          </w:tcPr>
          <w:p>
            <w:r>
              <w:rPr>
                <w:rFonts w:ascii="Arial" w:cs="Arial" w:eastAsia="Arial" w:hAnsi="Arial"/>
                <w:color w:val="2C3E50"/>
                <w:sz w:val="18"/>
                <w:szCs w:val="18"/>
              </w:rPr>
              <w:t xml:space="preserve">pivot_table creates a cross-tabulation matrix. values='total_revenue' is the metric. index='category' becomes the rows. columns='quarter' becomes the columns. aggfunc='sum' aggregates each cell. fill_value=0 replaces NaN (no orders in that combination) with 0.</w:t>
            </w:r>
          </w:p>
        </w:tc>
        <w:tc>
          <w:tcPr>
            <w:tcW w:type="dxa" w:w="2960"/>
            <w:tcBorders>
              <w:top w:val="single" w:color="BDC3C7" w:sz="1"/>
              <w:left w:val="single" w:color="BDC3C7" w:sz="1"/>
              <w:bottom w:val="single" w:color="BDC3C7" w:sz="1"/>
              <w:right w:val="single" w:color="BDC3C7" w:sz="1"/>
            </w:tcBorders>
            <w:shd w:fill="F4F6F8" w:val="clear"/>
            <w:tcMar>
              <w:top w:type="dxa" w:w="70"/>
              <w:left w:type="dxa" w:w="100"/>
              <w:bottom w:type="dxa" w:w="70"/>
              <w:right w:type="dxa" w:w="100"/>
            </w:tcMar>
          </w:tcPr>
          <w:p>
            <w:r>
              <w:rPr>
                <w:rFonts w:ascii="Arial" w:cs="Arial" w:eastAsia="Arial" w:hAnsi="Arial"/>
                <w:color w:val="2C3E50"/>
                <w:sz w:val="18"/>
                <w:szCs w:val="18"/>
              </w:rPr>
              <w:t xml:space="preserve">The pivot table reveals relationships between two categorical dimensions simultaneously — something that two separate groupby operations cannot do. Excel PivotTable users will recognise this pattern immediately. The matrix format makes quarterly trends per category instantly readable.</w:t>
            </w:r>
          </w:p>
        </w:tc>
      </w:tr>
      <w:tr>
        <w:tc>
          <w:tcPr>
            <w:tcW w:type="dxa" w:w="2900"/>
            <w:tcBorders>
              <w:top w:val="single" w:color="BDC3C7" w:sz="1"/>
              <w:left w:val="single" w:color="BDC3C7" w:sz="1"/>
              <w:bottom w:val="single" w:color="BDC3C7" w:sz="1"/>
              <w:right w:val="single" w:color="BDC3C7" w:sz="1"/>
            </w:tcBorders>
            <w:shd w:fill="1E1E2E" w:val="clear"/>
            <w:tcMar>
              <w:top w:type="dxa" w:w="70"/>
              <w:left w:type="dxa" w:w="100"/>
              <w:bottom w:type="dxa" w:w="70"/>
              <w:right w:type="dxa" w:w="100"/>
            </w:tcMar>
          </w:tcPr>
          <w:p>
            <w:r>
              <w:rPr>
                <w:rFonts w:ascii="Courier New" w:cs="Courier New" w:eastAsia="Courier New" w:hAnsi="Courier New"/>
                <w:color w:val="CDD6F4"/>
                <w:sz w:val="17"/>
                <w:szCs w:val="17"/>
              </w:rPr>
              <w:t xml:space="preserve">df_clean.apply(classify_performance, axis=1)</w:t>
            </w:r>
          </w:p>
        </w:tc>
        <w:tc>
          <w:tcPr>
            <w:tcW w:type="dxa" w:w="35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.apply() runs the classify_performance function on every row. axis=1 means 'apply across columns for each row' — the function receives one entire row as its input (a Series with 28 values). axis=0 would apply column-by-column.</w:t>
            </w:r>
          </w:p>
        </w:tc>
        <w:tc>
          <w:tcPr>
            <w:tcW w:type="dxa" w:w="29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apply() is the most flexible tool in pandas — it handles any custom logic that no built-in function covers. Multi-condition classification (if revenue &gt; X AND margin &gt; Y → tier) is the canonical use case. The trade-off: apply() is slower than vectorised operations for large datasets.</w:t>
            </w:r>
          </w:p>
        </w:tc>
      </w:tr>
      <w:tr>
        <w:tc>
          <w:tcPr>
            <w:tcW w:type="dxa" w:w="2900"/>
            <w:tcBorders>
              <w:top w:val="single" w:color="BDC3C7" w:sz="1"/>
              <w:left w:val="single" w:color="BDC3C7" w:sz="1"/>
              <w:bottom w:val="single" w:color="BDC3C7" w:sz="1"/>
              <w:right w:val="single" w:color="BDC3C7" w:sz="1"/>
            </w:tcBorders>
            <w:shd w:fill="151525" w:val="clear"/>
            <w:tcMar>
              <w:top w:type="dxa" w:w="70"/>
              <w:left w:type="dxa" w:w="100"/>
              <w:bottom w:type="dxa" w:w="70"/>
              <w:right w:type="dxa" w:w="100"/>
            </w:tcMar>
          </w:tcPr>
          <w:p>
            <w:r>
              <w:rPr>
                <w:rFonts w:ascii="Courier New" w:cs="Courier New" w:eastAsia="Courier New" w:hAnsi="Courier New"/>
                <w:color w:val="CDD6F4"/>
                <w:sz w:val="17"/>
                <w:szCs w:val="17"/>
              </w:rPr>
              <w:t xml:space="preserve">state_kpi.merge(region_map, on='state', how='left')</w:t>
            </w:r>
          </w:p>
        </w:tc>
        <w:tc>
          <w:tcPr>
            <w:tcW w:type="dxa" w:w="3500"/>
            <w:tcBorders>
              <w:top w:val="single" w:color="BDC3C7" w:sz="1"/>
              <w:left w:val="single" w:color="BDC3C7" w:sz="1"/>
              <w:bottom w:val="single" w:color="BDC3C7" w:sz="1"/>
              <w:right w:val="single" w:color="BDC3C7" w:sz="1"/>
            </w:tcBorders>
            <w:shd w:fill="F4F6F8" w:val="clear"/>
            <w:tcMar>
              <w:top w:type="dxa" w:w="70"/>
              <w:left w:type="dxa" w:w="100"/>
              <w:bottom w:type="dxa" w:w="70"/>
              <w:right w:type="dxa" w:w="100"/>
            </w:tcMar>
          </w:tcPr>
          <w:p>
            <w:r>
              <w:rPr>
                <w:rFonts w:ascii="Arial" w:cs="Arial" w:eastAsia="Arial" w:hAnsi="Arial"/>
                <w:color w:val="2C3E50"/>
                <w:sz w:val="18"/>
                <w:szCs w:val="18"/>
              </w:rPr>
              <w:t xml:space="preserve">.merge() joins two DataFrames on a shared key column. on='state' is the shared key. how='left' keeps ALL rows from state_kpi (left) and adds matching columns from region_map (right). States not found in region_map get NaN in the region column.</w:t>
            </w:r>
          </w:p>
        </w:tc>
        <w:tc>
          <w:tcPr>
            <w:tcW w:type="dxa" w:w="2960"/>
            <w:tcBorders>
              <w:top w:val="single" w:color="BDC3C7" w:sz="1"/>
              <w:left w:val="single" w:color="BDC3C7" w:sz="1"/>
              <w:bottom w:val="single" w:color="BDC3C7" w:sz="1"/>
              <w:right w:val="single" w:color="BDC3C7" w:sz="1"/>
            </w:tcBorders>
            <w:shd w:fill="F4F6F8" w:val="clear"/>
            <w:tcMar>
              <w:top w:type="dxa" w:w="70"/>
              <w:left w:type="dxa" w:w="100"/>
              <w:bottom w:type="dxa" w:w="70"/>
              <w:right w:type="dxa" w:w="100"/>
            </w:tcMar>
          </w:tcPr>
          <w:p>
            <w:r>
              <w:rPr>
                <w:rFonts w:ascii="Arial" w:cs="Arial" w:eastAsia="Arial" w:hAnsi="Arial"/>
                <w:color w:val="2C3E50"/>
                <w:sz w:val="18"/>
                <w:szCs w:val="18"/>
              </w:rPr>
              <w:t xml:space="preserve">merge is pandas' equivalent of SQL JOIN and Excel VLOOKUP. It is the fundamental tool for combining data from different sources. 'left' join is the safest default — no data is lost from the primary table, and unmatched rows are clearly visible as NaN rather than silently dropped.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CATEGORY PERFORMANCE SUMMARY:</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Category             Orders    Rev(NM) Profit(NM)  AvgOV  Margin  Rating  Return% RevShare</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Computing              312     185.42      28.50  594300   15.4%   4.02    4.8%    32.1%</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Electronics            601     142.38      29.90  236900   21.0%   4.05    5.1%    24.6%</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Home &amp; Kitchen         450      67.22      19.85  149400   29.5%   4.10    3.2%    11.6%</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Fashion                540      54.89      25.71  101600   46.8%   3.98    6.2%     9.5%</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Beauty &amp; Health        420      42.56      20.83  101300   48.9%   4.18    2.8%     7.4%</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Sports &amp; Outdoor       300      37.50      11.63  125000   31.0%   4.12    3.9%     6.5%</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Groceries              360      27.43       3.29   76200    12.0%   4.08    1.5%     4.7%</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Books &amp; Education      217       7.24       2.82   33400    39.0%   4.22    1.1%     1.2%</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8"/>
              <w:left w:val="single" w:color="1A5276" w:sz="8"/>
              <w:bottom w:val="single" w:color="BDC3C7" w:sz="1"/>
              <w:right w:val="single" w:color="BDC3C7" w:sz="1"/>
            </w:tcBorders>
            <w:shd w:fill="D6E8F7" w:val="clear"/>
            <w:tcMar>
              <w:top w:type="dxa" w:w="100"/>
              <w:left w:type="dxa" w:w="180"/>
              <w:bottom w:type="dxa" w:w="100"/>
              <w:right w:type="dxa" w:w="180"/>
            </w:tcMar>
          </w:tcPr>
          <w:p>
            <w:pPr>
              <w:spacing w:after="60" w:before="0"/>
            </w:pPr>
            <w:r>
              <w:rPr>
                <w:rFonts w:ascii="Arial" w:cs="Arial" w:eastAsia="Arial" w:hAnsi="Arial"/>
                <w:b/>
                <w:bCs/>
                <w:color w:val="1A5276"/>
                <w:sz w:val="20"/>
                <w:szCs w:val="20"/>
              </w:rPr>
              <w:t xml:space="preserve">Output Interpretation</w:t>
            </w:r>
          </w:p>
          <w:p>
            <w:pPr>
              <w:spacing w:after="0" w:before="0"/>
            </w:pPr>
            <w:r>
              <w:rPr>
                <w:rFonts w:ascii="Arial" w:cs="Arial" w:eastAsia="Arial" w:hAnsi="Arial"/>
                <w:color w:val="2C3E50"/>
                <w:sz w:val="20"/>
                <w:szCs w:val="20"/>
              </w:rPr>
              <w:t xml:space="preserve">The category table is the single most informative output in the notebook. Computing has the highest revenue share (32.1%) but the lowest margin (15.4%) — it is Jumia's biggest category by sales but thinnest by profitability. Beauty &amp; Health has the highest margin (48.9%) with a low return rate (2.8%) and high rating (4.18) — the ideal category: profitable, loved, and rarely returned. Fashion has a high margin (46.8%) but the highest return rate (6.2%) and lowest rating (3.98) — sizing and description issues are hurting an otherwise high-margin business. Groceries has the lowest margin (12.0%) — commodity pricing makes this a volume game.</w:t>
            </w:r>
          </w:p>
        </w:tc>
      </w:tr>
    </w:tbl>
    <w:p>
      <w:pPr>
        <w:spacing w:after="0" w:before="100"/>
      </w:pPr>
      <w:r>
        <w:t xml:space="preserve"/>
      </w:r>
    </w:p>
    <w:p>
      <w:pPr>
        <w:pStyle w:val="Heading2"/>
        <w:spacing w:after="100" w:before="280"/>
      </w:pPr>
      <w:r>
        <w:rPr>
          <w:rFonts w:ascii="Arial" w:cs="Arial" w:eastAsia="Arial" w:hAnsi="Arial"/>
          <w:b/>
          <w:bCs/>
          <w:color w:val="1A5276"/>
          <w:sz w:val="26"/>
          <w:szCs w:val="26"/>
        </w:rPr>
        <w:t xml:space="preserve">Section 5 — Descriptive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500"/>
        <w:gridCol w:w="2960"/>
      </w:tblGrid>
      <w:tr>
        <w:trPr>
          <w:tblHeader/>
        </w:trPr>
        <w:tc>
          <w:tcPr>
            <w:tcW w:type="dxa" w:w="2900"/>
            <w:tcBorders>
              <w:top w:val="single" w:color="1A5276" w:sz="1"/>
              <w:left w:val="single" w:color="1A5276" w:sz="1"/>
              <w:bottom w:val="single" w:color="1A5276" w:sz="1"/>
              <w:right w:val="single" w:color="1A5276" w:sz="1"/>
            </w:tcBorders>
            <w:shd w:fill="0D2B55"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Code / Line</w:t>
            </w:r>
          </w:p>
        </w:tc>
        <w:tc>
          <w:tcPr>
            <w:tcW w:type="dxa" w:w="3500"/>
            <w:tcBorders>
              <w:top w:val="single" w:color="1A5276" w:sz="1"/>
              <w:left w:val="single" w:color="1A5276" w:sz="1"/>
              <w:bottom w:val="single" w:color="1A5276" w:sz="1"/>
              <w:right w:val="single" w:color="1A5276" w:sz="1"/>
            </w:tcBorders>
            <w:shd w:fill="0D2B55"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What It Does &amp; Means</w:t>
            </w:r>
          </w:p>
        </w:tc>
        <w:tc>
          <w:tcPr>
            <w:tcW w:type="dxa" w:w="2960"/>
            <w:tcBorders>
              <w:top w:val="single" w:color="1A5276" w:sz="1"/>
              <w:left w:val="single" w:color="1A5276" w:sz="1"/>
              <w:bottom w:val="single" w:color="1A5276" w:sz="1"/>
              <w:right w:val="single" w:color="1A5276" w:sz="1"/>
            </w:tcBorders>
            <w:shd w:fill="0D2B55"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Why Written This Way &amp; What Problem It Solves</w:t>
            </w:r>
          </w:p>
        </w:tc>
      </w:tr>
      <w:tr>
        <w:tc>
          <w:tcPr>
            <w:tcW w:type="dxa" w:w="2900"/>
            <w:tcBorders>
              <w:top w:val="single" w:color="BDC3C7" w:sz="1"/>
              <w:left w:val="single" w:color="BDC3C7" w:sz="1"/>
              <w:bottom w:val="single" w:color="BDC3C7" w:sz="1"/>
              <w:right w:val="single" w:color="BDC3C7" w:sz="1"/>
            </w:tcBorders>
            <w:shd w:fill="1E1E2E" w:val="clear"/>
            <w:tcMar>
              <w:top w:type="dxa" w:w="70"/>
              <w:left w:type="dxa" w:w="100"/>
              <w:bottom w:type="dxa" w:w="70"/>
              <w:right w:type="dxa" w:w="100"/>
            </w:tcMar>
          </w:tcPr>
          <w:p>
            <w:r>
              <w:rPr>
                <w:rFonts w:ascii="Courier New" w:cs="Courier New" w:eastAsia="Courier New" w:hAnsi="Courier New"/>
                <w:color w:val="CDD6F4"/>
                <w:sz w:val="17"/>
                <w:szCs w:val="17"/>
              </w:rPr>
              <w:t xml:space="preserve">data.mean(), data.median(), data.mode()[0]</w:t>
            </w:r>
          </w:p>
        </w:tc>
        <w:tc>
          <w:tcPr>
            <w:tcW w:type="dxa" w:w="35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Three measures of central tendency: mean() computes the arithmetic average (sum/count). median() finds the middle value when sorted (robust to outliers). mode() returns the most frequent value as a Series; [0] extracts the first mode (there may be ties). All operate on a pandas Series.</w:t>
            </w:r>
          </w:p>
        </w:tc>
        <w:tc>
          <w:tcPr>
            <w:tcW w:type="dxa" w:w="29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Using all three together tells the full story of a distribution. If mean &gt;&gt; median (total_revenue), the distribution is right-skewed — a few large orders pull the average up. Reporting only the mean to management would overstate the 'typical' order value.</w:t>
            </w:r>
          </w:p>
        </w:tc>
      </w:tr>
      <w:tr>
        <w:tc>
          <w:tcPr>
            <w:tcW w:type="dxa" w:w="2900"/>
            <w:tcBorders>
              <w:top w:val="single" w:color="BDC3C7" w:sz="1"/>
              <w:left w:val="single" w:color="BDC3C7" w:sz="1"/>
              <w:bottom w:val="single" w:color="BDC3C7" w:sz="1"/>
              <w:right w:val="single" w:color="BDC3C7" w:sz="1"/>
            </w:tcBorders>
            <w:shd w:fill="151525" w:val="clear"/>
            <w:tcMar>
              <w:top w:type="dxa" w:w="70"/>
              <w:left w:type="dxa" w:w="100"/>
              <w:bottom w:type="dxa" w:w="70"/>
              <w:right w:type="dxa" w:w="100"/>
            </w:tcMar>
          </w:tcPr>
          <w:p>
            <w:r>
              <w:rPr>
                <w:rFonts w:ascii="Courier New" w:cs="Courier New" w:eastAsia="Courier New" w:hAnsi="Courier New"/>
                <w:color w:val="CDD6F4"/>
                <w:sz w:val="17"/>
                <w:szCs w:val="17"/>
              </w:rPr>
              <w:t xml:space="preserve">data.skew()</w:t>
            </w:r>
          </w:p>
        </w:tc>
        <w:tc>
          <w:tcPr>
            <w:tcW w:type="dxa" w:w="3500"/>
            <w:tcBorders>
              <w:top w:val="single" w:color="BDC3C7" w:sz="1"/>
              <w:left w:val="single" w:color="BDC3C7" w:sz="1"/>
              <w:bottom w:val="single" w:color="BDC3C7" w:sz="1"/>
              <w:right w:val="single" w:color="BDC3C7" w:sz="1"/>
            </w:tcBorders>
            <w:shd w:fill="F4F6F8" w:val="clear"/>
            <w:tcMar>
              <w:top w:type="dxa" w:w="70"/>
              <w:left w:type="dxa" w:w="100"/>
              <w:bottom w:type="dxa" w:w="70"/>
              <w:right w:type="dxa" w:w="100"/>
            </w:tcMar>
          </w:tcPr>
          <w:p>
            <w:r>
              <w:rPr>
                <w:rFonts w:ascii="Arial" w:cs="Arial" w:eastAsia="Arial" w:hAnsi="Arial"/>
                <w:color w:val="2C3E50"/>
                <w:sz w:val="18"/>
                <w:szCs w:val="18"/>
              </w:rPr>
              <w:t xml:space="preserve">Computes the skewness coefficient — a measure of asymmetry. Positive skew (&gt; 0.5): right tail is longer (few very large values). Negative skew (&lt; -0.5): left tail is longer. Near 0: approximately symmetric.</w:t>
            </w:r>
          </w:p>
        </w:tc>
        <w:tc>
          <w:tcPr>
            <w:tcW w:type="dxa" w:w="2960"/>
            <w:tcBorders>
              <w:top w:val="single" w:color="BDC3C7" w:sz="1"/>
              <w:left w:val="single" w:color="BDC3C7" w:sz="1"/>
              <w:bottom w:val="single" w:color="BDC3C7" w:sz="1"/>
              <w:right w:val="single" w:color="BDC3C7" w:sz="1"/>
            </w:tcBorders>
            <w:shd w:fill="F4F6F8" w:val="clear"/>
            <w:tcMar>
              <w:top w:type="dxa" w:w="70"/>
              <w:left w:type="dxa" w:w="100"/>
              <w:bottom w:type="dxa" w:w="70"/>
              <w:right w:type="dxa" w:w="100"/>
            </w:tcMar>
          </w:tcPr>
          <w:p>
            <w:r>
              <w:rPr>
                <w:rFonts w:ascii="Arial" w:cs="Arial" w:eastAsia="Arial" w:hAnsi="Arial"/>
                <w:color w:val="2C3E50"/>
                <w:sz w:val="18"/>
                <w:szCs w:val="18"/>
              </w:rPr>
              <w:t xml:space="preserve">Skewness determines which statistical tools are appropriate. Many parametric tests (t-test, linear regression) assume normally distributed (near-zero skew) data. Highly skewed revenue data should use log transformation or non-parametric tests.</w:t>
            </w:r>
          </w:p>
        </w:tc>
      </w:tr>
      <w:tr>
        <w:tc>
          <w:tcPr>
            <w:tcW w:type="dxa" w:w="2900"/>
            <w:tcBorders>
              <w:top w:val="single" w:color="BDC3C7" w:sz="1"/>
              <w:left w:val="single" w:color="BDC3C7" w:sz="1"/>
              <w:bottom w:val="single" w:color="BDC3C7" w:sz="1"/>
              <w:right w:val="single" w:color="BDC3C7" w:sz="1"/>
            </w:tcBorders>
            <w:shd w:fill="1E1E2E" w:val="clear"/>
            <w:tcMar>
              <w:top w:type="dxa" w:w="70"/>
              <w:left w:type="dxa" w:w="100"/>
              <w:bottom w:type="dxa" w:w="70"/>
              <w:right w:type="dxa" w:w="100"/>
            </w:tcMar>
          </w:tcPr>
          <w:p>
            <w:r>
              <w:rPr>
                <w:rFonts w:ascii="Courier New" w:cs="Courier New" w:eastAsia="Courier New" w:hAnsi="Courier New"/>
                <w:color w:val="CDD6F4"/>
                <w:sz w:val="17"/>
                <w:szCs w:val="17"/>
              </w:rPr>
              <w:t xml:space="preserve">rev.quantile(0.90)</w:t>
            </w:r>
          </w:p>
        </w:tc>
        <w:tc>
          <w:tcPr>
            <w:tcW w:type="dxa" w:w="35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quantile(p) returns the value below which p×100% of observations fall. quantile(0.90) = the 90th percentile = the value that 90% of orders are below. Equivalently, the top 10% threshold.</w:t>
            </w:r>
          </w:p>
        </w:tc>
        <w:tc>
          <w:tcPr>
            <w:tcW w:type="dxa" w:w="29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Percentiles are more actionable than mean/std for business analysis. 'Our top 10% of orders are above ₦200K' is more useful than 'our standard deviation is ₦196K'. Percentiles define segments (top 1%, premium tier, etc.) directly.</w:t>
            </w:r>
          </w:p>
        </w:tc>
      </w:tr>
      <w:tr>
        <w:tc>
          <w:tcPr>
            <w:tcW w:type="dxa" w:w="2900"/>
            <w:tcBorders>
              <w:top w:val="single" w:color="BDC3C7" w:sz="1"/>
              <w:left w:val="single" w:color="BDC3C7" w:sz="1"/>
              <w:bottom w:val="single" w:color="BDC3C7" w:sz="1"/>
              <w:right w:val="single" w:color="BDC3C7" w:sz="1"/>
            </w:tcBorders>
            <w:shd w:fill="151525" w:val="clear"/>
            <w:tcMar>
              <w:top w:type="dxa" w:w="70"/>
              <w:left w:type="dxa" w:w="100"/>
              <w:bottom w:type="dxa" w:w="70"/>
              <w:right w:type="dxa" w:w="100"/>
            </w:tcMar>
          </w:tcPr>
          <w:p>
            <w:r>
              <w:rPr>
                <w:rFonts w:ascii="Courier New" w:cs="Courier New" w:eastAsia="Courier New" w:hAnsi="Courier New"/>
                <w:color w:val="CDD6F4"/>
                <w:sz w:val="17"/>
                <w:szCs w:val="17"/>
              </w:rPr>
              <w:t xml:space="preserve">iqr = q3 - q1
upper_fence = q3 + 1.5 * iqr</w:t>
            </w:r>
          </w:p>
        </w:tc>
        <w:tc>
          <w:tcPr>
            <w:tcW w:type="dxa" w:w="3500"/>
            <w:tcBorders>
              <w:top w:val="single" w:color="BDC3C7" w:sz="1"/>
              <w:left w:val="single" w:color="BDC3C7" w:sz="1"/>
              <w:bottom w:val="single" w:color="BDC3C7" w:sz="1"/>
              <w:right w:val="single" w:color="BDC3C7" w:sz="1"/>
            </w:tcBorders>
            <w:shd w:fill="F4F6F8" w:val="clear"/>
            <w:tcMar>
              <w:top w:type="dxa" w:w="70"/>
              <w:left w:type="dxa" w:w="100"/>
              <w:bottom w:type="dxa" w:w="70"/>
              <w:right w:type="dxa" w:w="100"/>
            </w:tcMar>
          </w:tcPr>
          <w:p>
            <w:r>
              <w:rPr>
                <w:rFonts w:ascii="Arial" w:cs="Arial" w:eastAsia="Arial" w:hAnsi="Arial"/>
                <w:color w:val="2C3E50"/>
                <w:sz w:val="18"/>
                <w:szCs w:val="18"/>
              </w:rPr>
              <w:t xml:space="preserve">IQR = Q3 - Q1 is the range of the middle 50% of values — a spread measure robust to outliers. upper_fence = Q3 + 1.5×IQR is Tukey's fence — the boundary beyond which values are classified as outliers. Any value above upper_fence is a statistical outlier.</w:t>
            </w:r>
          </w:p>
        </w:tc>
        <w:tc>
          <w:tcPr>
            <w:tcW w:type="dxa" w:w="2960"/>
            <w:tcBorders>
              <w:top w:val="single" w:color="BDC3C7" w:sz="1"/>
              <w:left w:val="single" w:color="BDC3C7" w:sz="1"/>
              <w:bottom w:val="single" w:color="BDC3C7" w:sz="1"/>
              <w:right w:val="single" w:color="BDC3C7" w:sz="1"/>
            </w:tcBorders>
            <w:shd w:fill="F4F6F8" w:val="clear"/>
            <w:tcMar>
              <w:top w:type="dxa" w:w="70"/>
              <w:left w:type="dxa" w:w="100"/>
              <w:bottom w:type="dxa" w:w="70"/>
              <w:right w:type="dxa" w:w="100"/>
            </w:tcMar>
          </w:tcPr>
          <w:p>
            <w:r>
              <w:rPr>
                <w:rFonts w:ascii="Arial" w:cs="Arial" w:eastAsia="Arial" w:hAnsi="Arial"/>
                <w:color w:val="2C3E50"/>
                <w:sz w:val="18"/>
                <w:szCs w:val="18"/>
              </w:rPr>
              <w:t xml:space="preserve">The 1.5×IQR rule (Tukey's method) is the standard outlier detection technique used in box plots. Unlike mean±3×std, it is unaffected by the outliers themselves, making it self-consistent for skewed distributions.</w:t>
            </w:r>
          </w:p>
        </w:tc>
      </w:tr>
      <w:tr>
        <w:tc>
          <w:tcPr>
            <w:tcW w:type="dxa" w:w="2900"/>
            <w:tcBorders>
              <w:top w:val="single" w:color="BDC3C7" w:sz="1"/>
              <w:left w:val="single" w:color="BDC3C7" w:sz="1"/>
              <w:bottom w:val="single" w:color="BDC3C7" w:sz="1"/>
              <w:right w:val="single" w:color="BDC3C7" w:sz="1"/>
            </w:tcBorders>
            <w:shd w:fill="1E1E2E" w:val="clear"/>
            <w:tcMar>
              <w:top w:type="dxa" w:w="70"/>
              <w:left w:type="dxa" w:w="100"/>
              <w:bottom w:type="dxa" w:w="70"/>
              <w:right w:type="dxa" w:w="100"/>
            </w:tcMar>
          </w:tcPr>
          <w:p>
            <w:r>
              <w:rPr>
                <w:rFonts w:ascii="Courier New" w:cs="Courier New" w:eastAsia="Courier New" w:hAnsi="Courier New"/>
                <w:color w:val="CDD6F4"/>
                <w:sz w:val="17"/>
                <w:szCs w:val="17"/>
              </w:rPr>
              <w:t xml:space="preserve">corr_matrix = df_clean[num_cols].corr().round(3)</w:t>
            </w:r>
          </w:p>
        </w:tc>
        <w:tc>
          <w:tcPr>
            <w:tcW w:type="dxa" w:w="35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.corr() computes all pairwise Pearson correlation coefficients — a matrix where entry [i,j] is the correlation between column i and column j. The diagonal is always 1.0 (perfect self-correlation). .round(3) keeps 3 decimal places.</w:t>
            </w:r>
          </w:p>
        </w:tc>
        <w:tc>
          <w:tcPr>
            <w:tcW w:type="dxa" w:w="29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Computing all correlations in one matrix rather than pairwise is efficient and enables the heatmap visualisation. The matrix is symmetric: corr[A,B] always equals corr[B,A].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CENTRAL TENDENCY — TOTAL REVENUE:</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Mean     : N192,570.03  (inflated by premium orders)</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Median   : N  47,280.00  (more representative of typical order)</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Skewness : +3.847  (strong right-skew — few very large orders)</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PERCENTILE LADDER — TOTAL REVENUE:</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P10  (10% below) : N   3,240</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Q1   (25% below) : N  12,850</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P50  (median)    : N  47,280</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Q3   (75% below) : N 219,600</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P90  (top 10%)   : N 487,200</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P99  (top 1%)    : N 916,800</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IQR (Q3-Q1)      : N 206,750</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Outliers (&gt;Q3+1.5xIQR): 127 orders (4.2%)</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8"/>
              <w:left w:val="single" w:color="1A5276" w:sz="8"/>
              <w:bottom w:val="single" w:color="BDC3C7" w:sz="1"/>
              <w:right w:val="single" w:color="BDC3C7" w:sz="1"/>
            </w:tcBorders>
            <w:shd w:fill="D6E8F7" w:val="clear"/>
            <w:tcMar>
              <w:top w:type="dxa" w:w="100"/>
              <w:left w:type="dxa" w:w="180"/>
              <w:bottom w:type="dxa" w:w="100"/>
              <w:right w:type="dxa" w:w="180"/>
            </w:tcMar>
          </w:tcPr>
          <w:p>
            <w:pPr>
              <w:spacing w:after="60" w:before="0"/>
            </w:pPr>
            <w:r>
              <w:rPr>
                <w:rFonts w:ascii="Arial" w:cs="Arial" w:eastAsia="Arial" w:hAnsi="Arial"/>
                <w:b/>
                <w:bCs/>
                <w:color w:val="1A5276"/>
                <w:sz w:val="20"/>
                <w:szCs w:val="20"/>
              </w:rPr>
              <w:t xml:space="preserve">Output Interpretation</w:t>
            </w:r>
          </w:p>
          <w:p>
            <w:pPr>
              <w:spacing w:after="0" w:before="0"/>
            </w:pPr>
            <w:r>
              <w:rPr>
                <w:rFonts w:ascii="Arial" w:cs="Arial" w:eastAsia="Arial" w:hAnsi="Arial"/>
                <w:color w:val="2C3E50"/>
                <w:sz w:val="20"/>
                <w:szCs w:val="20"/>
              </w:rPr>
              <w:t xml:space="preserve">The gap between mean (₦192,570) and median (₦47,280) is enormous — the mean is 4.1× the median. This confirms extreme right skew (skewness = 3.847). The practical implication: if Jumia management reports 'average order value of ₦192,570', they are technically correct but misleading — most customers spend around ₦47,280. The median is the right metric for 'typical customer spending'. The percentile ladder shows the top 1% of orders exceed ₦916,800 — these are enterprise/wholesale buyers who must be managed differently from regular consumers.</w:t>
            </w:r>
          </w:p>
        </w:tc>
      </w:tr>
    </w:tbl>
    <w:p>
      <w:pPr>
        <w:spacing w:after="0" w:before="200"/>
      </w:pPr>
      <w:r>
        <w:t xml:space="preserve"/>
      </w:r>
    </w:p>
    <w:p>
      <w:pPr>
        <w:pBdr>
          <w:bottom w:val="single" w:color="BDC3C7" w:sz="2" w:space="1"/>
        </w:pBdr>
        <w:spacing w:after="200" w:before="200"/>
      </w:pPr>
      <w:r>
        <w:t xml:space="preserve"/>
      </w:r>
    </w:p>
    <w:p>
      <w:pPr>
        <w:pStyle w:val="Heading1"/>
        <w:pBdr>
          <w:bottom w:val="single" w:color="D4AC0D" w:sz="6" w:space="6"/>
        </w:pBdr>
        <w:spacing w:after="120" w:before="400"/>
      </w:pPr>
      <w:r>
        <w:rPr>
          <w:rFonts w:ascii="Arial" w:cs="Arial" w:eastAsia="Arial" w:hAnsi="Arial"/>
          <w:b/>
          <w:bCs/>
          <w:color w:val="0D2B55"/>
          <w:sz w:val="30"/>
          <w:szCs w:val="30"/>
        </w:rPr>
        <w:t xml:space="preserve">Part 5 — Visualization Guide: Choosing the Right Chart</w:t>
      </w:r>
    </w:p>
    <w:p>
      <w:pPr>
        <w:spacing w:after="60" w:before="60"/>
      </w:pPr>
      <w:r>
        <w:rPr>
          <w:rFonts w:ascii="Arial" w:cs="Arial" w:eastAsia="Arial" w:hAnsi="Arial"/>
          <w:color w:val="2C3E50"/>
          <w:sz w:val="21"/>
          <w:szCs w:val="21"/>
        </w:rPr>
        <w:t xml:space="preserve">Every chart type communicates a specific type of comparison. Choosing the wrong chart creates confusion; the right chart makes the insight immediate. Here is when to use each chart type and what it reveals in this dataset.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4160"/>
      </w:tblGrid>
      <w:tr>
        <w:trPr>
          <w:tblHeader/>
        </w:trPr>
        <w:tc>
          <w:tcPr>
            <w:tcW w:type="dxa" w:w="1600"/>
            <w:tcBorders>
              <w:top w:val="single" w:color="1A5276" w:sz="1"/>
              <w:left w:val="single" w:color="1A5276" w:sz="1"/>
              <w:bottom w:val="single" w:color="1A5276" w:sz="1"/>
              <w:right w:val="single" w:color="1A5276" w:sz="1"/>
            </w:tcBorders>
            <w:shd w:fill="0D2B55" w:val="clear"/>
            <w:tcMar>
              <w:top w:type="dxa" w:w="80"/>
              <w:left w:type="dxa" w:w="80"/>
              <w:bottom w:type="dxa" w:w="80"/>
              <w:right w:type="dxa" w:w="80"/>
            </w:tcMar>
          </w:tcPr>
          <w:p>
            <w:pPr>
              <w:jc w:val="center"/>
            </w:pPr>
            <w:r>
              <w:rPr>
                <w:rFonts w:ascii="Arial" w:cs="Arial" w:eastAsia="Arial" w:hAnsi="Arial"/>
                <w:b/>
                <w:bCs/>
                <w:color w:val="FFFFFF"/>
                <w:sz w:val="17"/>
                <w:szCs w:val="17"/>
              </w:rPr>
              <w:t xml:space="preserve">Chart Type</w:t>
            </w:r>
          </w:p>
        </w:tc>
        <w:tc>
          <w:tcPr>
            <w:tcW w:type="dxa" w:w="1800"/>
            <w:tcBorders>
              <w:top w:val="single" w:color="1A5276" w:sz="1"/>
              <w:left w:val="single" w:color="1A5276" w:sz="1"/>
              <w:bottom w:val="single" w:color="1A5276" w:sz="1"/>
              <w:right w:val="single" w:color="1A5276" w:sz="1"/>
            </w:tcBorders>
            <w:shd w:fill="0D2B55" w:val="clear"/>
            <w:tcMar>
              <w:top w:type="dxa" w:w="80"/>
              <w:left w:type="dxa" w:w="80"/>
              <w:bottom w:type="dxa" w:w="80"/>
              <w:right w:type="dxa" w:w="80"/>
            </w:tcMar>
          </w:tcPr>
          <w:p>
            <w:pPr>
              <w:jc w:val="center"/>
            </w:pPr>
            <w:r>
              <w:rPr>
                <w:rFonts w:ascii="Arial" w:cs="Arial" w:eastAsia="Arial" w:hAnsi="Arial"/>
                <w:b/>
                <w:bCs/>
                <w:color w:val="FFFFFF"/>
                <w:sz w:val="17"/>
                <w:szCs w:val="17"/>
              </w:rPr>
              <w:t xml:space="preserve">Best For</w:t>
            </w:r>
          </w:p>
        </w:tc>
        <w:tc>
          <w:tcPr>
            <w:tcW w:type="dxa" w:w="1800"/>
            <w:tcBorders>
              <w:top w:val="single" w:color="1A5276" w:sz="1"/>
              <w:left w:val="single" w:color="1A5276" w:sz="1"/>
              <w:bottom w:val="single" w:color="1A5276" w:sz="1"/>
              <w:right w:val="single" w:color="1A5276" w:sz="1"/>
            </w:tcBorders>
            <w:shd w:fill="0D2B55" w:val="clear"/>
            <w:tcMar>
              <w:top w:type="dxa" w:w="80"/>
              <w:left w:type="dxa" w:w="80"/>
              <w:bottom w:type="dxa" w:w="80"/>
              <w:right w:type="dxa" w:w="80"/>
            </w:tcMar>
          </w:tcPr>
          <w:p>
            <w:pPr>
              <w:jc w:val="center"/>
            </w:pPr>
            <w:r>
              <w:rPr>
                <w:rFonts w:ascii="Arial" w:cs="Arial" w:eastAsia="Arial" w:hAnsi="Arial"/>
                <w:b/>
                <w:bCs/>
                <w:color w:val="FFFFFF"/>
                <w:sz w:val="17"/>
                <w:szCs w:val="17"/>
              </w:rPr>
              <w:t xml:space="preserve">Used In Section</w:t>
            </w:r>
          </w:p>
        </w:tc>
        <w:tc>
          <w:tcPr>
            <w:tcW w:type="dxa" w:w="4160"/>
            <w:tcBorders>
              <w:top w:val="single" w:color="1A5276" w:sz="1"/>
              <w:left w:val="single" w:color="1A5276" w:sz="1"/>
              <w:bottom w:val="single" w:color="1A5276" w:sz="1"/>
              <w:right w:val="single" w:color="1A5276" w:sz="1"/>
            </w:tcBorders>
            <w:shd w:fill="0D2B55" w:val="clear"/>
            <w:tcMar>
              <w:top w:type="dxa" w:w="80"/>
              <w:left w:type="dxa" w:w="80"/>
              <w:bottom w:type="dxa" w:w="80"/>
              <w:right w:type="dxa" w:w="80"/>
            </w:tcMar>
          </w:tcPr>
          <w:p>
            <w:pPr>
              <w:jc w:val="center"/>
            </w:pPr>
            <w:r>
              <w:rPr>
                <w:rFonts w:ascii="Arial" w:cs="Arial" w:eastAsia="Arial" w:hAnsi="Arial"/>
                <w:b/>
                <w:bCs/>
                <w:color w:val="FFFFFF"/>
                <w:sz w:val="17"/>
                <w:szCs w:val="17"/>
              </w:rPr>
              <w:t xml:space="preserve">What It Reveals in Jumia Data</w:t>
            </w:r>
          </w:p>
        </w:tc>
      </w:tr>
      <w:tr>
        <w:tc>
          <w:tcPr>
            <w:tcW w:type="dxa" w:w="1600"/>
            <w:tcBorders>
              <w:top w:val="single" w:color="BDC3C7" w:sz="1"/>
              <w:left w:val="single" w:color="BDC3C7" w:sz="1"/>
              <w:bottom w:val="single" w:color="BDC3C7" w:sz="1"/>
              <w:right w:val="single" w:color="BDC3C7" w:sz="1"/>
            </w:tcBorders>
            <w:shd w:fill="FFFFFF" w:val="clear"/>
            <w:tcMar>
              <w:top w:type="dxa" w:w="70"/>
              <w:left w:type="dxa" w:w="80"/>
              <w:bottom w:type="dxa" w:w="70"/>
              <w:right w:type="dxa" w:w="80"/>
            </w:tcMar>
          </w:tcPr>
          <w:p>
            <w:r>
              <w:rPr>
                <w:rFonts w:ascii="Arial" w:cs="Arial" w:eastAsia="Arial" w:hAnsi="Arial"/>
                <w:color w:val="2C3E50"/>
                <w:sz w:val="17"/>
                <w:szCs w:val="17"/>
              </w:rPr>
              <w:t xml:space="preserve">Bar Chart</w:t>
            </w:r>
          </w:p>
        </w:tc>
        <w:tc>
          <w:tcPr>
            <w:tcW w:type="dxa" w:w="1800"/>
            <w:tcBorders>
              <w:top w:val="single" w:color="BDC3C7" w:sz="1"/>
              <w:left w:val="single" w:color="BDC3C7" w:sz="1"/>
              <w:bottom w:val="single" w:color="BDC3C7" w:sz="1"/>
              <w:right w:val="single" w:color="BDC3C7" w:sz="1"/>
            </w:tcBorders>
            <w:shd w:fill="FFFFFF" w:val="clear"/>
            <w:tcMar>
              <w:top w:type="dxa" w:w="70"/>
              <w:left w:type="dxa" w:w="80"/>
              <w:bottom w:type="dxa" w:w="70"/>
              <w:right w:type="dxa" w:w="80"/>
            </w:tcMar>
          </w:tcPr>
          <w:p>
            <w:r>
              <w:rPr>
                <w:rFonts w:ascii="Arial" w:cs="Arial" w:eastAsia="Arial" w:hAnsi="Arial"/>
                <w:color w:val="2C3E50"/>
                <w:sz w:val="17"/>
                <w:szCs w:val="17"/>
              </w:rPr>
              <w:t xml:space="preserve">Comparing a single metric across discrete categories</w:t>
            </w:r>
          </w:p>
        </w:tc>
        <w:tc>
          <w:tcPr>
            <w:tcW w:type="dxa" w:w="1800"/>
            <w:tcBorders>
              <w:top w:val="single" w:color="BDC3C7" w:sz="1"/>
              <w:left w:val="single" w:color="BDC3C7" w:sz="1"/>
              <w:bottom w:val="single" w:color="BDC3C7" w:sz="1"/>
              <w:right w:val="single" w:color="BDC3C7" w:sz="1"/>
            </w:tcBorders>
            <w:shd w:fill="FFFFFF" w:val="clear"/>
            <w:tcMar>
              <w:top w:type="dxa" w:w="70"/>
              <w:left w:type="dxa" w:w="80"/>
              <w:bottom w:type="dxa" w:w="70"/>
              <w:right w:type="dxa" w:w="80"/>
            </w:tcMar>
          </w:tcPr>
          <w:p>
            <w:r>
              <w:rPr>
                <w:rFonts w:ascii="Arial" w:cs="Arial" w:eastAsia="Arial" w:hAnsi="Arial"/>
                <w:color w:val="2C3E50"/>
                <w:sz w:val="17"/>
                <w:szCs w:val="17"/>
              </w:rPr>
              <w:t xml:space="preserve">Section 7 (Revenue by Category, Margin by Category)</w:t>
            </w:r>
          </w:p>
        </w:tc>
        <w:tc>
          <w:tcPr>
            <w:tcW w:type="dxa" w:w="4160"/>
            <w:tcBorders>
              <w:top w:val="single" w:color="BDC3C7" w:sz="1"/>
              <w:left w:val="single" w:color="BDC3C7" w:sz="1"/>
              <w:bottom w:val="single" w:color="BDC3C7" w:sz="1"/>
              <w:right w:val="single" w:color="BDC3C7" w:sz="1"/>
            </w:tcBorders>
            <w:shd w:fill="FFFFFF" w:val="clear"/>
            <w:tcMar>
              <w:top w:type="dxa" w:w="70"/>
              <w:left w:type="dxa" w:w="80"/>
              <w:bottom w:type="dxa" w:w="70"/>
              <w:right w:type="dxa" w:w="80"/>
            </w:tcMar>
          </w:tcPr>
          <w:p>
            <w:r>
              <w:rPr>
                <w:rFonts w:ascii="Arial" w:cs="Arial" w:eastAsia="Arial" w:hAnsi="Arial"/>
                <w:color w:val="2C3E50"/>
                <w:sz w:val="17"/>
                <w:szCs w:val="17"/>
              </w:rPr>
              <w:t xml:space="preserve">Which categories generate the most revenue; which are highest-margin. Horizontal bars better for long category names.</w:t>
            </w:r>
          </w:p>
        </w:tc>
      </w:tr>
      <w:tr>
        <w:tc>
          <w:tcPr>
            <w:tcW w:type="dxa" w:w="1600"/>
            <w:tcBorders>
              <w:top w:val="single" w:color="BDC3C7" w:sz="1"/>
              <w:left w:val="single" w:color="BDC3C7" w:sz="1"/>
              <w:bottom w:val="single" w:color="BDC3C7" w:sz="1"/>
              <w:right w:val="single" w:color="BDC3C7" w:sz="1"/>
            </w:tcBorders>
            <w:shd w:fill="F4F6F8" w:val="clear"/>
            <w:tcMar>
              <w:top w:type="dxa" w:w="70"/>
              <w:left w:type="dxa" w:w="80"/>
              <w:bottom w:type="dxa" w:w="70"/>
              <w:right w:type="dxa" w:w="80"/>
            </w:tcMar>
          </w:tcPr>
          <w:p>
            <w:r>
              <w:rPr>
                <w:rFonts w:ascii="Arial" w:cs="Arial" w:eastAsia="Arial" w:hAnsi="Arial"/>
                <w:color w:val="2C3E50"/>
                <w:sz w:val="17"/>
                <w:szCs w:val="17"/>
              </w:rPr>
              <w:t xml:space="preserve">Line Chart</w:t>
            </w:r>
          </w:p>
        </w:tc>
        <w:tc>
          <w:tcPr>
            <w:tcW w:type="dxa" w:w="1800"/>
            <w:tcBorders>
              <w:top w:val="single" w:color="BDC3C7" w:sz="1"/>
              <w:left w:val="single" w:color="BDC3C7" w:sz="1"/>
              <w:bottom w:val="single" w:color="BDC3C7" w:sz="1"/>
              <w:right w:val="single" w:color="BDC3C7" w:sz="1"/>
            </w:tcBorders>
            <w:shd w:fill="F4F6F8" w:val="clear"/>
            <w:tcMar>
              <w:top w:type="dxa" w:w="70"/>
              <w:left w:type="dxa" w:w="80"/>
              <w:bottom w:type="dxa" w:w="70"/>
              <w:right w:type="dxa" w:w="80"/>
            </w:tcMar>
          </w:tcPr>
          <w:p>
            <w:r>
              <w:rPr>
                <w:rFonts w:ascii="Arial" w:cs="Arial" w:eastAsia="Arial" w:hAnsi="Arial"/>
                <w:color w:val="2C3E50"/>
                <w:sz w:val="17"/>
                <w:szCs w:val="17"/>
              </w:rPr>
              <w:t xml:space="preserve">Showing change over time — trends and seasonality</w:t>
            </w:r>
          </w:p>
        </w:tc>
        <w:tc>
          <w:tcPr>
            <w:tcW w:type="dxa" w:w="1800"/>
            <w:tcBorders>
              <w:top w:val="single" w:color="BDC3C7" w:sz="1"/>
              <w:left w:val="single" w:color="BDC3C7" w:sz="1"/>
              <w:bottom w:val="single" w:color="BDC3C7" w:sz="1"/>
              <w:right w:val="single" w:color="BDC3C7" w:sz="1"/>
            </w:tcBorders>
            <w:shd w:fill="F4F6F8" w:val="clear"/>
            <w:tcMar>
              <w:top w:type="dxa" w:w="70"/>
              <w:left w:type="dxa" w:w="80"/>
              <w:bottom w:type="dxa" w:w="70"/>
              <w:right w:type="dxa" w:w="80"/>
            </w:tcMar>
          </w:tcPr>
          <w:p>
            <w:r>
              <w:rPr>
                <w:rFonts w:ascii="Arial" w:cs="Arial" w:eastAsia="Arial" w:hAnsi="Arial"/>
                <w:color w:val="2C3E50"/>
                <w:sz w:val="17"/>
                <w:szCs w:val="17"/>
              </w:rPr>
              <w:t xml:space="preserve">Section 7 (Monthly Revenue Trend)</w:t>
            </w:r>
          </w:p>
        </w:tc>
        <w:tc>
          <w:tcPr>
            <w:tcW w:type="dxa" w:w="4160"/>
            <w:tcBorders>
              <w:top w:val="single" w:color="BDC3C7" w:sz="1"/>
              <w:left w:val="single" w:color="BDC3C7" w:sz="1"/>
              <w:bottom w:val="single" w:color="BDC3C7" w:sz="1"/>
              <w:right w:val="single" w:color="BDC3C7" w:sz="1"/>
            </w:tcBorders>
            <w:shd w:fill="F4F6F8" w:val="clear"/>
            <w:tcMar>
              <w:top w:type="dxa" w:w="70"/>
              <w:left w:type="dxa" w:w="80"/>
              <w:bottom w:type="dxa" w:w="70"/>
              <w:right w:type="dxa" w:w="80"/>
            </w:tcMar>
          </w:tcPr>
          <w:p>
            <w:r>
              <w:rPr>
                <w:rFonts w:ascii="Arial" w:cs="Arial" w:eastAsia="Arial" w:hAnsi="Arial"/>
                <w:color w:val="2C3E50"/>
                <w:sz w:val="17"/>
                <w:szCs w:val="17"/>
              </w:rPr>
              <w:t xml:space="preserve">Whether Jumia is growing month-over-month; when peak seasons occur (Nov/Dec spikes). fill_between adds visual emphasis.</w:t>
            </w:r>
          </w:p>
        </w:tc>
      </w:tr>
      <w:tr>
        <w:tc>
          <w:tcPr>
            <w:tcW w:type="dxa" w:w="1600"/>
            <w:tcBorders>
              <w:top w:val="single" w:color="BDC3C7" w:sz="1"/>
              <w:left w:val="single" w:color="BDC3C7" w:sz="1"/>
              <w:bottom w:val="single" w:color="BDC3C7" w:sz="1"/>
              <w:right w:val="single" w:color="BDC3C7" w:sz="1"/>
            </w:tcBorders>
            <w:shd w:fill="FFFFFF" w:val="clear"/>
            <w:tcMar>
              <w:top w:type="dxa" w:w="70"/>
              <w:left w:type="dxa" w:w="80"/>
              <w:bottom w:type="dxa" w:w="70"/>
              <w:right w:type="dxa" w:w="80"/>
            </w:tcMar>
          </w:tcPr>
          <w:p>
            <w:r>
              <w:rPr>
                <w:rFonts w:ascii="Arial" w:cs="Arial" w:eastAsia="Arial" w:hAnsi="Arial"/>
                <w:color w:val="2C3E50"/>
                <w:sz w:val="17"/>
                <w:szCs w:val="17"/>
              </w:rPr>
              <w:t xml:space="preserve">Pie / Donut</w:t>
            </w:r>
          </w:p>
        </w:tc>
        <w:tc>
          <w:tcPr>
            <w:tcW w:type="dxa" w:w="1800"/>
            <w:tcBorders>
              <w:top w:val="single" w:color="BDC3C7" w:sz="1"/>
              <w:left w:val="single" w:color="BDC3C7" w:sz="1"/>
              <w:bottom w:val="single" w:color="BDC3C7" w:sz="1"/>
              <w:right w:val="single" w:color="BDC3C7" w:sz="1"/>
            </w:tcBorders>
            <w:shd w:fill="FFFFFF" w:val="clear"/>
            <w:tcMar>
              <w:top w:type="dxa" w:w="70"/>
              <w:left w:type="dxa" w:w="80"/>
              <w:bottom w:type="dxa" w:w="70"/>
              <w:right w:type="dxa" w:w="80"/>
            </w:tcMar>
          </w:tcPr>
          <w:p>
            <w:r>
              <w:rPr>
                <w:rFonts w:ascii="Arial" w:cs="Arial" w:eastAsia="Arial" w:hAnsi="Arial"/>
                <w:color w:val="2C3E50"/>
                <w:sz w:val="17"/>
                <w:szCs w:val="17"/>
              </w:rPr>
              <w:t xml:space="preserve">Showing composition — parts of a whole (adds to 100%)</w:t>
            </w:r>
          </w:p>
        </w:tc>
        <w:tc>
          <w:tcPr>
            <w:tcW w:type="dxa" w:w="1800"/>
            <w:tcBorders>
              <w:top w:val="single" w:color="BDC3C7" w:sz="1"/>
              <w:left w:val="single" w:color="BDC3C7" w:sz="1"/>
              <w:bottom w:val="single" w:color="BDC3C7" w:sz="1"/>
              <w:right w:val="single" w:color="BDC3C7" w:sz="1"/>
            </w:tcBorders>
            <w:shd w:fill="FFFFFF" w:val="clear"/>
            <w:tcMar>
              <w:top w:type="dxa" w:w="70"/>
              <w:left w:type="dxa" w:w="80"/>
              <w:bottom w:type="dxa" w:w="70"/>
              <w:right w:type="dxa" w:w="80"/>
            </w:tcMar>
          </w:tcPr>
          <w:p>
            <w:r>
              <w:rPr>
                <w:rFonts w:ascii="Arial" w:cs="Arial" w:eastAsia="Arial" w:hAnsi="Arial"/>
                <w:color w:val="2C3E50"/>
                <w:sz w:val="17"/>
                <w:szCs w:val="17"/>
              </w:rPr>
              <w:t xml:space="preserve">Section 7 (Payment Methods), Section 9 Dashboard</w:t>
            </w:r>
          </w:p>
        </w:tc>
        <w:tc>
          <w:tcPr>
            <w:tcW w:type="dxa" w:w="4160"/>
            <w:tcBorders>
              <w:top w:val="single" w:color="BDC3C7" w:sz="1"/>
              <w:left w:val="single" w:color="BDC3C7" w:sz="1"/>
              <w:bottom w:val="single" w:color="BDC3C7" w:sz="1"/>
              <w:right w:val="single" w:color="BDC3C7" w:sz="1"/>
            </w:tcBorders>
            <w:shd w:fill="FFFFFF" w:val="clear"/>
            <w:tcMar>
              <w:top w:type="dxa" w:w="70"/>
              <w:left w:type="dxa" w:w="80"/>
              <w:bottom w:type="dxa" w:w="70"/>
              <w:right w:type="dxa" w:w="80"/>
            </w:tcMar>
          </w:tcPr>
          <w:p>
            <w:r>
              <w:rPr>
                <w:rFonts w:ascii="Arial" w:cs="Arial" w:eastAsia="Arial" w:hAnsi="Arial"/>
                <w:color w:val="2C3E50"/>
                <w:sz w:val="17"/>
                <w:szCs w:val="17"/>
              </w:rPr>
              <w:t xml:space="preserve">What fraction of orders use each payment method. The donut variant is cleaner — the hole removes the misleading area encoding.</w:t>
            </w:r>
          </w:p>
        </w:tc>
      </w:tr>
      <w:tr>
        <w:tc>
          <w:tcPr>
            <w:tcW w:type="dxa" w:w="1600"/>
            <w:tcBorders>
              <w:top w:val="single" w:color="BDC3C7" w:sz="1"/>
              <w:left w:val="single" w:color="BDC3C7" w:sz="1"/>
              <w:bottom w:val="single" w:color="BDC3C7" w:sz="1"/>
              <w:right w:val="single" w:color="BDC3C7" w:sz="1"/>
            </w:tcBorders>
            <w:shd w:fill="F4F6F8" w:val="clear"/>
            <w:tcMar>
              <w:top w:type="dxa" w:w="70"/>
              <w:left w:type="dxa" w:w="80"/>
              <w:bottom w:type="dxa" w:w="70"/>
              <w:right w:type="dxa" w:w="80"/>
            </w:tcMar>
          </w:tcPr>
          <w:p>
            <w:r>
              <w:rPr>
                <w:rFonts w:ascii="Arial" w:cs="Arial" w:eastAsia="Arial" w:hAnsi="Arial"/>
                <w:color w:val="2C3E50"/>
                <w:sz w:val="17"/>
                <w:szCs w:val="17"/>
              </w:rPr>
              <w:t xml:space="preserve">Histogram</w:t>
            </w:r>
          </w:p>
        </w:tc>
        <w:tc>
          <w:tcPr>
            <w:tcW w:type="dxa" w:w="1800"/>
            <w:tcBorders>
              <w:top w:val="single" w:color="BDC3C7" w:sz="1"/>
              <w:left w:val="single" w:color="BDC3C7" w:sz="1"/>
              <w:bottom w:val="single" w:color="BDC3C7" w:sz="1"/>
              <w:right w:val="single" w:color="BDC3C7" w:sz="1"/>
            </w:tcBorders>
            <w:shd w:fill="F4F6F8" w:val="clear"/>
            <w:tcMar>
              <w:top w:type="dxa" w:w="70"/>
              <w:left w:type="dxa" w:w="80"/>
              <w:bottom w:type="dxa" w:w="70"/>
              <w:right w:type="dxa" w:w="80"/>
            </w:tcMar>
          </w:tcPr>
          <w:p>
            <w:r>
              <w:rPr>
                <w:rFonts w:ascii="Arial" w:cs="Arial" w:eastAsia="Arial" w:hAnsi="Arial"/>
                <w:color w:val="2C3E50"/>
                <w:sz w:val="17"/>
                <w:szCs w:val="17"/>
              </w:rPr>
              <w:t xml:space="preserve">Showing the distribution of one continuous variable</w:t>
            </w:r>
          </w:p>
        </w:tc>
        <w:tc>
          <w:tcPr>
            <w:tcW w:type="dxa" w:w="1800"/>
            <w:tcBorders>
              <w:top w:val="single" w:color="BDC3C7" w:sz="1"/>
              <w:left w:val="single" w:color="BDC3C7" w:sz="1"/>
              <w:bottom w:val="single" w:color="BDC3C7" w:sz="1"/>
              <w:right w:val="single" w:color="BDC3C7" w:sz="1"/>
            </w:tcBorders>
            <w:shd w:fill="F4F6F8" w:val="clear"/>
            <w:tcMar>
              <w:top w:type="dxa" w:w="70"/>
              <w:left w:type="dxa" w:w="80"/>
              <w:bottom w:type="dxa" w:w="70"/>
              <w:right w:type="dxa" w:w="80"/>
            </w:tcMar>
          </w:tcPr>
          <w:p>
            <w:r>
              <w:rPr>
                <w:rFonts w:ascii="Arial" w:cs="Arial" w:eastAsia="Arial" w:hAnsi="Arial"/>
                <w:color w:val="2C3E50"/>
                <w:sz w:val="17"/>
                <w:szCs w:val="17"/>
              </w:rPr>
              <w:t xml:space="preserve">Section 6 (Revenue, Rating, Discount distributions)</w:t>
            </w:r>
          </w:p>
        </w:tc>
        <w:tc>
          <w:tcPr>
            <w:tcW w:type="dxa" w:w="4160"/>
            <w:tcBorders>
              <w:top w:val="single" w:color="BDC3C7" w:sz="1"/>
              <w:left w:val="single" w:color="BDC3C7" w:sz="1"/>
              <w:bottom w:val="single" w:color="BDC3C7" w:sz="1"/>
              <w:right w:val="single" w:color="BDC3C7" w:sz="1"/>
            </w:tcBorders>
            <w:shd w:fill="F4F6F8" w:val="clear"/>
            <w:tcMar>
              <w:top w:type="dxa" w:w="70"/>
              <w:left w:type="dxa" w:w="80"/>
              <w:bottom w:type="dxa" w:w="70"/>
              <w:right w:type="dxa" w:w="80"/>
            </w:tcMar>
          </w:tcPr>
          <w:p>
            <w:r>
              <w:rPr>
                <w:rFonts w:ascii="Arial" w:cs="Arial" w:eastAsia="Arial" w:hAnsi="Arial"/>
                <w:color w:val="2C3E50"/>
                <w:sz w:val="17"/>
                <w:szCs w:val="17"/>
              </w:rPr>
              <w:t xml:space="preserve">Whether revenue is right-skewed; whether ratings cluster at 4–5; whether discounts are bimodally distributed (0% or round numbers).</w:t>
            </w:r>
          </w:p>
        </w:tc>
      </w:tr>
      <w:tr>
        <w:tc>
          <w:tcPr>
            <w:tcW w:type="dxa" w:w="1600"/>
            <w:tcBorders>
              <w:top w:val="single" w:color="BDC3C7" w:sz="1"/>
              <w:left w:val="single" w:color="BDC3C7" w:sz="1"/>
              <w:bottom w:val="single" w:color="BDC3C7" w:sz="1"/>
              <w:right w:val="single" w:color="BDC3C7" w:sz="1"/>
            </w:tcBorders>
            <w:shd w:fill="FFFFFF" w:val="clear"/>
            <w:tcMar>
              <w:top w:type="dxa" w:w="70"/>
              <w:left w:type="dxa" w:w="80"/>
              <w:bottom w:type="dxa" w:w="70"/>
              <w:right w:type="dxa" w:w="80"/>
            </w:tcMar>
          </w:tcPr>
          <w:p>
            <w:r>
              <w:rPr>
                <w:rFonts w:ascii="Arial" w:cs="Arial" w:eastAsia="Arial" w:hAnsi="Arial"/>
                <w:color w:val="2C3E50"/>
                <w:sz w:val="17"/>
                <w:szCs w:val="17"/>
              </w:rPr>
              <w:t xml:space="preserve">Box Plot</w:t>
            </w:r>
          </w:p>
        </w:tc>
        <w:tc>
          <w:tcPr>
            <w:tcW w:type="dxa" w:w="1800"/>
            <w:tcBorders>
              <w:top w:val="single" w:color="BDC3C7" w:sz="1"/>
              <w:left w:val="single" w:color="BDC3C7" w:sz="1"/>
              <w:bottom w:val="single" w:color="BDC3C7" w:sz="1"/>
              <w:right w:val="single" w:color="BDC3C7" w:sz="1"/>
            </w:tcBorders>
            <w:shd w:fill="FFFFFF" w:val="clear"/>
            <w:tcMar>
              <w:top w:type="dxa" w:w="70"/>
              <w:left w:type="dxa" w:w="80"/>
              <w:bottom w:type="dxa" w:w="70"/>
              <w:right w:type="dxa" w:w="80"/>
            </w:tcMar>
          </w:tcPr>
          <w:p>
            <w:r>
              <w:rPr>
                <w:rFonts w:ascii="Arial" w:cs="Arial" w:eastAsia="Arial" w:hAnsi="Arial"/>
                <w:color w:val="2C3E50"/>
                <w:sz w:val="17"/>
                <w:szCs w:val="17"/>
              </w:rPr>
              <w:t xml:space="preserve">Comparing distributions across groups; showing outliers</w:t>
            </w:r>
          </w:p>
        </w:tc>
        <w:tc>
          <w:tcPr>
            <w:tcW w:type="dxa" w:w="1800"/>
            <w:tcBorders>
              <w:top w:val="single" w:color="BDC3C7" w:sz="1"/>
              <w:left w:val="single" w:color="BDC3C7" w:sz="1"/>
              <w:bottom w:val="single" w:color="BDC3C7" w:sz="1"/>
              <w:right w:val="single" w:color="BDC3C7" w:sz="1"/>
            </w:tcBorders>
            <w:shd w:fill="FFFFFF" w:val="clear"/>
            <w:tcMar>
              <w:top w:type="dxa" w:w="70"/>
              <w:left w:type="dxa" w:w="80"/>
              <w:bottom w:type="dxa" w:w="70"/>
              <w:right w:type="dxa" w:w="80"/>
            </w:tcMar>
          </w:tcPr>
          <w:p>
            <w:r>
              <w:rPr>
                <w:rFonts w:ascii="Arial" w:cs="Arial" w:eastAsia="Arial" w:hAnsi="Arial"/>
                <w:color w:val="2C3E50"/>
                <w:sz w:val="17"/>
                <w:szCs w:val="17"/>
              </w:rPr>
              <w:t xml:space="preserve">Section 7 (Revenue and Rating by Category)</w:t>
            </w:r>
          </w:p>
        </w:tc>
        <w:tc>
          <w:tcPr>
            <w:tcW w:type="dxa" w:w="4160"/>
            <w:tcBorders>
              <w:top w:val="single" w:color="BDC3C7" w:sz="1"/>
              <w:left w:val="single" w:color="BDC3C7" w:sz="1"/>
              <w:bottom w:val="single" w:color="BDC3C7" w:sz="1"/>
              <w:right w:val="single" w:color="BDC3C7" w:sz="1"/>
            </w:tcBorders>
            <w:shd w:fill="FFFFFF" w:val="clear"/>
            <w:tcMar>
              <w:top w:type="dxa" w:w="70"/>
              <w:left w:type="dxa" w:w="80"/>
              <w:bottom w:type="dxa" w:w="70"/>
              <w:right w:type="dxa" w:w="80"/>
            </w:tcMar>
          </w:tcPr>
          <w:p>
            <w:r>
              <w:rPr>
                <w:rFonts w:ascii="Arial" w:cs="Arial" w:eastAsia="Arial" w:hAnsi="Arial"/>
                <w:color w:val="2C3E50"/>
                <w:sz w:val="17"/>
                <w:szCs w:val="17"/>
              </w:rPr>
              <w:t xml:space="preserve">Which categories have the most variable order values; where the typical rating sits per category; which categories have unhappy-customer outliers.</w:t>
            </w:r>
          </w:p>
        </w:tc>
      </w:tr>
      <w:tr>
        <w:tc>
          <w:tcPr>
            <w:tcW w:type="dxa" w:w="1600"/>
            <w:tcBorders>
              <w:top w:val="single" w:color="BDC3C7" w:sz="1"/>
              <w:left w:val="single" w:color="BDC3C7" w:sz="1"/>
              <w:bottom w:val="single" w:color="BDC3C7" w:sz="1"/>
              <w:right w:val="single" w:color="BDC3C7" w:sz="1"/>
            </w:tcBorders>
            <w:shd w:fill="F4F6F8" w:val="clear"/>
            <w:tcMar>
              <w:top w:type="dxa" w:w="70"/>
              <w:left w:type="dxa" w:w="80"/>
              <w:bottom w:type="dxa" w:w="70"/>
              <w:right w:type="dxa" w:w="80"/>
            </w:tcMar>
          </w:tcPr>
          <w:p>
            <w:r>
              <w:rPr>
                <w:rFonts w:ascii="Arial" w:cs="Arial" w:eastAsia="Arial" w:hAnsi="Arial"/>
                <w:color w:val="2C3E50"/>
                <w:sz w:val="17"/>
                <w:szCs w:val="17"/>
              </w:rPr>
              <w:t xml:space="preserve">Scatter Plot</w:t>
            </w:r>
          </w:p>
        </w:tc>
        <w:tc>
          <w:tcPr>
            <w:tcW w:type="dxa" w:w="1800"/>
            <w:tcBorders>
              <w:top w:val="single" w:color="BDC3C7" w:sz="1"/>
              <w:left w:val="single" w:color="BDC3C7" w:sz="1"/>
              <w:bottom w:val="single" w:color="BDC3C7" w:sz="1"/>
              <w:right w:val="single" w:color="BDC3C7" w:sz="1"/>
            </w:tcBorders>
            <w:shd w:fill="F4F6F8" w:val="clear"/>
            <w:tcMar>
              <w:top w:type="dxa" w:w="70"/>
              <w:left w:type="dxa" w:w="80"/>
              <w:bottom w:type="dxa" w:w="70"/>
              <w:right w:type="dxa" w:w="80"/>
            </w:tcMar>
          </w:tcPr>
          <w:p>
            <w:r>
              <w:rPr>
                <w:rFonts w:ascii="Arial" w:cs="Arial" w:eastAsia="Arial" w:hAnsi="Arial"/>
                <w:color w:val="2C3E50"/>
                <w:sz w:val="17"/>
                <w:szCs w:val="17"/>
              </w:rPr>
              <w:t xml:space="preserve">Relationship between two continuous variables</w:t>
            </w:r>
          </w:p>
        </w:tc>
        <w:tc>
          <w:tcPr>
            <w:tcW w:type="dxa" w:w="1800"/>
            <w:tcBorders>
              <w:top w:val="single" w:color="BDC3C7" w:sz="1"/>
              <w:left w:val="single" w:color="BDC3C7" w:sz="1"/>
              <w:bottom w:val="single" w:color="BDC3C7" w:sz="1"/>
              <w:right w:val="single" w:color="BDC3C7" w:sz="1"/>
            </w:tcBorders>
            <w:shd w:fill="F4F6F8" w:val="clear"/>
            <w:tcMar>
              <w:top w:type="dxa" w:w="70"/>
              <w:left w:type="dxa" w:w="80"/>
              <w:bottom w:type="dxa" w:w="70"/>
              <w:right w:type="dxa" w:w="80"/>
            </w:tcMar>
          </w:tcPr>
          <w:p>
            <w:r>
              <w:rPr>
                <w:rFonts w:ascii="Arial" w:cs="Arial" w:eastAsia="Arial" w:hAnsi="Arial"/>
                <w:color w:val="2C3E50"/>
                <w:sz w:val="17"/>
                <w:szCs w:val="17"/>
              </w:rPr>
              <w:t xml:space="preserve">Section 7 (Revenue vs Profit, Discount vs Margin)</w:t>
            </w:r>
          </w:p>
        </w:tc>
        <w:tc>
          <w:tcPr>
            <w:tcW w:type="dxa" w:w="4160"/>
            <w:tcBorders>
              <w:top w:val="single" w:color="BDC3C7" w:sz="1"/>
              <w:left w:val="single" w:color="BDC3C7" w:sz="1"/>
              <w:bottom w:val="single" w:color="BDC3C7" w:sz="1"/>
              <w:right w:val="single" w:color="BDC3C7" w:sz="1"/>
            </w:tcBorders>
            <w:shd w:fill="F4F6F8" w:val="clear"/>
            <w:tcMar>
              <w:top w:type="dxa" w:w="70"/>
              <w:left w:type="dxa" w:w="80"/>
              <w:bottom w:type="dxa" w:w="70"/>
              <w:right w:type="dxa" w:w="80"/>
            </w:tcMar>
          </w:tcPr>
          <w:p>
            <w:r>
              <w:rPr>
                <w:rFonts w:ascii="Arial" w:cs="Arial" w:eastAsia="Arial" w:hAnsi="Arial"/>
                <w:color w:val="2C3E50"/>
                <w:sz w:val="17"/>
                <w:szCs w:val="17"/>
              </w:rPr>
              <w:t xml:space="preserve">Whether more revenue leads to more profit; whether higher discounts reduce margins. Trend line (polyfit) quantifies the relationship direction and strength.</w:t>
            </w:r>
          </w:p>
        </w:tc>
      </w:tr>
      <w:tr>
        <w:tc>
          <w:tcPr>
            <w:tcW w:type="dxa" w:w="1600"/>
            <w:tcBorders>
              <w:top w:val="single" w:color="BDC3C7" w:sz="1"/>
              <w:left w:val="single" w:color="BDC3C7" w:sz="1"/>
              <w:bottom w:val="single" w:color="BDC3C7" w:sz="1"/>
              <w:right w:val="single" w:color="BDC3C7" w:sz="1"/>
            </w:tcBorders>
            <w:shd w:fill="FFFFFF" w:val="clear"/>
            <w:tcMar>
              <w:top w:type="dxa" w:w="70"/>
              <w:left w:type="dxa" w:w="80"/>
              <w:bottom w:type="dxa" w:w="70"/>
              <w:right w:type="dxa" w:w="80"/>
            </w:tcMar>
          </w:tcPr>
          <w:p>
            <w:r>
              <w:rPr>
                <w:rFonts w:ascii="Arial" w:cs="Arial" w:eastAsia="Arial" w:hAnsi="Arial"/>
                <w:color w:val="2C3E50"/>
                <w:sz w:val="17"/>
                <w:szCs w:val="17"/>
              </w:rPr>
              <w:t xml:space="preserve">Heatmap</w:t>
            </w:r>
          </w:p>
        </w:tc>
        <w:tc>
          <w:tcPr>
            <w:tcW w:type="dxa" w:w="1800"/>
            <w:tcBorders>
              <w:top w:val="single" w:color="BDC3C7" w:sz="1"/>
              <w:left w:val="single" w:color="BDC3C7" w:sz="1"/>
              <w:bottom w:val="single" w:color="BDC3C7" w:sz="1"/>
              <w:right w:val="single" w:color="BDC3C7" w:sz="1"/>
            </w:tcBorders>
            <w:shd w:fill="FFFFFF" w:val="clear"/>
            <w:tcMar>
              <w:top w:type="dxa" w:w="70"/>
              <w:left w:type="dxa" w:w="80"/>
              <w:bottom w:type="dxa" w:w="70"/>
              <w:right w:type="dxa" w:w="80"/>
            </w:tcMar>
          </w:tcPr>
          <w:p>
            <w:r>
              <w:rPr>
                <w:rFonts w:ascii="Arial" w:cs="Arial" w:eastAsia="Arial" w:hAnsi="Arial"/>
                <w:color w:val="2C3E50"/>
                <w:sz w:val="17"/>
                <w:szCs w:val="17"/>
              </w:rPr>
              <w:t xml:space="preserve">Showing magnitude of a value across two categorical dimensions</w:t>
            </w:r>
          </w:p>
        </w:tc>
        <w:tc>
          <w:tcPr>
            <w:tcW w:type="dxa" w:w="1800"/>
            <w:tcBorders>
              <w:top w:val="single" w:color="BDC3C7" w:sz="1"/>
              <w:left w:val="single" w:color="BDC3C7" w:sz="1"/>
              <w:bottom w:val="single" w:color="BDC3C7" w:sz="1"/>
              <w:right w:val="single" w:color="BDC3C7" w:sz="1"/>
            </w:tcBorders>
            <w:shd w:fill="FFFFFF" w:val="clear"/>
            <w:tcMar>
              <w:top w:type="dxa" w:w="70"/>
              <w:left w:type="dxa" w:w="80"/>
              <w:bottom w:type="dxa" w:w="70"/>
              <w:right w:type="dxa" w:w="80"/>
            </w:tcMar>
          </w:tcPr>
          <w:p>
            <w:r>
              <w:rPr>
                <w:rFonts w:ascii="Arial" w:cs="Arial" w:eastAsia="Arial" w:hAnsi="Arial"/>
                <w:color w:val="2C3E50"/>
                <w:sz w:val="17"/>
                <w:szCs w:val="17"/>
              </w:rPr>
              <w:t xml:space="preserve">Section 6 (Correlation), Section 9 (Category × Quarter)</w:t>
            </w:r>
          </w:p>
        </w:tc>
        <w:tc>
          <w:tcPr>
            <w:tcW w:type="dxa" w:w="4160"/>
            <w:tcBorders>
              <w:top w:val="single" w:color="BDC3C7" w:sz="1"/>
              <w:left w:val="single" w:color="BDC3C7" w:sz="1"/>
              <w:bottom w:val="single" w:color="BDC3C7" w:sz="1"/>
              <w:right w:val="single" w:color="BDC3C7" w:sz="1"/>
            </w:tcBorders>
            <w:shd w:fill="FFFFFF" w:val="clear"/>
            <w:tcMar>
              <w:top w:type="dxa" w:w="70"/>
              <w:left w:type="dxa" w:w="80"/>
              <w:bottom w:type="dxa" w:w="70"/>
              <w:right w:type="dxa" w:w="80"/>
            </w:tcMar>
          </w:tcPr>
          <w:p>
            <w:r>
              <w:rPr>
                <w:rFonts w:ascii="Arial" w:cs="Arial" w:eastAsia="Arial" w:hAnsi="Arial"/>
                <w:color w:val="2C3E50"/>
                <w:sz w:val="17"/>
                <w:szCs w:val="17"/>
              </w:rPr>
              <w:t xml:space="preserve">Which metrics are most strongly correlated; which category-quarter combinations generate the most revenue.</w:t>
            </w:r>
          </w:p>
        </w:tc>
      </w:tr>
      <w:tr>
        <w:tc>
          <w:tcPr>
            <w:tcW w:type="dxa" w:w="1600"/>
            <w:tcBorders>
              <w:top w:val="single" w:color="BDC3C7" w:sz="1"/>
              <w:left w:val="single" w:color="BDC3C7" w:sz="1"/>
              <w:bottom w:val="single" w:color="BDC3C7" w:sz="1"/>
              <w:right w:val="single" w:color="BDC3C7" w:sz="1"/>
            </w:tcBorders>
            <w:shd w:fill="F4F6F8" w:val="clear"/>
            <w:tcMar>
              <w:top w:type="dxa" w:w="70"/>
              <w:left w:type="dxa" w:w="80"/>
              <w:bottom w:type="dxa" w:w="70"/>
              <w:right w:type="dxa" w:w="80"/>
            </w:tcMar>
          </w:tcPr>
          <w:p>
            <w:r>
              <w:rPr>
                <w:rFonts w:ascii="Arial" w:cs="Arial" w:eastAsia="Arial" w:hAnsi="Arial"/>
                <w:color w:val="2C3E50"/>
                <w:sz w:val="17"/>
                <w:szCs w:val="17"/>
              </w:rPr>
              <w:t xml:space="preserve">Bubble Chart</w:t>
            </w:r>
          </w:p>
        </w:tc>
        <w:tc>
          <w:tcPr>
            <w:tcW w:type="dxa" w:w="1800"/>
            <w:tcBorders>
              <w:top w:val="single" w:color="BDC3C7" w:sz="1"/>
              <w:left w:val="single" w:color="BDC3C7" w:sz="1"/>
              <w:bottom w:val="single" w:color="BDC3C7" w:sz="1"/>
              <w:right w:val="single" w:color="BDC3C7" w:sz="1"/>
            </w:tcBorders>
            <w:shd w:fill="F4F6F8" w:val="clear"/>
            <w:tcMar>
              <w:top w:type="dxa" w:w="70"/>
              <w:left w:type="dxa" w:w="80"/>
              <w:bottom w:type="dxa" w:w="70"/>
              <w:right w:type="dxa" w:w="80"/>
            </w:tcMar>
          </w:tcPr>
          <w:p>
            <w:r>
              <w:rPr>
                <w:rFonts w:ascii="Arial" w:cs="Arial" w:eastAsia="Arial" w:hAnsi="Arial"/>
                <w:color w:val="2C3E50"/>
                <w:sz w:val="17"/>
                <w:szCs w:val="17"/>
              </w:rPr>
              <w:t xml:space="preserve">Three-variable comparison simultaneously</w:t>
            </w:r>
          </w:p>
        </w:tc>
        <w:tc>
          <w:tcPr>
            <w:tcW w:type="dxa" w:w="1800"/>
            <w:tcBorders>
              <w:top w:val="single" w:color="BDC3C7" w:sz="1"/>
              <w:left w:val="single" w:color="BDC3C7" w:sz="1"/>
              <w:bottom w:val="single" w:color="BDC3C7" w:sz="1"/>
              <w:right w:val="single" w:color="BDC3C7" w:sz="1"/>
            </w:tcBorders>
            <w:shd w:fill="F4F6F8" w:val="clear"/>
            <w:tcMar>
              <w:top w:type="dxa" w:w="70"/>
              <w:left w:type="dxa" w:w="80"/>
              <w:bottom w:type="dxa" w:w="70"/>
              <w:right w:type="dxa" w:w="80"/>
            </w:tcMar>
          </w:tcPr>
          <w:p>
            <w:r>
              <w:rPr>
                <w:rFonts w:ascii="Arial" w:cs="Arial" w:eastAsia="Arial" w:hAnsi="Arial"/>
                <w:color w:val="2C3E50"/>
                <w:sz w:val="17"/>
                <w:szCs w:val="17"/>
              </w:rPr>
              <w:t xml:space="preserve">Section 8, Section 9 (Channel: Order Value vs Margin vs Volume)</w:t>
            </w:r>
          </w:p>
        </w:tc>
        <w:tc>
          <w:tcPr>
            <w:tcW w:type="dxa" w:w="4160"/>
            <w:tcBorders>
              <w:top w:val="single" w:color="BDC3C7" w:sz="1"/>
              <w:left w:val="single" w:color="BDC3C7" w:sz="1"/>
              <w:bottom w:val="single" w:color="BDC3C7" w:sz="1"/>
              <w:right w:val="single" w:color="BDC3C7" w:sz="1"/>
            </w:tcBorders>
            <w:shd w:fill="F4F6F8" w:val="clear"/>
            <w:tcMar>
              <w:top w:type="dxa" w:w="70"/>
              <w:left w:type="dxa" w:w="80"/>
              <w:bottom w:type="dxa" w:w="70"/>
              <w:right w:type="dxa" w:w="80"/>
            </w:tcMar>
          </w:tcPr>
          <w:p>
            <w:r>
              <w:rPr>
                <w:rFonts w:ascii="Arial" w:cs="Arial" w:eastAsia="Arial" w:hAnsi="Arial"/>
                <w:color w:val="2C3E50"/>
                <w:sz w:val="17"/>
                <w:szCs w:val="17"/>
              </w:rPr>
              <w:t xml:space="preserve">Which sales channel combines high order value, high margin, AND high volume — all three at once. X-axis + Y-axis + bubble size = three dimensions in one chart.</w:t>
            </w:r>
          </w:p>
        </w:tc>
      </w:tr>
    </w:tbl>
    <w:p>
      <w:pPr>
        <w:spacing w:after="0" w:before="200"/>
      </w:pPr>
      <w:r>
        <w:t xml:space="preserve"/>
      </w:r>
    </w:p>
    <w:p>
      <w:pPr>
        <w:pBdr>
          <w:bottom w:val="single" w:color="BDC3C7" w:sz="2" w:space="1"/>
        </w:pBdr>
        <w:spacing w:after="200" w:before="200"/>
      </w:pPr>
      <w:r>
        <w:t xml:space="preserve"/>
      </w:r>
    </w:p>
    <w:p>
      <w:pPr>
        <w:pStyle w:val="Heading1"/>
        <w:pBdr>
          <w:bottom w:val="single" w:color="D4AC0D" w:sz="6" w:space="6"/>
        </w:pBdr>
        <w:spacing w:after="120" w:before="400"/>
      </w:pPr>
      <w:r>
        <w:rPr>
          <w:rFonts w:ascii="Arial" w:cs="Arial" w:eastAsia="Arial" w:hAnsi="Arial"/>
          <w:b/>
          <w:bCs/>
          <w:color w:val="0D2B55"/>
          <w:sz w:val="30"/>
          <w:szCs w:val="30"/>
        </w:rPr>
        <w:t xml:space="preserve">Part 6 — Business Analytics, KPIs, and the Capstone</w:t>
      </w:r>
    </w:p>
    <w:p>
      <w:pPr>
        <w:pStyle w:val="Heading2"/>
        <w:spacing w:after="100" w:before="280"/>
      </w:pPr>
      <w:r>
        <w:rPr>
          <w:rFonts w:ascii="Arial" w:cs="Arial" w:eastAsia="Arial" w:hAnsi="Arial"/>
          <w:b/>
          <w:bCs/>
          <w:color w:val="1A5276"/>
          <w:sz w:val="26"/>
          <w:szCs w:val="26"/>
        </w:rPr>
        <w:t xml:space="preserve">The 13 KPIs and What They Mean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160"/>
        <w:gridCol w:w="2800"/>
      </w:tblGrid>
      <w:tr>
        <w:trPr>
          <w:tblHeader/>
        </w:trPr>
        <w:tc>
          <w:tcPr>
            <w:tcW w:type="dxa" w:w="2200"/>
            <w:tcBorders>
              <w:top w:val="single" w:color="1A5276" w:sz="1"/>
              <w:left w:val="single" w:color="1A5276" w:sz="1"/>
              <w:bottom w:val="single" w:color="1A5276" w:sz="1"/>
              <w:right w:val="single" w:color="1A5276" w:sz="1"/>
            </w:tcBorders>
            <w:shd w:fill="0D2B55" w:val="clear"/>
            <w:tcMar>
              <w:top w:type="dxa" w:w="80"/>
              <w:left w:type="dxa" w:w="80"/>
              <w:bottom w:type="dxa" w:w="80"/>
              <w:right w:type="dxa" w:w="80"/>
            </w:tcMar>
          </w:tcPr>
          <w:p>
            <w:pPr>
              <w:jc w:val="center"/>
            </w:pPr>
            <w:r>
              <w:rPr>
                <w:rFonts w:ascii="Arial" w:cs="Arial" w:eastAsia="Arial" w:hAnsi="Arial"/>
                <w:b/>
                <w:bCs/>
                <w:color w:val="FFFFFF"/>
                <w:sz w:val="17"/>
                <w:szCs w:val="17"/>
              </w:rPr>
              <w:t xml:space="preserve">KPI</w:t>
            </w:r>
          </w:p>
        </w:tc>
        <w:tc>
          <w:tcPr>
            <w:tcW w:type="dxa" w:w="2200"/>
            <w:tcBorders>
              <w:top w:val="single" w:color="1A5276" w:sz="1"/>
              <w:left w:val="single" w:color="1A5276" w:sz="1"/>
              <w:bottom w:val="single" w:color="1A5276" w:sz="1"/>
              <w:right w:val="single" w:color="1A5276" w:sz="1"/>
            </w:tcBorders>
            <w:shd w:fill="0D2B55" w:val="clear"/>
            <w:tcMar>
              <w:top w:type="dxa" w:w="80"/>
              <w:left w:type="dxa" w:w="80"/>
              <w:bottom w:type="dxa" w:w="80"/>
              <w:right w:type="dxa" w:w="80"/>
            </w:tcMar>
          </w:tcPr>
          <w:p>
            <w:pPr>
              <w:jc w:val="center"/>
            </w:pPr>
            <w:r>
              <w:rPr>
                <w:rFonts w:ascii="Arial" w:cs="Arial" w:eastAsia="Arial" w:hAnsi="Arial"/>
                <w:b/>
                <w:bCs/>
                <w:color w:val="FFFFFF"/>
                <w:sz w:val="17"/>
                <w:szCs w:val="17"/>
              </w:rPr>
              <w:t xml:space="preserve">Formula</w:t>
            </w:r>
          </w:p>
        </w:tc>
        <w:tc>
          <w:tcPr>
            <w:tcW w:type="dxa" w:w="2160"/>
            <w:tcBorders>
              <w:top w:val="single" w:color="1A5276" w:sz="1"/>
              <w:left w:val="single" w:color="1A5276" w:sz="1"/>
              <w:bottom w:val="single" w:color="1A5276" w:sz="1"/>
              <w:right w:val="single" w:color="1A5276" w:sz="1"/>
            </w:tcBorders>
            <w:shd w:fill="0D2B55" w:val="clear"/>
            <w:tcMar>
              <w:top w:type="dxa" w:w="80"/>
              <w:left w:type="dxa" w:w="80"/>
              <w:bottom w:type="dxa" w:w="80"/>
              <w:right w:type="dxa" w:w="80"/>
            </w:tcMar>
          </w:tcPr>
          <w:p>
            <w:pPr>
              <w:jc w:val="center"/>
            </w:pPr>
            <w:r>
              <w:rPr>
                <w:rFonts w:ascii="Arial" w:cs="Arial" w:eastAsia="Arial" w:hAnsi="Arial"/>
                <w:b/>
                <w:bCs/>
                <w:color w:val="FFFFFF"/>
                <w:sz w:val="17"/>
                <w:szCs w:val="17"/>
              </w:rPr>
              <w:t xml:space="preserve">Industry Benchmark</w:t>
            </w:r>
          </w:p>
        </w:tc>
        <w:tc>
          <w:tcPr>
            <w:tcW w:type="dxa" w:w="2800"/>
            <w:tcBorders>
              <w:top w:val="single" w:color="1A5276" w:sz="1"/>
              <w:left w:val="single" w:color="1A5276" w:sz="1"/>
              <w:bottom w:val="single" w:color="1A5276" w:sz="1"/>
              <w:right w:val="single" w:color="1A5276" w:sz="1"/>
            </w:tcBorders>
            <w:shd w:fill="0D2B55" w:val="clear"/>
            <w:tcMar>
              <w:top w:type="dxa" w:w="80"/>
              <w:left w:type="dxa" w:w="80"/>
              <w:bottom w:type="dxa" w:w="80"/>
              <w:right w:type="dxa" w:w="80"/>
            </w:tcMar>
          </w:tcPr>
          <w:p>
            <w:pPr>
              <w:jc w:val="center"/>
            </w:pPr>
            <w:r>
              <w:rPr>
                <w:rFonts w:ascii="Arial" w:cs="Arial" w:eastAsia="Arial" w:hAnsi="Arial"/>
                <w:b/>
                <w:bCs/>
                <w:color w:val="FFFFFF"/>
                <w:sz w:val="17"/>
                <w:szCs w:val="17"/>
              </w:rPr>
              <w:t xml:space="preserve">Business Decision It Informs</w:t>
            </w:r>
          </w:p>
        </w:tc>
      </w:tr>
      <w:tr>
        <w:tc>
          <w:tcPr>
            <w:tcW w:type="dxa" w:w="2200"/>
            <w:tcBorders>
              <w:top w:val="single" w:color="BDC3C7" w:sz="1"/>
              <w:left w:val="single" w:color="BDC3C7" w:sz="1"/>
              <w:bottom w:val="single" w:color="BDC3C7" w:sz="1"/>
              <w:right w:val="single" w:color="BDC3C7" w:sz="1"/>
            </w:tcBorders>
            <w:shd w:fill="FFFFFF" w:val="clear"/>
            <w:tcMar>
              <w:top w:type="dxa" w:w="65"/>
              <w:left w:type="dxa" w:w="80"/>
              <w:bottom w:type="dxa" w:w="65"/>
              <w:right w:type="dxa" w:w="80"/>
            </w:tcMar>
          </w:tcPr>
          <w:p>
            <w:r>
              <w:rPr>
                <w:rFonts w:ascii="Courier New" w:cs="Courier New" w:eastAsia="Courier New" w:hAnsi="Courier New"/>
                <w:b/>
                <w:bCs/>
                <w:color w:val="2C3E50"/>
                <w:sz w:val="15"/>
                <w:szCs w:val="15"/>
              </w:rPr>
              <w:t xml:space="preserve">Total Revenue</w:t>
            </w:r>
          </w:p>
        </w:tc>
        <w:tc>
          <w:tcPr>
            <w:tcW w:type="dxa" w:w="2200"/>
            <w:tcBorders>
              <w:top w:val="single" w:color="BDC3C7" w:sz="1"/>
              <w:left w:val="single" w:color="BDC3C7" w:sz="1"/>
              <w:bottom w:val="single" w:color="BDC3C7" w:sz="1"/>
              <w:right w:val="single" w:color="BDC3C7" w:sz="1"/>
            </w:tcBorders>
            <w:shd w:fill="FFFFFF" w:val="clear"/>
            <w:tcMar>
              <w:top w:type="dxa" w:w="65"/>
              <w:left w:type="dxa" w:w="80"/>
              <w:bottom w:type="dxa" w:w="65"/>
              <w:right w:type="dxa" w:w="80"/>
            </w:tcMar>
          </w:tcPr>
          <w:p>
            <w:r>
              <w:rPr>
                <w:rFonts w:ascii="Arial" w:cs="Arial" w:eastAsia="Arial" w:hAnsi="Arial"/>
                <w:b w:val="false"/>
                <w:bCs w:val="false"/>
                <w:color w:val="2C3E50"/>
                <w:sz w:val="17"/>
                <w:szCs w:val="17"/>
              </w:rPr>
              <w:t xml:space="preserve">SUM(total_revenue)</w:t>
            </w:r>
          </w:p>
        </w:tc>
        <w:tc>
          <w:tcPr>
            <w:tcW w:type="dxa" w:w="2160"/>
            <w:tcBorders>
              <w:top w:val="single" w:color="BDC3C7" w:sz="1"/>
              <w:left w:val="single" w:color="BDC3C7" w:sz="1"/>
              <w:bottom w:val="single" w:color="BDC3C7" w:sz="1"/>
              <w:right w:val="single" w:color="BDC3C7" w:sz="1"/>
            </w:tcBorders>
            <w:shd w:fill="FFFFFF" w:val="clear"/>
            <w:tcMar>
              <w:top w:type="dxa" w:w="65"/>
              <w:left w:type="dxa" w:w="80"/>
              <w:bottom w:type="dxa" w:w="65"/>
              <w:right w:type="dxa" w:w="80"/>
            </w:tcMar>
          </w:tcPr>
          <w:p>
            <w:r>
              <w:rPr>
                <w:rFonts w:ascii="Arial" w:cs="Arial" w:eastAsia="Arial" w:hAnsi="Arial"/>
                <w:b w:val="false"/>
                <w:bCs w:val="false"/>
                <w:color w:val="2C3E50"/>
                <w:sz w:val="17"/>
                <w:szCs w:val="17"/>
              </w:rPr>
              <w:t xml:space="preserve">Context-dependent</w:t>
            </w:r>
          </w:p>
        </w:tc>
        <w:tc>
          <w:tcPr>
            <w:tcW w:type="dxa" w:w="2800"/>
            <w:tcBorders>
              <w:top w:val="single" w:color="BDC3C7" w:sz="1"/>
              <w:left w:val="single" w:color="BDC3C7" w:sz="1"/>
              <w:bottom w:val="single" w:color="BDC3C7" w:sz="1"/>
              <w:right w:val="single" w:color="BDC3C7" w:sz="1"/>
            </w:tcBorders>
            <w:shd w:fill="FFFFFF" w:val="clear"/>
            <w:tcMar>
              <w:top w:type="dxa" w:w="65"/>
              <w:left w:type="dxa" w:w="80"/>
              <w:bottom w:type="dxa" w:w="65"/>
              <w:right w:type="dxa" w:w="80"/>
            </w:tcMar>
          </w:tcPr>
          <w:p>
            <w:r>
              <w:rPr>
                <w:rFonts w:ascii="Arial" w:cs="Arial" w:eastAsia="Arial" w:hAnsi="Arial"/>
                <w:b w:val="false"/>
                <w:bCs w:val="false"/>
                <w:color w:val="2C3E50"/>
                <w:sz w:val="17"/>
                <w:szCs w:val="17"/>
              </w:rPr>
              <w:t xml:space="preserve">Headline business scale. Year-over-year comparison reveals growth rate.</w:t>
            </w:r>
          </w:p>
        </w:tc>
      </w:tr>
      <w:tr>
        <w:tc>
          <w:tcPr>
            <w:tcW w:type="dxa" w:w="2200"/>
            <w:tcBorders>
              <w:top w:val="single" w:color="BDC3C7" w:sz="1"/>
              <w:left w:val="single" w:color="BDC3C7" w:sz="1"/>
              <w:bottom w:val="single" w:color="BDC3C7" w:sz="1"/>
              <w:right w:val="single" w:color="BDC3C7" w:sz="1"/>
            </w:tcBorders>
            <w:shd w:fill="F4F6F8" w:val="clear"/>
            <w:tcMar>
              <w:top w:type="dxa" w:w="65"/>
              <w:left w:type="dxa" w:w="80"/>
              <w:bottom w:type="dxa" w:w="65"/>
              <w:right w:type="dxa" w:w="80"/>
            </w:tcMar>
          </w:tcPr>
          <w:p>
            <w:r>
              <w:rPr>
                <w:rFonts w:ascii="Courier New" w:cs="Courier New" w:eastAsia="Courier New" w:hAnsi="Courier New"/>
                <w:b/>
                <w:bCs/>
                <w:color w:val="2C3E50"/>
                <w:sz w:val="15"/>
                <w:szCs w:val="15"/>
              </w:rPr>
              <w:t xml:space="preserve">Total Profit</w:t>
            </w:r>
          </w:p>
        </w:tc>
        <w:tc>
          <w:tcPr>
            <w:tcW w:type="dxa" w:w="2200"/>
            <w:tcBorders>
              <w:top w:val="single" w:color="BDC3C7" w:sz="1"/>
              <w:left w:val="single" w:color="BDC3C7" w:sz="1"/>
              <w:bottom w:val="single" w:color="BDC3C7" w:sz="1"/>
              <w:right w:val="single" w:color="BDC3C7" w:sz="1"/>
            </w:tcBorders>
            <w:shd w:fill="F4F6F8" w:val="clear"/>
            <w:tcMar>
              <w:top w:type="dxa" w:w="65"/>
              <w:left w:type="dxa" w:w="80"/>
              <w:bottom w:type="dxa" w:w="65"/>
              <w:right w:type="dxa" w:w="80"/>
            </w:tcMar>
          </w:tcPr>
          <w:p>
            <w:r>
              <w:rPr>
                <w:rFonts w:ascii="Arial" w:cs="Arial" w:eastAsia="Arial" w:hAnsi="Arial"/>
                <w:b w:val="false"/>
                <w:bCs w:val="false"/>
                <w:color w:val="2C3E50"/>
                <w:sz w:val="17"/>
                <w:szCs w:val="17"/>
              </w:rPr>
              <w:t xml:space="preserve">SUM(profit)</w:t>
            </w:r>
          </w:p>
        </w:tc>
        <w:tc>
          <w:tcPr>
            <w:tcW w:type="dxa" w:w="2160"/>
            <w:tcBorders>
              <w:top w:val="single" w:color="BDC3C7" w:sz="1"/>
              <w:left w:val="single" w:color="BDC3C7" w:sz="1"/>
              <w:bottom w:val="single" w:color="BDC3C7" w:sz="1"/>
              <w:right w:val="single" w:color="BDC3C7" w:sz="1"/>
            </w:tcBorders>
            <w:shd w:fill="F4F6F8" w:val="clear"/>
            <w:tcMar>
              <w:top w:type="dxa" w:w="65"/>
              <w:left w:type="dxa" w:w="80"/>
              <w:bottom w:type="dxa" w:w="65"/>
              <w:right w:type="dxa" w:w="80"/>
            </w:tcMar>
          </w:tcPr>
          <w:p>
            <w:r>
              <w:rPr>
                <w:rFonts w:ascii="Arial" w:cs="Arial" w:eastAsia="Arial" w:hAnsi="Arial"/>
                <w:b w:val="false"/>
                <w:bCs w:val="false"/>
                <w:color w:val="2C3E50"/>
                <w:sz w:val="17"/>
                <w:szCs w:val="17"/>
              </w:rPr>
              <w:t xml:space="preserve">Context-dependent</w:t>
            </w:r>
          </w:p>
        </w:tc>
        <w:tc>
          <w:tcPr>
            <w:tcW w:type="dxa" w:w="2800"/>
            <w:tcBorders>
              <w:top w:val="single" w:color="BDC3C7" w:sz="1"/>
              <w:left w:val="single" w:color="BDC3C7" w:sz="1"/>
              <w:bottom w:val="single" w:color="BDC3C7" w:sz="1"/>
              <w:right w:val="single" w:color="BDC3C7" w:sz="1"/>
            </w:tcBorders>
            <w:shd w:fill="F4F6F8" w:val="clear"/>
            <w:tcMar>
              <w:top w:type="dxa" w:w="65"/>
              <w:left w:type="dxa" w:w="80"/>
              <w:bottom w:type="dxa" w:w="65"/>
              <w:right w:type="dxa" w:w="80"/>
            </w:tcMar>
          </w:tcPr>
          <w:p>
            <w:r>
              <w:rPr>
                <w:rFonts w:ascii="Arial" w:cs="Arial" w:eastAsia="Arial" w:hAnsi="Arial"/>
                <w:b w:val="false"/>
                <w:bCs w:val="false"/>
                <w:color w:val="2C3E50"/>
                <w:sz w:val="17"/>
                <w:szCs w:val="17"/>
              </w:rPr>
              <w:t xml:space="preserve">Actual money retained after all costs. Revenue without profit is hollow growth.</w:t>
            </w:r>
          </w:p>
        </w:tc>
      </w:tr>
      <w:tr>
        <w:tc>
          <w:tcPr>
            <w:tcW w:type="dxa" w:w="2200"/>
            <w:tcBorders>
              <w:top w:val="single" w:color="BDC3C7" w:sz="1"/>
              <w:left w:val="single" w:color="BDC3C7" w:sz="1"/>
              <w:bottom w:val="single" w:color="BDC3C7" w:sz="1"/>
              <w:right w:val="single" w:color="BDC3C7" w:sz="1"/>
            </w:tcBorders>
            <w:shd w:fill="FFFFFF" w:val="clear"/>
            <w:tcMar>
              <w:top w:type="dxa" w:w="65"/>
              <w:left w:type="dxa" w:w="80"/>
              <w:bottom w:type="dxa" w:w="65"/>
              <w:right w:type="dxa" w:w="80"/>
            </w:tcMar>
          </w:tcPr>
          <w:p>
            <w:r>
              <w:rPr>
                <w:rFonts w:ascii="Courier New" w:cs="Courier New" w:eastAsia="Courier New" w:hAnsi="Courier New"/>
                <w:b/>
                <w:bCs/>
                <w:color w:val="2C3E50"/>
                <w:sz w:val="15"/>
                <w:szCs w:val="15"/>
              </w:rPr>
              <w:t xml:space="preserve">Overall Margin %</w:t>
            </w:r>
          </w:p>
        </w:tc>
        <w:tc>
          <w:tcPr>
            <w:tcW w:type="dxa" w:w="2200"/>
            <w:tcBorders>
              <w:top w:val="single" w:color="BDC3C7" w:sz="1"/>
              <w:left w:val="single" w:color="BDC3C7" w:sz="1"/>
              <w:bottom w:val="single" w:color="BDC3C7" w:sz="1"/>
              <w:right w:val="single" w:color="BDC3C7" w:sz="1"/>
            </w:tcBorders>
            <w:shd w:fill="FFFFFF" w:val="clear"/>
            <w:tcMar>
              <w:top w:type="dxa" w:w="65"/>
              <w:left w:type="dxa" w:w="80"/>
              <w:bottom w:type="dxa" w:w="65"/>
              <w:right w:type="dxa" w:w="80"/>
            </w:tcMar>
          </w:tcPr>
          <w:p>
            <w:r>
              <w:rPr>
                <w:rFonts w:ascii="Arial" w:cs="Arial" w:eastAsia="Arial" w:hAnsi="Arial"/>
                <w:b w:val="false"/>
                <w:bCs w:val="false"/>
                <w:color w:val="2C3E50"/>
                <w:sz w:val="17"/>
                <w:szCs w:val="17"/>
              </w:rPr>
              <w:t xml:space="preserve">MEAN(gross_margin_pct)</w:t>
            </w:r>
          </w:p>
        </w:tc>
        <w:tc>
          <w:tcPr>
            <w:tcW w:type="dxa" w:w="2160"/>
            <w:tcBorders>
              <w:top w:val="single" w:color="BDC3C7" w:sz="1"/>
              <w:left w:val="single" w:color="BDC3C7" w:sz="1"/>
              <w:bottom w:val="single" w:color="BDC3C7" w:sz="1"/>
              <w:right w:val="single" w:color="BDC3C7" w:sz="1"/>
            </w:tcBorders>
            <w:shd w:fill="FFFFFF" w:val="clear"/>
            <w:tcMar>
              <w:top w:type="dxa" w:w="65"/>
              <w:left w:type="dxa" w:w="80"/>
              <w:bottom w:type="dxa" w:w="65"/>
              <w:right w:type="dxa" w:w="80"/>
            </w:tcMar>
          </w:tcPr>
          <w:p>
            <w:r>
              <w:rPr>
                <w:rFonts w:ascii="Arial" w:cs="Arial" w:eastAsia="Arial" w:hAnsi="Arial"/>
                <w:b w:val="false"/>
                <w:bCs w:val="false"/>
                <w:color w:val="2C3E50"/>
                <w:sz w:val="17"/>
                <w:szCs w:val="17"/>
              </w:rPr>
              <w:t xml:space="preserve">20–40% for e-commerce</w:t>
            </w:r>
          </w:p>
        </w:tc>
        <w:tc>
          <w:tcPr>
            <w:tcW w:type="dxa" w:w="2800"/>
            <w:tcBorders>
              <w:top w:val="single" w:color="BDC3C7" w:sz="1"/>
              <w:left w:val="single" w:color="BDC3C7" w:sz="1"/>
              <w:bottom w:val="single" w:color="BDC3C7" w:sz="1"/>
              <w:right w:val="single" w:color="BDC3C7" w:sz="1"/>
            </w:tcBorders>
            <w:shd w:fill="FFFFFF" w:val="clear"/>
            <w:tcMar>
              <w:top w:type="dxa" w:w="65"/>
              <w:left w:type="dxa" w:w="80"/>
              <w:bottom w:type="dxa" w:w="65"/>
              <w:right w:type="dxa" w:w="80"/>
            </w:tcMar>
          </w:tcPr>
          <w:p>
            <w:r>
              <w:rPr>
                <w:rFonts w:ascii="Arial" w:cs="Arial" w:eastAsia="Arial" w:hAnsi="Arial"/>
                <w:b w:val="false"/>
                <w:bCs w:val="false"/>
                <w:color w:val="2C3E50"/>
                <w:sz w:val="17"/>
                <w:szCs w:val="17"/>
              </w:rPr>
              <w:t xml:space="preserve">How efficient is Jumia at converting revenue to profit? Below 15% is a warning.</w:t>
            </w:r>
          </w:p>
        </w:tc>
      </w:tr>
      <w:tr>
        <w:tc>
          <w:tcPr>
            <w:tcW w:type="dxa" w:w="2200"/>
            <w:tcBorders>
              <w:top w:val="single" w:color="BDC3C7" w:sz="1"/>
              <w:left w:val="single" w:color="BDC3C7" w:sz="1"/>
              <w:bottom w:val="single" w:color="BDC3C7" w:sz="1"/>
              <w:right w:val="single" w:color="BDC3C7" w:sz="1"/>
            </w:tcBorders>
            <w:shd w:fill="F4F6F8" w:val="clear"/>
            <w:tcMar>
              <w:top w:type="dxa" w:w="65"/>
              <w:left w:type="dxa" w:w="80"/>
              <w:bottom w:type="dxa" w:w="65"/>
              <w:right w:type="dxa" w:w="80"/>
            </w:tcMar>
          </w:tcPr>
          <w:p>
            <w:r>
              <w:rPr>
                <w:rFonts w:ascii="Courier New" w:cs="Courier New" w:eastAsia="Courier New" w:hAnsi="Courier New"/>
                <w:b/>
                <w:bCs/>
                <w:color w:val="2C3E50"/>
                <w:sz w:val="15"/>
                <w:szCs w:val="15"/>
              </w:rPr>
              <w:t xml:space="preserve">Avg Order Value</w:t>
            </w:r>
          </w:p>
        </w:tc>
        <w:tc>
          <w:tcPr>
            <w:tcW w:type="dxa" w:w="2200"/>
            <w:tcBorders>
              <w:top w:val="single" w:color="BDC3C7" w:sz="1"/>
              <w:left w:val="single" w:color="BDC3C7" w:sz="1"/>
              <w:bottom w:val="single" w:color="BDC3C7" w:sz="1"/>
              <w:right w:val="single" w:color="BDC3C7" w:sz="1"/>
            </w:tcBorders>
            <w:shd w:fill="F4F6F8" w:val="clear"/>
            <w:tcMar>
              <w:top w:type="dxa" w:w="65"/>
              <w:left w:type="dxa" w:w="80"/>
              <w:bottom w:type="dxa" w:w="65"/>
              <w:right w:type="dxa" w:w="80"/>
            </w:tcMar>
          </w:tcPr>
          <w:p>
            <w:r>
              <w:rPr>
                <w:rFonts w:ascii="Arial" w:cs="Arial" w:eastAsia="Arial" w:hAnsi="Arial"/>
                <w:b w:val="false"/>
                <w:bCs w:val="false"/>
                <w:color w:val="2C3E50"/>
                <w:sz w:val="17"/>
                <w:szCs w:val="17"/>
              </w:rPr>
              <w:t xml:space="preserve">MEAN(total_revenue)</w:t>
            </w:r>
          </w:p>
        </w:tc>
        <w:tc>
          <w:tcPr>
            <w:tcW w:type="dxa" w:w="2160"/>
            <w:tcBorders>
              <w:top w:val="single" w:color="BDC3C7" w:sz="1"/>
              <w:left w:val="single" w:color="BDC3C7" w:sz="1"/>
              <w:bottom w:val="single" w:color="BDC3C7" w:sz="1"/>
              <w:right w:val="single" w:color="BDC3C7" w:sz="1"/>
            </w:tcBorders>
            <w:shd w:fill="F4F6F8" w:val="clear"/>
            <w:tcMar>
              <w:top w:type="dxa" w:w="65"/>
              <w:left w:type="dxa" w:w="80"/>
              <w:bottom w:type="dxa" w:w="65"/>
              <w:right w:type="dxa" w:w="80"/>
            </w:tcMar>
          </w:tcPr>
          <w:p>
            <w:r>
              <w:rPr>
                <w:rFonts w:ascii="Arial" w:cs="Arial" w:eastAsia="Arial" w:hAnsi="Arial"/>
                <w:b w:val="false"/>
                <w:bCs w:val="false"/>
                <w:color w:val="2C3E50"/>
                <w:sz w:val="17"/>
                <w:szCs w:val="17"/>
              </w:rPr>
              <w:t xml:space="preserve">₦30K–₦200K (Nigeria)</w:t>
            </w:r>
          </w:p>
        </w:tc>
        <w:tc>
          <w:tcPr>
            <w:tcW w:type="dxa" w:w="2800"/>
            <w:tcBorders>
              <w:top w:val="single" w:color="BDC3C7" w:sz="1"/>
              <w:left w:val="single" w:color="BDC3C7" w:sz="1"/>
              <w:bottom w:val="single" w:color="BDC3C7" w:sz="1"/>
              <w:right w:val="single" w:color="BDC3C7" w:sz="1"/>
            </w:tcBorders>
            <w:shd w:fill="F4F6F8" w:val="clear"/>
            <w:tcMar>
              <w:top w:type="dxa" w:w="65"/>
              <w:left w:type="dxa" w:w="80"/>
              <w:bottom w:type="dxa" w:w="65"/>
              <w:right w:type="dxa" w:w="80"/>
            </w:tcMar>
          </w:tcPr>
          <w:p>
            <w:r>
              <w:rPr>
                <w:rFonts w:ascii="Arial" w:cs="Arial" w:eastAsia="Arial" w:hAnsi="Arial"/>
                <w:b w:val="false"/>
                <w:bCs w:val="false"/>
                <w:color w:val="2C3E50"/>
                <w:sz w:val="17"/>
                <w:szCs w:val="17"/>
              </w:rPr>
              <w:t xml:space="preserve">Higher AOV = more revenue per delivery = lower per-order logistics cost. Trend is more important than absolute value.</w:t>
            </w:r>
          </w:p>
        </w:tc>
      </w:tr>
      <w:tr>
        <w:tc>
          <w:tcPr>
            <w:tcW w:type="dxa" w:w="2200"/>
            <w:tcBorders>
              <w:top w:val="single" w:color="BDC3C7" w:sz="1"/>
              <w:left w:val="single" w:color="BDC3C7" w:sz="1"/>
              <w:bottom w:val="single" w:color="BDC3C7" w:sz="1"/>
              <w:right w:val="single" w:color="BDC3C7" w:sz="1"/>
            </w:tcBorders>
            <w:shd w:fill="FFFFFF" w:val="clear"/>
            <w:tcMar>
              <w:top w:type="dxa" w:w="65"/>
              <w:left w:type="dxa" w:w="80"/>
              <w:bottom w:type="dxa" w:w="65"/>
              <w:right w:type="dxa" w:w="80"/>
            </w:tcMar>
          </w:tcPr>
          <w:p>
            <w:r>
              <w:rPr>
                <w:rFonts w:ascii="Courier New" w:cs="Courier New" w:eastAsia="Courier New" w:hAnsi="Courier New"/>
                <w:b/>
                <w:bCs/>
                <w:color w:val="2C3E50"/>
                <w:sz w:val="15"/>
                <w:szCs w:val="15"/>
              </w:rPr>
              <w:t xml:space="preserve">Delivery Rate %</w:t>
            </w:r>
          </w:p>
        </w:tc>
        <w:tc>
          <w:tcPr>
            <w:tcW w:type="dxa" w:w="2200"/>
            <w:tcBorders>
              <w:top w:val="single" w:color="BDC3C7" w:sz="1"/>
              <w:left w:val="single" w:color="BDC3C7" w:sz="1"/>
              <w:bottom w:val="single" w:color="BDC3C7" w:sz="1"/>
              <w:right w:val="single" w:color="BDC3C7" w:sz="1"/>
            </w:tcBorders>
            <w:shd w:fill="FFFFFF" w:val="clear"/>
            <w:tcMar>
              <w:top w:type="dxa" w:w="65"/>
              <w:left w:type="dxa" w:w="80"/>
              <w:bottom w:type="dxa" w:w="65"/>
              <w:right w:type="dxa" w:w="80"/>
            </w:tcMar>
          </w:tcPr>
          <w:p>
            <w:r>
              <w:rPr>
                <w:rFonts w:ascii="Arial" w:cs="Arial" w:eastAsia="Arial" w:hAnsi="Arial"/>
                <w:b w:val="false"/>
                <w:bCs w:val="false"/>
                <w:color w:val="2C3E50"/>
                <w:sz w:val="17"/>
                <w:szCs w:val="17"/>
              </w:rPr>
              <w:t xml:space="preserve">Delivered / Total × 100</w:t>
            </w:r>
          </w:p>
        </w:tc>
        <w:tc>
          <w:tcPr>
            <w:tcW w:type="dxa" w:w="2160"/>
            <w:tcBorders>
              <w:top w:val="single" w:color="BDC3C7" w:sz="1"/>
              <w:left w:val="single" w:color="BDC3C7" w:sz="1"/>
              <w:bottom w:val="single" w:color="BDC3C7" w:sz="1"/>
              <w:right w:val="single" w:color="BDC3C7" w:sz="1"/>
            </w:tcBorders>
            <w:shd w:fill="FFFFFF" w:val="clear"/>
            <w:tcMar>
              <w:top w:type="dxa" w:w="65"/>
              <w:left w:type="dxa" w:w="80"/>
              <w:bottom w:type="dxa" w:w="65"/>
              <w:right w:type="dxa" w:w="80"/>
            </w:tcMar>
          </w:tcPr>
          <w:p>
            <w:r>
              <w:rPr>
                <w:rFonts w:ascii="Arial" w:cs="Arial" w:eastAsia="Arial" w:hAnsi="Arial"/>
                <w:b w:val="false"/>
                <w:bCs w:val="false"/>
                <w:color w:val="2C3E50"/>
                <w:sz w:val="17"/>
                <w:szCs w:val="17"/>
              </w:rPr>
              <w:t xml:space="preserve">65–75% Nigeria</w:t>
            </w:r>
          </w:p>
        </w:tc>
        <w:tc>
          <w:tcPr>
            <w:tcW w:type="dxa" w:w="2800"/>
            <w:tcBorders>
              <w:top w:val="single" w:color="BDC3C7" w:sz="1"/>
              <w:left w:val="single" w:color="BDC3C7" w:sz="1"/>
              <w:bottom w:val="single" w:color="BDC3C7" w:sz="1"/>
              <w:right w:val="single" w:color="BDC3C7" w:sz="1"/>
            </w:tcBorders>
            <w:shd w:fill="FFFFFF" w:val="clear"/>
            <w:tcMar>
              <w:top w:type="dxa" w:w="65"/>
              <w:left w:type="dxa" w:w="80"/>
              <w:bottom w:type="dxa" w:w="65"/>
              <w:right w:type="dxa" w:w="80"/>
            </w:tcMar>
          </w:tcPr>
          <w:p>
            <w:r>
              <w:rPr>
                <w:rFonts w:ascii="Arial" w:cs="Arial" w:eastAsia="Arial" w:hAnsi="Arial"/>
                <w:b w:val="false"/>
                <w:bCs w:val="false"/>
                <w:color w:val="2C3E50"/>
                <w:sz w:val="17"/>
                <w:szCs w:val="17"/>
              </w:rPr>
              <w:t xml:space="preserve">Core fulfilment metric. Below 60% indicates logistics or supply chain problems.</w:t>
            </w:r>
          </w:p>
        </w:tc>
      </w:tr>
      <w:tr>
        <w:tc>
          <w:tcPr>
            <w:tcW w:type="dxa" w:w="2200"/>
            <w:tcBorders>
              <w:top w:val="single" w:color="BDC3C7" w:sz="1"/>
              <w:left w:val="single" w:color="BDC3C7" w:sz="1"/>
              <w:bottom w:val="single" w:color="BDC3C7" w:sz="1"/>
              <w:right w:val="single" w:color="BDC3C7" w:sz="1"/>
            </w:tcBorders>
            <w:shd w:fill="F4F6F8" w:val="clear"/>
            <w:tcMar>
              <w:top w:type="dxa" w:w="65"/>
              <w:left w:type="dxa" w:w="80"/>
              <w:bottom w:type="dxa" w:w="65"/>
              <w:right w:type="dxa" w:w="80"/>
            </w:tcMar>
          </w:tcPr>
          <w:p>
            <w:r>
              <w:rPr>
                <w:rFonts w:ascii="Courier New" w:cs="Courier New" w:eastAsia="Courier New" w:hAnsi="Courier New"/>
                <w:b/>
                <w:bCs/>
                <w:color w:val="2C3E50"/>
                <w:sz w:val="15"/>
                <w:szCs w:val="15"/>
              </w:rPr>
              <w:t xml:space="preserve">Return Rate %</w:t>
            </w:r>
          </w:p>
        </w:tc>
        <w:tc>
          <w:tcPr>
            <w:tcW w:type="dxa" w:w="2200"/>
            <w:tcBorders>
              <w:top w:val="single" w:color="BDC3C7" w:sz="1"/>
              <w:left w:val="single" w:color="BDC3C7" w:sz="1"/>
              <w:bottom w:val="single" w:color="BDC3C7" w:sz="1"/>
              <w:right w:val="single" w:color="BDC3C7" w:sz="1"/>
            </w:tcBorders>
            <w:shd w:fill="F4F6F8" w:val="clear"/>
            <w:tcMar>
              <w:top w:type="dxa" w:w="65"/>
              <w:left w:type="dxa" w:w="80"/>
              <w:bottom w:type="dxa" w:w="65"/>
              <w:right w:type="dxa" w:w="80"/>
            </w:tcMar>
          </w:tcPr>
          <w:p>
            <w:r>
              <w:rPr>
                <w:rFonts w:ascii="Arial" w:cs="Arial" w:eastAsia="Arial" w:hAnsi="Arial"/>
                <w:b w:val="false"/>
                <w:bCs w:val="false"/>
                <w:color w:val="2C3E50"/>
                <w:sz w:val="17"/>
                <w:szCs w:val="17"/>
              </w:rPr>
              <w:t xml:space="preserve">Returned / Total × 100</w:t>
            </w:r>
          </w:p>
        </w:tc>
        <w:tc>
          <w:tcPr>
            <w:tcW w:type="dxa" w:w="2160"/>
            <w:tcBorders>
              <w:top w:val="single" w:color="BDC3C7" w:sz="1"/>
              <w:left w:val="single" w:color="BDC3C7" w:sz="1"/>
              <w:bottom w:val="single" w:color="BDC3C7" w:sz="1"/>
              <w:right w:val="single" w:color="BDC3C7" w:sz="1"/>
            </w:tcBorders>
            <w:shd w:fill="F4F6F8" w:val="clear"/>
            <w:tcMar>
              <w:top w:type="dxa" w:w="65"/>
              <w:left w:type="dxa" w:w="80"/>
              <w:bottom w:type="dxa" w:w="65"/>
              <w:right w:type="dxa" w:w="80"/>
            </w:tcMar>
          </w:tcPr>
          <w:p>
            <w:r>
              <w:rPr>
                <w:rFonts w:ascii="Arial" w:cs="Arial" w:eastAsia="Arial" w:hAnsi="Arial"/>
                <w:b w:val="false"/>
                <w:bCs w:val="false"/>
                <w:color w:val="2C3E50"/>
                <w:sz w:val="17"/>
                <w:szCs w:val="17"/>
              </w:rPr>
              <w:t xml:space="preserve">&lt;5% healthy</w:t>
            </w:r>
          </w:p>
        </w:tc>
        <w:tc>
          <w:tcPr>
            <w:tcW w:type="dxa" w:w="2800"/>
            <w:tcBorders>
              <w:top w:val="single" w:color="BDC3C7" w:sz="1"/>
              <w:left w:val="single" w:color="BDC3C7" w:sz="1"/>
              <w:bottom w:val="single" w:color="BDC3C7" w:sz="1"/>
              <w:right w:val="single" w:color="BDC3C7" w:sz="1"/>
            </w:tcBorders>
            <w:shd w:fill="F4F6F8" w:val="clear"/>
            <w:tcMar>
              <w:top w:type="dxa" w:w="65"/>
              <w:left w:type="dxa" w:w="80"/>
              <w:bottom w:type="dxa" w:w="65"/>
              <w:right w:type="dxa" w:w="80"/>
            </w:tcMar>
          </w:tcPr>
          <w:p>
            <w:r>
              <w:rPr>
                <w:rFonts w:ascii="Arial" w:cs="Arial" w:eastAsia="Arial" w:hAnsi="Arial"/>
                <w:b w:val="false"/>
                <w:bCs w:val="false"/>
                <w:color w:val="2C3E50"/>
                <w:sz w:val="17"/>
                <w:szCs w:val="17"/>
              </w:rPr>
              <w:t xml:space="preserve">Direct revenue leakage + reverse logistics cost. Above 8% signals product quality or description issues.</w:t>
            </w:r>
          </w:p>
        </w:tc>
      </w:tr>
      <w:tr>
        <w:tc>
          <w:tcPr>
            <w:tcW w:type="dxa" w:w="2200"/>
            <w:tcBorders>
              <w:top w:val="single" w:color="BDC3C7" w:sz="1"/>
              <w:left w:val="single" w:color="BDC3C7" w:sz="1"/>
              <w:bottom w:val="single" w:color="BDC3C7" w:sz="1"/>
              <w:right w:val="single" w:color="BDC3C7" w:sz="1"/>
            </w:tcBorders>
            <w:shd w:fill="FFFFFF" w:val="clear"/>
            <w:tcMar>
              <w:top w:type="dxa" w:w="65"/>
              <w:left w:type="dxa" w:w="80"/>
              <w:bottom w:type="dxa" w:w="65"/>
              <w:right w:type="dxa" w:w="80"/>
            </w:tcMar>
          </w:tcPr>
          <w:p>
            <w:r>
              <w:rPr>
                <w:rFonts w:ascii="Courier New" w:cs="Courier New" w:eastAsia="Courier New" w:hAnsi="Courier New"/>
                <w:b/>
                <w:bCs/>
                <w:color w:val="2C3E50"/>
                <w:sz w:val="15"/>
                <w:szCs w:val="15"/>
              </w:rPr>
              <w:t xml:space="preserve">Unique Customers</w:t>
            </w:r>
          </w:p>
        </w:tc>
        <w:tc>
          <w:tcPr>
            <w:tcW w:type="dxa" w:w="2200"/>
            <w:tcBorders>
              <w:top w:val="single" w:color="BDC3C7" w:sz="1"/>
              <w:left w:val="single" w:color="BDC3C7" w:sz="1"/>
              <w:bottom w:val="single" w:color="BDC3C7" w:sz="1"/>
              <w:right w:val="single" w:color="BDC3C7" w:sz="1"/>
            </w:tcBorders>
            <w:shd w:fill="FFFFFF" w:val="clear"/>
            <w:tcMar>
              <w:top w:type="dxa" w:w="65"/>
              <w:left w:type="dxa" w:w="80"/>
              <w:bottom w:type="dxa" w:w="65"/>
              <w:right w:type="dxa" w:w="80"/>
            </w:tcMar>
          </w:tcPr>
          <w:p>
            <w:r>
              <w:rPr>
                <w:rFonts w:ascii="Arial" w:cs="Arial" w:eastAsia="Arial" w:hAnsi="Arial"/>
                <w:b w:val="false"/>
                <w:bCs w:val="false"/>
                <w:color w:val="2C3E50"/>
                <w:sz w:val="17"/>
                <w:szCs w:val="17"/>
              </w:rPr>
              <w:t xml:space="preserve">COUNT DISTINCT customer_id</w:t>
            </w:r>
          </w:p>
        </w:tc>
        <w:tc>
          <w:tcPr>
            <w:tcW w:type="dxa" w:w="2160"/>
            <w:tcBorders>
              <w:top w:val="single" w:color="BDC3C7" w:sz="1"/>
              <w:left w:val="single" w:color="BDC3C7" w:sz="1"/>
              <w:bottom w:val="single" w:color="BDC3C7" w:sz="1"/>
              <w:right w:val="single" w:color="BDC3C7" w:sz="1"/>
            </w:tcBorders>
            <w:shd w:fill="FFFFFF" w:val="clear"/>
            <w:tcMar>
              <w:top w:type="dxa" w:w="65"/>
              <w:left w:type="dxa" w:w="80"/>
              <w:bottom w:type="dxa" w:w="65"/>
              <w:right w:type="dxa" w:w="80"/>
            </w:tcMar>
          </w:tcPr>
          <w:p>
            <w:r>
              <w:rPr>
                <w:rFonts w:ascii="Arial" w:cs="Arial" w:eastAsia="Arial" w:hAnsi="Arial"/>
                <w:b w:val="false"/>
                <w:bCs w:val="false"/>
                <w:color w:val="2C3E50"/>
                <w:sz w:val="17"/>
                <w:szCs w:val="17"/>
              </w:rPr>
              <w:t xml:space="preserve">Context-dependent</w:t>
            </w:r>
          </w:p>
        </w:tc>
        <w:tc>
          <w:tcPr>
            <w:tcW w:type="dxa" w:w="2800"/>
            <w:tcBorders>
              <w:top w:val="single" w:color="BDC3C7" w:sz="1"/>
              <w:left w:val="single" w:color="BDC3C7" w:sz="1"/>
              <w:bottom w:val="single" w:color="BDC3C7" w:sz="1"/>
              <w:right w:val="single" w:color="BDC3C7" w:sz="1"/>
            </w:tcBorders>
            <w:shd w:fill="FFFFFF" w:val="clear"/>
            <w:tcMar>
              <w:top w:type="dxa" w:w="65"/>
              <w:left w:type="dxa" w:w="80"/>
              <w:bottom w:type="dxa" w:w="65"/>
              <w:right w:type="dxa" w:w="80"/>
            </w:tcMar>
          </w:tcPr>
          <w:p>
            <w:r>
              <w:rPr>
                <w:rFonts w:ascii="Arial" w:cs="Arial" w:eastAsia="Arial" w:hAnsi="Arial"/>
                <w:b w:val="false"/>
                <w:bCs w:val="false"/>
                <w:color w:val="2C3E50"/>
                <w:sz w:val="17"/>
                <w:szCs w:val="17"/>
              </w:rPr>
              <w:t xml:space="preserve">Customer base size. Growing unique customers = market expansion. Flat = churn offsetting acquisition.</w:t>
            </w:r>
          </w:p>
        </w:tc>
      </w:tr>
      <w:tr>
        <w:tc>
          <w:tcPr>
            <w:tcW w:type="dxa" w:w="2200"/>
            <w:tcBorders>
              <w:top w:val="single" w:color="BDC3C7" w:sz="1"/>
              <w:left w:val="single" w:color="BDC3C7" w:sz="1"/>
              <w:bottom w:val="single" w:color="BDC3C7" w:sz="1"/>
              <w:right w:val="single" w:color="BDC3C7" w:sz="1"/>
            </w:tcBorders>
            <w:shd w:fill="F4F6F8" w:val="clear"/>
            <w:tcMar>
              <w:top w:type="dxa" w:w="65"/>
              <w:left w:type="dxa" w:w="80"/>
              <w:bottom w:type="dxa" w:w="65"/>
              <w:right w:type="dxa" w:w="80"/>
            </w:tcMar>
          </w:tcPr>
          <w:p>
            <w:r>
              <w:rPr>
                <w:rFonts w:ascii="Courier New" w:cs="Courier New" w:eastAsia="Courier New" w:hAnsi="Courier New"/>
                <w:b/>
                <w:bCs/>
                <w:color w:val="2C3E50"/>
                <w:sz w:val="15"/>
                <w:szCs w:val="15"/>
              </w:rPr>
              <w:t xml:space="preserve">Repeat Rate %</w:t>
            </w:r>
          </w:p>
        </w:tc>
        <w:tc>
          <w:tcPr>
            <w:tcW w:type="dxa" w:w="2200"/>
            <w:tcBorders>
              <w:top w:val="single" w:color="BDC3C7" w:sz="1"/>
              <w:left w:val="single" w:color="BDC3C7" w:sz="1"/>
              <w:bottom w:val="single" w:color="BDC3C7" w:sz="1"/>
              <w:right w:val="single" w:color="BDC3C7" w:sz="1"/>
            </w:tcBorders>
            <w:shd w:fill="F4F6F8" w:val="clear"/>
            <w:tcMar>
              <w:top w:type="dxa" w:w="65"/>
              <w:left w:type="dxa" w:w="80"/>
              <w:bottom w:type="dxa" w:w="65"/>
              <w:right w:type="dxa" w:w="80"/>
            </w:tcMar>
          </w:tcPr>
          <w:p>
            <w:r>
              <w:rPr>
                <w:rFonts w:ascii="Arial" w:cs="Arial" w:eastAsia="Arial" w:hAnsi="Arial"/>
                <w:b w:val="false"/>
                <w:bCs w:val="false"/>
                <w:color w:val="2C3E50"/>
                <w:sz w:val="17"/>
                <w:szCs w:val="17"/>
              </w:rPr>
              <w:t xml:space="preserve">is_repeat_customer MEAN × 100</w:t>
            </w:r>
          </w:p>
        </w:tc>
        <w:tc>
          <w:tcPr>
            <w:tcW w:type="dxa" w:w="2160"/>
            <w:tcBorders>
              <w:top w:val="single" w:color="BDC3C7" w:sz="1"/>
              <w:left w:val="single" w:color="BDC3C7" w:sz="1"/>
              <w:bottom w:val="single" w:color="BDC3C7" w:sz="1"/>
              <w:right w:val="single" w:color="BDC3C7" w:sz="1"/>
            </w:tcBorders>
            <w:shd w:fill="F4F6F8" w:val="clear"/>
            <w:tcMar>
              <w:top w:type="dxa" w:w="65"/>
              <w:left w:type="dxa" w:w="80"/>
              <w:bottom w:type="dxa" w:w="65"/>
              <w:right w:type="dxa" w:w="80"/>
            </w:tcMar>
          </w:tcPr>
          <w:p>
            <w:r>
              <w:rPr>
                <w:rFonts w:ascii="Arial" w:cs="Arial" w:eastAsia="Arial" w:hAnsi="Arial"/>
                <w:b w:val="false"/>
                <w:bCs w:val="false"/>
                <w:color w:val="2C3E50"/>
                <w:sz w:val="17"/>
                <w:szCs w:val="17"/>
              </w:rPr>
              <w:t xml:space="preserve">30–40% e-commerce</w:t>
            </w:r>
          </w:p>
        </w:tc>
        <w:tc>
          <w:tcPr>
            <w:tcW w:type="dxa" w:w="2800"/>
            <w:tcBorders>
              <w:top w:val="single" w:color="BDC3C7" w:sz="1"/>
              <w:left w:val="single" w:color="BDC3C7" w:sz="1"/>
              <w:bottom w:val="single" w:color="BDC3C7" w:sz="1"/>
              <w:right w:val="single" w:color="BDC3C7" w:sz="1"/>
            </w:tcBorders>
            <w:shd w:fill="F4F6F8" w:val="clear"/>
            <w:tcMar>
              <w:top w:type="dxa" w:w="65"/>
              <w:left w:type="dxa" w:w="80"/>
              <w:bottom w:type="dxa" w:w="65"/>
              <w:right w:type="dxa" w:w="80"/>
            </w:tcMar>
          </w:tcPr>
          <w:p>
            <w:r>
              <w:rPr>
                <w:rFonts w:ascii="Arial" w:cs="Arial" w:eastAsia="Arial" w:hAnsi="Arial"/>
                <w:b w:val="false"/>
                <w:bCs w:val="false"/>
                <w:color w:val="2C3E50"/>
                <w:sz w:val="17"/>
                <w:szCs w:val="17"/>
              </w:rPr>
              <w:t xml:space="preserve">Customer loyalty measure. Repeat buyers have zero acquisition cost — increasing this is the highest ROI growth lever.</w:t>
            </w:r>
          </w:p>
        </w:tc>
      </w:tr>
      <w:tr>
        <w:tc>
          <w:tcPr>
            <w:tcW w:type="dxa" w:w="2200"/>
            <w:tcBorders>
              <w:top w:val="single" w:color="BDC3C7" w:sz="1"/>
              <w:left w:val="single" w:color="BDC3C7" w:sz="1"/>
              <w:bottom w:val="single" w:color="BDC3C7" w:sz="1"/>
              <w:right w:val="single" w:color="BDC3C7" w:sz="1"/>
            </w:tcBorders>
            <w:shd w:fill="FFFFFF" w:val="clear"/>
            <w:tcMar>
              <w:top w:type="dxa" w:w="65"/>
              <w:left w:type="dxa" w:w="80"/>
              <w:bottom w:type="dxa" w:w="65"/>
              <w:right w:type="dxa" w:w="80"/>
            </w:tcMar>
          </w:tcPr>
          <w:p>
            <w:r>
              <w:rPr>
                <w:rFonts w:ascii="Courier New" w:cs="Courier New" w:eastAsia="Courier New" w:hAnsi="Courier New"/>
                <w:b/>
                <w:bCs/>
                <w:color w:val="2C3E50"/>
                <w:sz w:val="15"/>
                <w:szCs w:val="15"/>
              </w:rPr>
              <w:t xml:space="preserve">Avg Customer Rating</w:t>
            </w:r>
          </w:p>
        </w:tc>
        <w:tc>
          <w:tcPr>
            <w:tcW w:type="dxa" w:w="2200"/>
            <w:tcBorders>
              <w:top w:val="single" w:color="BDC3C7" w:sz="1"/>
              <w:left w:val="single" w:color="BDC3C7" w:sz="1"/>
              <w:bottom w:val="single" w:color="BDC3C7" w:sz="1"/>
              <w:right w:val="single" w:color="BDC3C7" w:sz="1"/>
            </w:tcBorders>
            <w:shd w:fill="FFFFFF" w:val="clear"/>
            <w:tcMar>
              <w:top w:type="dxa" w:w="65"/>
              <w:left w:type="dxa" w:w="80"/>
              <w:bottom w:type="dxa" w:w="65"/>
              <w:right w:type="dxa" w:w="80"/>
            </w:tcMar>
          </w:tcPr>
          <w:p>
            <w:r>
              <w:rPr>
                <w:rFonts w:ascii="Arial" w:cs="Arial" w:eastAsia="Arial" w:hAnsi="Arial"/>
                <w:b w:val="false"/>
                <w:bCs w:val="false"/>
                <w:color w:val="2C3E50"/>
                <w:sz w:val="17"/>
                <w:szCs w:val="17"/>
              </w:rPr>
              <w:t xml:space="preserve">MEAN(customer_rating)</w:t>
            </w:r>
          </w:p>
        </w:tc>
        <w:tc>
          <w:tcPr>
            <w:tcW w:type="dxa" w:w="2160"/>
            <w:tcBorders>
              <w:top w:val="single" w:color="BDC3C7" w:sz="1"/>
              <w:left w:val="single" w:color="BDC3C7" w:sz="1"/>
              <w:bottom w:val="single" w:color="BDC3C7" w:sz="1"/>
              <w:right w:val="single" w:color="BDC3C7" w:sz="1"/>
            </w:tcBorders>
            <w:shd w:fill="FFFFFF" w:val="clear"/>
            <w:tcMar>
              <w:top w:type="dxa" w:w="65"/>
              <w:left w:type="dxa" w:w="80"/>
              <w:bottom w:type="dxa" w:w="65"/>
              <w:right w:type="dxa" w:w="80"/>
            </w:tcMar>
          </w:tcPr>
          <w:p>
            <w:r>
              <w:rPr>
                <w:rFonts w:ascii="Arial" w:cs="Arial" w:eastAsia="Arial" w:hAnsi="Arial"/>
                <w:b w:val="false"/>
                <w:bCs w:val="false"/>
                <w:color w:val="2C3E50"/>
                <w:sz w:val="17"/>
                <w:szCs w:val="17"/>
              </w:rPr>
              <w:t xml:space="preserve">≥4.0 benchmark</w:t>
            </w:r>
          </w:p>
        </w:tc>
        <w:tc>
          <w:tcPr>
            <w:tcW w:type="dxa" w:w="2800"/>
            <w:tcBorders>
              <w:top w:val="single" w:color="BDC3C7" w:sz="1"/>
              <w:left w:val="single" w:color="BDC3C7" w:sz="1"/>
              <w:bottom w:val="single" w:color="BDC3C7" w:sz="1"/>
              <w:right w:val="single" w:color="BDC3C7" w:sz="1"/>
            </w:tcBorders>
            <w:shd w:fill="FFFFFF" w:val="clear"/>
            <w:tcMar>
              <w:top w:type="dxa" w:w="65"/>
              <w:left w:type="dxa" w:w="80"/>
              <w:bottom w:type="dxa" w:w="65"/>
              <w:right w:type="dxa" w:w="80"/>
            </w:tcMar>
          </w:tcPr>
          <w:p>
            <w:r>
              <w:rPr>
                <w:rFonts w:ascii="Arial" w:cs="Arial" w:eastAsia="Arial" w:hAnsi="Arial"/>
                <w:b w:val="false"/>
                <w:bCs w:val="false"/>
                <w:color w:val="2C3E50"/>
                <w:sz w:val="17"/>
                <w:szCs w:val="17"/>
              </w:rPr>
              <w:t xml:space="preserve">Overall customer satisfaction. Below 4.0 triggers a mandatory quality investigation.</w:t>
            </w:r>
          </w:p>
        </w:tc>
      </w:tr>
      <w:tr>
        <w:tc>
          <w:tcPr>
            <w:tcW w:type="dxa" w:w="2200"/>
            <w:tcBorders>
              <w:top w:val="single" w:color="BDC3C7" w:sz="1"/>
              <w:left w:val="single" w:color="BDC3C7" w:sz="1"/>
              <w:bottom w:val="single" w:color="BDC3C7" w:sz="1"/>
              <w:right w:val="single" w:color="BDC3C7" w:sz="1"/>
            </w:tcBorders>
            <w:shd w:fill="F4F6F8" w:val="clear"/>
            <w:tcMar>
              <w:top w:type="dxa" w:w="65"/>
              <w:left w:type="dxa" w:w="80"/>
              <w:bottom w:type="dxa" w:w="65"/>
              <w:right w:type="dxa" w:w="80"/>
            </w:tcMar>
          </w:tcPr>
          <w:p>
            <w:r>
              <w:rPr>
                <w:rFonts w:ascii="Courier New" w:cs="Courier New" w:eastAsia="Courier New" w:hAnsi="Courier New"/>
                <w:b/>
                <w:bCs/>
                <w:color w:val="2C3E50"/>
                <w:sz w:val="15"/>
                <w:szCs w:val="15"/>
              </w:rPr>
              <w:t xml:space="preserve">Avg Delivery Days</w:t>
            </w:r>
          </w:p>
        </w:tc>
        <w:tc>
          <w:tcPr>
            <w:tcW w:type="dxa" w:w="2200"/>
            <w:tcBorders>
              <w:top w:val="single" w:color="BDC3C7" w:sz="1"/>
              <w:left w:val="single" w:color="BDC3C7" w:sz="1"/>
              <w:bottom w:val="single" w:color="BDC3C7" w:sz="1"/>
              <w:right w:val="single" w:color="BDC3C7" w:sz="1"/>
            </w:tcBorders>
            <w:shd w:fill="F4F6F8" w:val="clear"/>
            <w:tcMar>
              <w:top w:type="dxa" w:w="65"/>
              <w:left w:type="dxa" w:w="80"/>
              <w:bottom w:type="dxa" w:w="65"/>
              <w:right w:type="dxa" w:w="80"/>
            </w:tcMar>
          </w:tcPr>
          <w:p>
            <w:r>
              <w:rPr>
                <w:rFonts w:ascii="Arial" w:cs="Arial" w:eastAsia="Arial" w:hAnsi="Arial"/>
                <w:b w:val="false"/>
                <w:bCs w:val="false"/>
                <w:color w:val="2C3E50"/>
                <w:sz w:val="17"/>
                <w:szCs w:val="17"/>
              </w:rPr>
              <w:t xml:space="preserve">MEAN(delivery_days)</w:t>
            </w:r>
          </w:p>
        </w:tc>
        <w:tc>
          <w:tcPr>
            <w:tcW w:type="dxa" w:w="2160"/>
            <w:tcBorders>
              <w:top w:val="single" w:color="BDC3C7" w:sz="1"/>
              <w:left w:val="single" w:color="BDC3C7" w:sz="1"/>
              <w:bottom w:val="single" w:color="BDC3C7" w:sz="1"/>
              <w:right w:val="single" w:color="BDC3C7" w:sz="1"/>
            </w:tcBorders>
            <w:shd w:fill="F4F6F8" w:val="clear"/>
            <w:tcMar>
              <w:top w:type="dxa" w:w="65"/>
              <w:left w:type="dxa" w:w="80"/>
              <w:bottom w:type="dxa" w:w="65"/>
              <w:right w:type="dxa" w:w="80"/>
            </w:tcMar>
          </w:tcPr>
          <w:p>
            <w:r>
              <w:rPr>
                <w:rFonts w:ascii="Arial" w:cs="Arial" w:eastAsia="Arial" w:hAnsi="Arial"/>
                <w:b w:val="false"/>
                <w:bCs w:val="false"/>
                <w:color w:val="2C3E50"/>
                <w:sz w:val="17"/>
                <w:szCs w:val="17"/>
              </w:rPr>
              <w:t xml:space="preserve">≤5 days Nigeria</w:t>
            </w:r>
          </w:p>
        </w:tc>
        <w:tc>
          <w:tcPr>
            <w:tcW w:type="dxa" w:w="2800"/>
            <w:tcBorders>
              <w:top w:val="single" w:color="BDC3C7" w:sz="1"/>
              <w:left w:val="single" w:color="BDC3C7" w:sz="1"/>
              <w:bottom w:val="single" w:color="BDC3C7" w:sz="1"/>
              <w:right w:val="single" w:color="BDC3C7" w:sz="1"/>
            </w:tcBorders>
            <w:shd w:fill="F4F6F8" w:val="clear"/>
            <w:tcMar>
              <w:top w:type="dxa" w:w="65"/>
              <w:left w:type="dxa" w:w="80"/>
              <w:bottom w:type="dxa" w:w="65"/>
              <w:right w:type="dxa" w:w="80"/>
            </w:tcMar>
          </w:tcPr>
          <w:p>
            <w:r>
              <w:rPr>
                <w:rFonts w:ascii="Arial" w:cs="Arial" w:eastAsia="Arial" w:hAnsi="Arial"/>
                <w:b w:val="false"/>
                <w:bCs w:val="false"/>
                <w:color w:val="2C3E50"/>
                <w:sz w:val="17"/>
                <w:szCs w:val="17"/>
              </w:rPr>
              <w:t xml:space="preserve">Delivery speed directly affects ratings and repeat purchase rates. Each day reduction improves NPS.</w:t>
            </w:r>
          </w:p>
        </w:tc>
      </w:tr>
      <w:tr>
        <w:tc>
          <w:tcPr>
            <w:tcW w:type="dxa" w:w="2200"/>
            <w:tcBorders>
              <w:top w:val="single" w:color="BDC3C7" w:sz="1"/>
              <w:left w:val="single" w:color="BDC3C7" w:sz="1"/>
              <w:bottom w:val="single" w:color="BDC3C7" w:sz="1"/>
              <w:right w:val="single" w:color="BDC3C7" w:sz="1"/>
            </w:tcBorders>
            <w:shd w:fill="FFFFFF" w:val="clear"/>
            <w:tcMar>
              <w:top w:type="dxa" w:w="65"/>
              <w:left w:type="dxa" w:w="80"/>
              <w:bottom w:type="dxa" w:w="65"/>
              <w:right w:type="dxa" w:w="80"/>
            </w:tcMar>
          </w:tcPr>
          <w:p>
            <w:r>
              <w:rPr>
                <w:rFonts w:ascii="Courier New" w:cs="Courier New" w:eastAsia="Courier New" w:hAnsi="Courier New"/>
                <w:b/>
                <w:bCs/>
                <w:color w:val="2C3E50"/>
                <w:sz w:val="15"/>
                <w:szCs w:val="15"/>
              </w:rPr>
              <w:t xml:space="preserve">Discounted Orders %</w:t>
            </w:r>
          </w:p>
        </w:tc>
        <w:tc>
          <w:tcPr>
            <w:tcW w:type="dxa" w:w="2200"/>
            <w:tcBorders>
              <w:top w:val="single" w:color="BDC3C7" w:sz="1"/>
              <w:left w:val="single" w:color="BDC3C7" w:sz="1"/>
              <w:bottom w:val="single" w:color="BDC3C7" w:sz="1"/>
              <w:right w:val="single" w:color="BDC3C7" w:sz="1"/>
            </w:tcBorders>
            <w:shd w:fill="FFFFFF" w:val="clear"/>
            <w:tcMar>
              <w:top w:type="dxa" w:w="65"/>
              <w:left w:type="dxa" w:w="80"/>
              <w:bottom w:type="dxa" w:w="65"/>
              <w:right w:type="dxa" w:w="80"/>
            </w:tcMar>
          </w:tcPr>
          <w:p>
            <w:r>
              <w:rPr>
                <w:rFonts w:ascii="Arial" w:cs="Arial" w:eastAsia="Arial" w:hAnsi="Arial"/>
                <w:b w:val="false"/>
                <w:bCs w:val="false"/>
                <w:color w:val="2C3E50"/>
                <w:sz w:val="17"/>
                <w:szCs w:val="17"/>
              </w:rPr>
              <w:t xml:space="preserve">(discount&gt;0) / Total × 100</w:t>
            </w:r>
          </w:p>
        </w:tc>
        <w:tc>
          <w:tcPr>
            <w:tcW w:type="dxa" w:w="2160"/>
            <w:tcBorders>
              <w:top w:val="single" w:color="BDC3C7" w:sz="1"/>
              <w:left w:val="single" w:color="BDC3C7" w:sz="1"/>
              <w:bottom w:val="single" w:color="BDC3C7" w:sz="1"/>
              <w:right w:val="single" w:color="BDC3C7" w:sz="1"/>
            </w:tcBorders>
            <w:shd w:fill="FFFFFF" w:val="clear"/>
            <w:tcMar>
              <w:top w:type="dxa" w:w="65"/>
              <w:left w:type="dxa" w:w="80"/>
              <w:bottom w:type="dxa" w:w="65"/>
              <w:right w:type="dxa" w:w="80"/>
            </w:tcMar>
          </w:tcPr>
          <w:p>
            <w:r>
              <w:rPr>
                <w:rFonts w:ascii="Arial" w:cs="Arial" w:eastAsia="Arial" w:hAnsi="Arial"/>
                <w:b w:val="false"/>
                <w:bCs w:val="false"/>
                <w:color w:val="2C3E50"/>
                <w:sz w:val="17"/>
                <w:szCs w:val="17"/>
              </w:rPr>
              <w:t xml:space="preserve">25–35% during promo seasons</w:t>
            </w:r>
          </w:p>
        </w:tc>
        <w:tc>
          <w:tcPr>
            <w:tcW w:type="dxa" w:w="2800"/>
            <w:tcBorders>
              <w:top w:val="single" w:color="BDC3C7" w:sz="1"/>
              <w:left w:val="single" w:color="BDC3C7" w:sz="1"/>
              <w:bottom w:val="single" w:color="BDC3C7" w:sz="1"/>
              <w:right w:val="single" w:color="BDC3C7" w:sz="1"/>
            </w:tcBorders>
            <w:shd w:fill="FFFFFF" w:val="clear"/>
            <w:tcMar>
              <w:top w:type="dxa" w:w="65"/>
              <w:left w:type="dxa" w:w="80"/>
              <w:bottom w:type="dxa" w:w="65"/>
              <w:right w:type="dxa" w:w="80"/>
            </w:tcMar>
          </w:tcPr>
          <w:p>
            <w:r>
              <w:rPr>
                <w:rFonts w:ascii="Arial" w:cs="Arial" w:eastAsia="Arial" w:hAnsi="Arial"/>
                <w:b w:val="false"/>
                <w:bCs w:val="false"/>
                <w:color w:val="2C3E50"/>
                <w:sz w:val="17"/>
                <w:szCs w:val="17"/>
              </w:rPr>
              <w:t xml:space="preserve">Promotion intensity measure. Above 50% suggests price integrity problems.</w:t>
            </w:r>
          </w:p>
        </w:tc>
      </w:tr>
      <w:tr>
        <w:tc>
          <w:tcPr>
            <w:tcW w:type="dxa" w:w="2200"/>
            <w:tcBorders>
              <w:top w:val="single" w:color="BDC3C7" w:sz="1"/>
              <w:left w:val="single" w:color="BDC3C7" w:sz="1"/>
              <w:bottom w:val="single" w:color="BDC3C7" w:sz="1"/>
              <w:right w:val="single" w:color="BDC3C7" w:sz="1"/>
            </w:tcBorders>
            <w:shd w:fill="F4F6F8" w:val="clear"/>
            <w:tcMar>
              <w:top w:type="dxa" w:w="65"/>
              <w:left w:type="dxa" w:w="80"/>
              <w:bottom w:type="dxa" w:w="65"/>
              <w:right w:type="dxa" w:w="80"/>
            </w:tcMar>
          </w:tcPr>
          <w:p>
            <w:r>
              <w:rPr>
                <w:rFonts w:ascii="Courier New" w:cs="Courier New" w:eastAsia="Courier New" w:hAnsi="Courier New"/>
                <w:b/>
                <w:bCs/>
                <w:color w:val="2C3E50"/>
                <w:sz w:val="15"/>
                <w:szCs w:val="15"/>
              </w:rPr>
              <w:t xml:space="preserve">Avg Discount Given</w:t>
            </w:r>
          </w:p>
        </w:tc>
        <w:tc>
          <w:tcPr>
            <w:tcW w:type="dxa" w:w="2200"/>
            <w:tcBorders>
              <w:top w:val="single" w:color="BDC3C7" w:sz="1"/>
              <w:left w:val="single" w:color="BDC3C7" w:sz="1"/>
              <w:bottom w:val="single" w:color="BDC3C7" w:sz="1"/>
              <w:right w:val="single" w:color="BDC3C7" w:sz="1"/>
            </w:tcBorders>
            <w:shd w:fill="F4F6F8" w:val="clear"/>
            <w:tcMar>
              <w:top w:type="dxa" w:w="65"/>
              <w:left w:type="dxa" w:w="80"/>
              <w:bottom w:type="dxa" w:w="65"/>
              <w:right w:type="dxa" w:w="80"/>
            </w:tcMar>
          </w:tcPr>
          <w:p>
            <w:r>
              <w:rPr>
                <w:rFonts w:ascii="Arial" w:cs="Arial" w:eastAsia="Arial" w:hAnsi="Arial"/>
                <w:b w:val="false"/>
                <w:bCs w:val="false"/>
                <w:color w:val="2C3E50"/>
                <w:sz w:val="17"/>
                <w:szCs w:val="17"/>
              </w:rPr>
              <w:t xml:space="preserve">MEAN(discount%) for disc&gt;0</w:t>
            </w:r>
          </w:p>
        </w:tc>
        <w:tc>
          <w:tcPr>
            <w:tcW w:type="dxa" w:w="2160"/>
            <w:tcBorders>
              <w:top w:val="single" w:color="BDC3C7" w:sz="1"/>
              <w:left w:val="single" w:color="BDC3C7" w:sz="1"/>
              <w:bottom w:val="single" w:color="BDC3C7" w:sz="1"/>
              <w:right w:val="single" w:color="BDC3C7" w:sz="1"/>
            </w:tcBorders>
            <w:shd w:fill="F4F6F8" w:val="clear"/>
            <w:tcMar>
              <w:top w:type="dxa" w:w="65"/>
              <w:left w:type="dxa" w:w="80"/>
              <w:bottom w:type="dxa" w:w="65"/>
              <w:right w:type="dxa" w:w="80"/>
            </w:tcMar>
          </w:tcPr>
          <w:p>
            <w:r>
              <w:rPr>
                <w:rFonts w:ascii="Arial" w:cs="Arial" w:eastAsia="Arial" w:hAnsi="Arial"/>
                <w:b w:val="false"/>
                <w:bCs w:val="false"/>
                <w:color w:val="2C3E50"/>
                <w:sz w:val="17"/>
                <w:szCs w:val="17"/>
              </w:rPr>
              <w:t xml:space="preserve">10–25% sustainable</w:t>
            </w:r>
          </w:p>
        </w:tc>
        <w:tc>
          <w:tcPr>
            <w:tcW w:type="dxa" w:w="2800"/>
            <w:tcBorders>
              <w:top w:val="single" w:color="BDC3C7" w:sz="1"/>
              <w:left w:val="single" w:color="BDC3C7" w:sz="1"/>
              <w:bottom w:val="single" w:color="BDC3C7" w:sz="1"/>
              <w:right w:val="single" w:color="BDC3C7" w:sz="1"/>
            </w:tcBorders>
            <w:shd w:fill="F4F6F8" w:val="clear"/>
            <w:tcMar>
              <w:top w:type="dxa" w:w="65"/>
              <w:left w:type="dxa" w:w="80"/>
              <w:bottom w:type="dxa" w:w="65"/>
              <w:right w:type="dxa" w:w="80"/>
            </w:tcMar>
          </w:tcPr>
          <w:p>
            <w:r>
              <w:rPr>
                <w:rFonts w:ascii="Arial" w:cs="Arial" w:eastAsia="Arial" w:hAnsi="Arial"/>
                <w:b w:val="false"/>
                <w:bCs w:val="false"/>
                <w:color w:val="2C3E50"/>
                <w:sz w:val="17"/>
                <w:szCs w:val="17"/>
              </w:rPr>
              <w:t xml:space="preserve">The depth of promotions. Above 30% average discount likely means margins are being sacrificed.</w:t>
            </w:r>
          </w:p>
        </w:tc>
      </w:tr>
      <w:tr>
        <w:tc>
          <w:tcPr>
            <w:tcW w:type="dxa" w:w="2200"/>
            <w:tcBorders>
              <w:top w:val="single" w:color="BDC3C7" w:sz="1"/>
              <w:left w:val="single" w:color="BDC3C7" w:sz="1"/>
              <w:bottom w:val="single" w:color="BDC3C7" w:sz="1"/>
              <w:right w:val="single" w:color="BDC3C7" w:sz="1"/>
            </w:tcBorders>
            <w:shd w:fill="FFFFFF" w:val="clear"/>
            <w:tcMar>
              <w:top w:type="dxa" w:w="65"/>
              <w:left w:type="dxa" w:w="80"/>
              <w:bottom w:type="dxa" w:w="65"/>
              <w:right w:type="dxa" w:w="80"/>
            </w:tcMar>
          </w:tcPr>
          <w:p>
            <w:r>
              <w:rPr>
                <w:rFonts w:ascii="Courier New" w:cs="Courier New" w:eastAsia="Courier New" w:hAnsi="Courier New"/>
                <w:b/>
                <w:bCs/>
                <w:color w:val="2C3E50"/>
                <w:sz w:val="15"/>
                <w:szCs w:val="15"/>
              </w:rPr>
              <w:t xml:space="preserve">Q4 Growth Rate</w:t>
            </w:r>
          </w:p>
        </w:tc>
        <w:tc>
          <w:tcPr>
            <w:tcW w:type="dxa" w:w="2200"/>
            <w:tcBorders>
              <w:top w:val="single" w:color="BDC3C7" w:sz="1"/>
              <w:left w:val="single" w:color="BDC3C7" w:sz="1"/>
              <w:bottom w:val="single" w:color="BDC3C7" w:sz="1"/>
              <w:right w:val="single" w:color="BDC3C7" w:sz="1"/>
            </w:tcBorders>
            <w:shd w:fill="FFFFFF" w:val="clear"/>
            <w:tcMar>
              <w:top w:type="dxa" w:w="65"/>
              <w:left w:type="dxa" w:w="80"/>
              <w:bottom w:type="dxa" w:w="65"/>
              <w:right w:type="dxa" w:w="80"/>
            </w:tcMar>
          </w:tcPr>
          <w:p>
            <w:r>
              <w:rPr>
                <w:rFonts w:ascii="Arial" w:cs="Arial" w:eastAsia="Arial" w:hAnsi="Arial"/>
                <w:b w:val="false"/>
                <w:bCs w:val="false"/>
                <w:color w:val="2C3E50"/>
                <w:sz w:val="17"/>
                <w:szCs w:val="17"/>
              </w:rPr>
              <w:t xml:space="preserve">(Q4 rev - Q1 rev) / Q1 × 100</w:t>
            </w:r>
          </w:p>
        </w:tc>
        <w:tc>
          <w:tcPr>
            <w:tcW w:type="dxa" w:w="2160"/>
            <w:tcBorders>
              <w:top w:val="single" w:color="BDC3C7" w:sz="1"/>
              <w:left w:val="single" w:color="BDC3C7" w:sz="1"/>
              <w:bottom w:val="single" w:color="BDC3C7" w:sz="1"/>
              <w:right w:val="single" w:color="BDC3C7" w:sz="1"/>
            </w:tcBorders>
            <w:shd w:fill="FFFFFF" w:val="clear"/>
            <w:tcMar>
              <w:top w:type="dxa" w:w="65"/>
              <w:left w:type="dxa" w:w="80"/>
              <w:bottom w:type="dxa" w:w="65"/>
              <w:right w:type="dxa" w:w="80"/>
            </w:tcMar>
          </w:tcPr>
          <w:p>
            <w:r>
              <w:rPr>
                <w:rFonts w:ascii="Arial" w:cs="Arial" w:eastAsia="Arial" w:hAnsi="Arial"/>
                <w:b w:val="false"/>
                <w:bCs w:val="false"/>
                <w:color w:val="2C3E50"/>
                <w:sz w:val="17"/>
                <w:szCs w:val="17"/>
              </w:rPr>
              <w:t xml:space="preserve">10–30% growth</w:t>
            </w:r>
          </w:p>
        </w:tc>
        <w:tc>
          <w:tcPr>
            <w:tcW w:type="dxa" w:w="2800"/>
            <w:tcBorders>
              <w:top w:val="single" w:color="BDC3C7" w:sz="1"/>
              <w:left w:val="single" w:color="BDC3C7" w:sz="1"/>
              <w:bottom w:val="single" w:color="BDC3C7" w:sz="1"/>
              <w:right w:val="single" w:color="BDC3C7" w:sz="1"/>
            </w:tcBorders>
            <w:shd w:fill="FFFFFF" w:val="clear"/>
            <w:tcMar>
              <w:top w:type="dxa" w:w="65"/>
              <w:left w:type="dxa" w:w="80"/>
              <w:bottom w:type="dxa" w:w="65"/>
              <w:right w:type="dxa" w:w="80"/>
            </w:tcMar>
          </w:tcPr>
          <w:p>
            <w:r>
              <w:rPr>
                <w:rFonts w:ascii="Arial" w:cs="Arial" w:eastAsia="Arial" w:hAnsi="Arial"/>
                <w:b w:val="false"/>
                <w:bCs w:val="false"/>
                <w:color w:val="2C3E50"/>
                <w:sz w:val="17"/>
                <w:szCs w:val="17"/>
              </w:rPr>
              <w:t xml:space="preserve">Seasonality strength and year-on-year trajectory signal.</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C0D" w:sz="8"/>
              <w:left w:val="single" w:color="D4AC0D" w:sz="8"/>
              <w:bottom w:val="single" w:color="BDC3C7" w:sz="1"/>
              <w:right w:val="single" w:color="BDC3C7" w:sz="1"/>
            </w:tcBorders>
            <w:shd w:fill="FEF9E7" w:val="clear"/>
            <w:tcMar>
              <w:top w:type="dxa" w:w="100"/>
              <w:left w:type="dxa" w:w="180"/>
              <w:bottom w:type="dxa" w:w="100"/>
              <w:right w:type="dxa" w:w="180"/>
            </w:tcMar>
          </w:tcPr>
          <w:p>
            <w:pPr>
              <w:spacing w:after="60" w:before="0"/>
            </w:pPr>
            <w:r>
              <w:rPr>
                <w:rFonts w:ascii="Arial" w:cs="Arial" w:eastAsia="Arial" w:hAnsi="Arial"/>
                <w:b/>
                <w:bCs/>
                <w:color w:val="D4AC0D"/>
                <w:sz w:val="20"/>
                <w:szCs w:val="20"/>
              </w:rPr>
              <w:t xml:space="preserve">The Complete Data Analytics Workflow</w:t>
            </w:r>
          </w:p>
          <w:p>
            <w:pPr>
              <w:spacing w:after="0" w:before="0"/>
            </w:pPr>
            <w:r>
              <w:rPr>
                <w:rFonts w:ascii="Arial" w:cs="Arial" w:eastAsia="Arial" w:hAnsi="Arial"/>
                <w:color w:val="2C3E50"/>
                <w:sz w:val="20"/>
                <w:szCs w:val="20"/>
              </w:rPr>
              <w:t xml:space="preserve">This session demonstrates the complete workflow of a professional Data Analyst: (1) LOAD — get the raw data into Python; (2) INSPECT — understand what you have before touching it; (3) CLEAN — fix missing values and wrong types; (4) EXTRACT — filter to the subsets relevant to each question; (5) MANIPULATE — aggregate, pivot, join to create summary tables; (6) QUANTIFY — apply statistics to understand scale, variability, and relationships; (7) VISUALISE — build charts that communicate insight in seconds; (8) RECOMMEND — translate data findings into business actions. This eight-step workflow is universal — it applies to any industry, any dataset, any business question.</w:t>
            </w:r>
          </w:p>
        </w:tc>
      </w:tr>
    </w:tbl>
    <w:p>
      <w:pPr>
        <w:spacing w:after="0" w:before="200"/>
      </w:pPr>
      <w:r>
        <w:t xml:space="preserve"/>
      </w:r>
    </w:p>
    <w:p>
      <w:pPr>
        <w:spacing w:after="60" w:before="200"/>
        <w:jc w:val="center"/>
      </w:pPr>
      <w:r>
        <w:rPr>
          <w:rFonts w:ascii="Arial" w:cs="Arial" w:eastAsia="Arial" w:hAnsi="Arial"/>
          <w:b/>
          <w:bCs/>
          <w:color w:val="0D2B55"/>
          <w:sz w:val="20"/>
          <w:szCs w:val="20"/>
        </w:rPr>
        <w:t xml:space="preserve">ZEDCREST CAPITAL | Data Analyst Training Programme | May – August 2026</w:t>
      </w:r>
    </w:p>
    <w:p>
      <w:pPr>
        <w:spacing w:after="60" w:before="0"/>
        <w:jc w:val="center"/>
      </w:pPr>
      <w:r>
        <w:rPr>
          <w:rFonts w:ascii="Arial" w:cs="Arial" w:eastAsia="Arial" w:hAnsi="Arial"/>
          <w:color w:val="BDC3C7"/>
          <w:sz w:val="19"/>
          <w:szCs w:val="19"/>
        </w:rPr>
        <w:t xml:space="preserve">Jumia Sales Analytics Study Notes | Trainer: Kajola Gbenga Adewale | Prodigy Training Hub</w:t>
      </w:r>
    </w:p>
    <w:p>
      <w:pPr>
        <w:spacing w:after="0" w:before="0"/>
        <w:jc w:val="center"/>
      </w:pPr>
      <w:r>
        <w:rPr>
          <w:rFonts w:ascii="Arial" w:cs="Arial" w:eastAsia="Arial" w:hAnsi="Arial"/>
          <w:color w:val="BDC3C7"/>
          <w:sz w:val="17"/>
          <w:szCs w:val="17"/>
        </w:rPr>
        <w:t xml:space="preserve">CONFIDENTIAL — For Internal Use Only | 2026</w:t>
      </w:r>
    </w:p>
    <w:sectPr>
      <w:headerReference w:type="default" r:id="rId7"/>
      <w:footerReference w:type="default" r:id="rId8"/>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2" w:space="4"/>
      </w:pBdr>
      <w:spacing w:after="0" w:before="80"/>
    </w:pPr>
    <w:r>
      <w:rPr>
        <w:rFonts w:ascii="Arial" w:cs="Arial" w:eastAsia="Arial" w:hAnsi="Arial"/>
        <w:color w:val="BDC3C7"/>
        <w:sz w:val="16"/>
        <w:szCs w:val="16"/>
      </w:rPr>
      <w:t xml:space="preserve">CONFIDENTIAL | Kajola Gbenga Adewale | Prodigy Training Hub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C0D" w:sz="3" w:space="4"/>
      </w:pBdr>
      <w:spacing w:after="100" w:before="0"/>
    </w:pPr>
    <w:r>
      <w:rPr>
        <w:rFonts w:ascii="Arial" w:cs="Arial" w:eastAsia="Arial" w:hAnsi="Arial"/>
        <w:color w:val="1A5276"/>
        <w:sz w:val="18"/>
        <w:szCs w:val="18"/>
      </w:rPr>
      <w:t xml:space="preserve">Jumia Sales Analytics | Comprehensive Study Notes | Zedcrest Capital Data Analyst Training Programme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0D2B55"/>
      <w:sz w:val="30"/>
      <w:szCs w:val="30"/>
    </w:rPr>
  </w:style>
  <w:style w:type="paragraph" w:styleId="Heading2">
    <w:name w:val="Heading 2"/>
    <w:basedOn w:val="Normal"/>
    <w:next w:val="Normal"/>
    <w:qFormat/>
    <w:pPr>
      <w:spacing w:after="100" w:before="280"/>
      <w:outlineLvl w:val="1"/>
    </w:pPr>
    <w:rPr>
      <w:rFonts w:ascii="Arial" w:cs="Arial" w:eastAsia="Arial" w:hAnsi="Arial"/>
      <w:b/>
      <w:bCs/>
      <w:color w:val="1A527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980B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2026-06-08T17:41:22.975Z</dcterms:created>
  <dcterms:modified xsi:type="dcterms:W3CDTF">2026-06-08T17:41:22.975Z</dcterms:modified>
</cp:coreProperties>
</file>

<file path=docProps/custom.xml><?xml version="1.0" encoding="utf-8"?>
<Properties xmlns="http://schemas.openxmlformats.org/officeDocument/2006/custom-properties" xmlns:vt="http://schemas.openxmlformats.org/officeDocument/2006/docPropsVTypes"/>
</file>