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E3A5F"/>
          <w:sz w:val="52"/>
          <w:szCs w:val="52"/>
        </w:rPr>
        <w:t xml:space="preserve">LAGOS STATE GOVERNMENT</w:t>
      </w:r>
    </w:p>
    <w:p>
      <w:pPr>
        <w:spacing w:after="120" w:before="0"/>
      </w:pPr>
      <w:r>
        <w:rPr>
          <w:rFonts w:ascii="Arial" w:cs="Arial" w:eastAsia="Arial" w:hAnsi="Arial"/>
          <w:b/>
          <w:bCs/>
          <w:color w:val="1D4ED8"/>
          <w:sz w:val="40"/>
          <w:szCs w:val="40"/>
        </w:rPr>
        <w:t xml:space="preserve">Financial &amp; Budget Analytics</w:t>
      </w:r>
    </w:p>
    <w:p>
      <w:pPr>
        <w:spacing w:after="80" w:before="0"/>
      </w:pPr>
      <w:r>
        <w:rPr>
          <w:rFonts w:ascii="Arial" w:cs="Arial" w:eastAsia="Arial" w:hAnsi="Arial"/>
          <w:color w:val="374151"/>
          <w:sz w:val="26"/>
          <w:szCs w:val="26"/>
        </w:rPr>
        <w:t xml:space="preserve">Zedcrest Capital Data Analyst Training Programme</w:t>
      </w:r>
    </w:p>
    <w:p>
      <w:pPr>
        <w:spacing w:after="0" w:before="0"/>
      </w:pPr>
      <w:r>
        <w:t xml:space="preserve"/>
      </w:r>
    </w:p>
    <w:p>
      <w:pPr>
        <w:spacing w:after="0" w:before="0"/>
      </w:pPr>
      <w:r>
        <w:t xml:space="preserve"/>
      </w:r>
    </w:p>
    <w:p>
      <w:pPr>
        <w:spacing w:after="60" w:before="0"/>
      </w:pPr>
      <w:r>
        <w:rPr>
          <w:rFonts w:ascii="Arial" w:cs="Arial" w:eastAsia="Arial" w:hAnsi="Arial"/>
          <w:b/>
          <w:bCs/>
          <w:color w:val="1F2937"/>
          <w:sz w:val="28"/>
          <w:szCs w:val="28"/>
        </w:rPr>
        <w:t xml:space="preserve">Comprehensive Project Reference Document</w:t>
      </w:r>
    </w:p>
    <w:p>
      <w:pPr>
        <w:spacing w:after="60" w:before="0"/>
      </w:pPr>
      <w:r>
        <w:rPr>
          <w:rFonts w:ascii="Arial" w:cs="Arial" w:eastAsia="Arial" w:hAnsi="Arial"/>
          <w:i/>
          <w:iCs/>
          <w:color w:val="6B7280"/>
          <w:sz w:val="22"/>
          <w:szCs w:val="22"/>
        </w:rPr>
        <w:t xml:space="preserve">Dataset Documentation | Line-by-Line Code Analysis | Output Interpretation | Governance Insights</w:t>
      </w:r>
    </w:p>
    <w:p>
      <w:pPr>
        <w:spacing w:after="0" w:before="0"/>
      </w:pPr>
      <w:r>
        <w:t xml:space="preserve"/>
      </w:r>
    </w:p>
    <w:p>
      <w:pPr>
        <w:spacing w:after="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r>
      <w:tr>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jc w:val="left"/>
            </w:pPr>
            <w:r>
              <w:rPr>
                <w:rFonts w:ascii="Arial" w:cs="Arial" w:eastAsia="Arial" w:hAnsi="Arial"/>
                <w:b/>
                <w:bCs/>
                <w:color w:val="0F172A"/>
                <w:sz w:val="18"/>
                <w:szCs w:val="18"/>
              </w:rPr>
              <w:t xml:space="preserve">Trainer</w:t>
            </w:r>
          </w:p>
        </w:tc>
        <w:tc>
          <w:tcPr>
            <w:tcW w:type="dxa" w:w="7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Kajola Gbenga Adewale</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jc w:val="left"/>
            </w:pPr>
            <w:r>
              <w:rPr>
                <w:rFonts w:ascii="Arial" w:cs="Arial" w:eastAsia="Arial" w:hAnsi="Arial"/>
                <w:b/>
                <w:bCs/>
                <w:color w:val="0F172A"/>
                <w:sz w:val="18"/>
                <w:szCs w:val="18"/>
              </w:rPr>
              <w:t xml:space="preserve">Organisation</w:t>
            </w:r>
          </w:p>
        </w:tc>
        <w:tc>
          <w:tcPr>
            <w:tcW w:type="dxa" w:w="7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Prodigy Training Hub</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jc w:val="left"/>
            </w:pPr>
            <w:r>
              <w:rPr>
                <w:rFonts w:ascii="Arial" w:cs="Arial" w:eastAsia="Arial" w:hAnsi="Arial"/>
                <w:b/>
                <w:bCs/>
                <w:color w:val="0F172A"/>
                <w:sz w:val="18"/>
                <w:szCs w:val="18"/>
              </w:rPr>
              <w:t xml:space="preserve">Programme</w:t>
            </w:r>
          </w:p>
        </w:tc>
        <w:tc>
          <w:tcPr>
            <w:tcW w:type="dxa" w:w="7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Zedcrest Capital Data Analyst Training — May to August 2026</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jc w:val="left"/>
            </w:pPr>
            <w:r>
              <w:rPr>
                <w:rFonts w:ascii="Arial" w:cs="Arial" w:eastAsia="Arial" w:hAnsi="Arial"/>
                <w:b/>
                <w:bCs/>
                <w:color w:val="0F172A"/>
                <w:sz w:val="18"/>
                <w:szCs w:val="18"/>
              </w:rPr>
              <w:t xml:space="preserve">Dataset</w:t>
            </w:r>
          </w:p>
        </w:tc>
        <w:tc>
          <w:tcPr>
            <w:tcW w:type="dxa" w:w="7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lagos_finance_data.csv</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jc w:val="left"/>
            </w:pPr>
            <w:r>
              <w:rPr>
                <w:rFonts w:ascii="Arial" w:cs="Arial" w:eastAsia="Arial" w:hAnsi="Arial"/>
                <w:b/>
                <w:bCs/>
                <w:color w:val="0F172A"/>
                <w:sz w:val="18"/>
                <w:szCs w:val="18"/>
              </w:rPr>
              <w:t xml:space="preserve">Notebook</w:t>
            </w:r>
          </w:p>
        </w:tc>
        <w:tc>
          <w:tcPr>
            <w:tcW w:type="dxa" w:w="7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Lagos_Finance_Analytics_final.ipynb</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jc w:val="left"/>
            </w:pPr>
            <w:r>
              <w:rPr>
                <w:rFonts w:ascii="Arial" w:cs="Arial" w:eastAsia="Arial" w:hAnsi="Arial"/>
                <w:b/>
                <w:bCs/>
                <w:color w:val="0F172A"/>
                <w:sz w:val="18"/>
                <w:szCs w:val="18"/>
              </w:rPr>
              <w:t xml:space="preserve">Records</w:t>
            </w:r>
          </w:p>
        </w:tc>
        <w:tc>
          <w:tcPr>
            <w:tcW w:type="dxa" w:w="7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1,451 transactions across 22 columns</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jc w:val="left"/>
            </w:pPr>
            <w:r>
              <w:rPr>
                <w:rFonts w:ascii="Arial" w:cs="Arial" w:eastAsia="Arial" w:hAnsi="Arial"/>
                <w:b/>
                <w:bCs/>
                <w:color w:val="0F172A"/>
                <w:sz w:val="18"/>
                <w:szCs w:val="18"/>
              </w:rPr>
              <w:t xml:space="preserve">Fiscal Coverage</w:t>
            </w:r>
          </w:p>
        </w:tc>
        <w:tc>
          <w:tcPr>
            <w:tcW w:type="dxa" w:w="7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2021, 2022, 2023</w:t>
            </w:r>
          </w:p>
        </w:tc>
      </w:tr>
      <w:tr>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vAlign w:val="center"/>
          </w:tcPr>
          <w:p>
            <w:pPr>
              <w:jc w:val="left"/>
            </w:pPr>
            <w:r>
              <w:rPr>
                <w:rFonts w:ascii="Arial" w:cs="Arial" w:eastAsia="Arial" w:hAnsi="Arial"/>
                <w:b/>
                <w:bCs/>
                <w:color w:val="0F172A"/>
                <w:sz w:val="18"/>
                <w:szCs w:val="18"/>
              </w:rPr>
              <w:t xml:space="preserve">Scope</w:t>
            </w:r>
          </w:p>
        </w:tc>
        <w:tc>
          <w:tcPr>
            <w:tcW w:type="dxa" w:w="7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20 MDAs — Lagos State Ministries, Departments &amp; Agencies</w:t>
            </w:r>
          </w:p>
        </w:tc>
      </w:tr>
    </w:tbl>
    <w:p>
      <w:r>
        <w:br w:type="page"/>
      </w:r>
    </w:p>
    <w:p>
      <w:pPr>
        <w:pStyle w:val="Heading1"/>
        <w:spacing w:after="160" w:before="400"/>
      </w:pPr>
      <w:r>
        <w:rPr>
          <w:rFonts w:ascii="Arial" w:cs="Arial" w:eastAsia="Arial" w:hAnsi="Arial"/>
          <w:b/>
          <w:bCs/>
          <w:color w:val="1E3A5F"/>
          <w:sz w:val="36"/>
          <w:szCs w:val="36"/>
        </w:rPr>
        <w:t xml:space="preserve">PART 1 — DATASET DOCUMENTATION</w:t>
      </w:r>
    </w:p>
    <w:p>
      <w:pPr>
        <w:pStyle w:val="Heading2"/>
        <w:spacing w:after="120" w:before="300"/>
      </w:pPr>
      <w:r>
        <w:rPr>
          <w:rFonts w:ascii="Arial" w:cs="Arial" w:eastAsia="Arial" w:hAnsi="Arial"/>
          <w:b/>
          <w:bCs/>
          <w:color w:val="1D4ED8"/>
          <w:sz w:val="28"/>
          <w:szCs w:val="28"/>
        </w:rPr>
        <w:t xml:space="preserve">1.1 What Is This Dataset?</w:t>
      </w:r>
    </w:p>
    <w:p>
      <w:pPr>
        <w:spacing w:after="80" w:before="60"/>
        <w:jc w:val="both"/>
      </w:pPr>
      <w:r>
        <w:rPr>
          <w:rFonts w:ascii="Arial" w:cs="Arial" w:eastAsia="Arial" w:hAnsi="Arial"/>
          <w:b w:val="false"/>
          <w:bCs w:val="false"/>
          <w:i w:val="false"/>
          <w:iCs w:val="false"/>
          <w:color w:val="0F172A"/>
          <w:sz w:val="22"/>
          <w:szCs w:val="22"/>
        </w:rPr>
        <w:t xml:space="preserve">The file lagos_finance_data.csv is a simulated but realistic representation of Lagos State Government financial transactions spanning three full fiscal years: 2021, 2022, and 2023. It was designed for the Zedcrest Capital Data Analyst Training Programme to give analysts hands-on experience with public sector financial data at a scale and complexity level that mirrors real government accounting systems.</w:t>
      </w:r>
    </w:p>
    <w:p>
      <w:pPr>
        <w:spacing w:after="80" w:before="60"/>
        <w:jc w:val="both"/>
      </w:pPr>
      <w:r>
        <w:rPr>
          <w:rFonts w:ascii="Arial" w:cs="Arial" w:eastAsia="Arial" w:hAnsi="Arial"/>
          <w:b w:val="false"/>
          <w:bCs w:val="false"/>
          <w:i w:val="false"/>
          <w:iCs w:val="false"/>
          <w:color w:val="0F172A"/>
          <w:sz w:val="22"/>
          <w:szCs w:val="22"/>
        </w:rPr>
        <w:t xml:space="preserve">Lagos State Government manages one of the largest sub-national budgets in Africa. The dataset captures 1,451 individual financial transactions across 20 Ministries, Departments, and Agencies (MDAs), covering everything from billion-naira federal allocations to small operational grants. Every row represents one financial event — a payment, a receipt, an allocation, or a collection — and every column captures a different dimension of that event.</w:t>
      </w:r>
    </w:p>
    <w:p>
      <w:pPr>
        <w:spacing w:after="0" w:before="0"/>
      </w:pPr>
      <w:r>
        <w:t xml:space="preserve"/>
      </w:r>
    </w:p>
    <w:p>
      <w:pPr>
        <w:pStyle w:val="Heading2"/>
        <w:spacing w:after="120" w:before="300"/>
      </w:pPr>
      <w:r>
        <w:rPr>
          <w:rFonts w:ascii="Arial" w:cs="Arial" w:eastAsia="Arial" w:hAnsi="Arial"/>
          <w:b/>
          <w:bCs/>
          <w:color w:val="1D4ED8"/>
          <w:sz w:val="28"/>
          <w:szCs w:val="28"/>
        </w:rPr>
        <w:t xml:space="preserve">1.2 Dataset At a Glance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000"/>
        <w:gridCol w:w="65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Attribute</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File name</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lagos_finance_data.csv</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Format</w:t>
            </w:r>
          </w:p>
        </w:tc>
        <w:tc>
          <w:tcPr>
            <w:tcW w:type="dxa" w:w="6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Comma-Separated Values (CSV)</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Total rows</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1,451 (each row = one financial transaction)</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Total columns</w:t>
            </w:r>
          </w:p>
        </w:tc>
        <w:tc>
          <w:tcPr>
            <w:tcW w:type="dxa" w:w="6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22 (each column = one attribute of the transaction)</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Memory size</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approximately 1,290 KB in RAM after loading</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Date range</w:t>
            </w:r>
          </w:p>
        </w:tc>
        <w:tc>
          <w:tcPr>
            <w:tcW w:type="dxa" w:w="6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1 January 2021 to 28 December 2023</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Fiscal years</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2021, 2022, 2023</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Unique MDAs</w:t>
            </w:r>
          </w:p>
        </w:tc>
        <w:tc>
          <w:tcPr>
            <w:tcW w:type="dxa" w:w="6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20 government ministries, departments and agencies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Transaction types</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12 distinct categories (FAAC, IGR, CapEx, Personnel, etc.)</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Classifications</w:t>
            </w:r>
          </w:p>
        </w:tc>
        <w:tc>
          <w:tcPr>
            <w:tcW w:type="dxa" w:w="6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2 — Revenue and Expenditure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Missing values</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178 cells across 4 columns (0.55% of total data)</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Currency</w:t>
            </w:r>
          </w:p>
        </w:tc>
        <w:tc>
          <w:tcPr>
            <w:tcW w:type="dxa" w:w="6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Nigerian Naira (NGN). Amounts stored as raw naira figures</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Primary key</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transaction_id (format: LGS-YYYY-XXXXXX, e.g. LGS-2021-010023)</w:t>
            </w:r>
          </w:p>
        </w:tc>
      </w:tr>
    </w:tbl>
    <w:p>
      <w:pPr>
        <w:spacing w:after="0" w:before="0"/>
      </w:pPr>
      <w:r>
        <w:t xml:space="preserve"/>
      </w:r>
    </w:p>
    <w:p>
      <w:pPr>
        <w:pStyle w:val="Heading2"/>
        <w:spacing w:after="120" w:before="300"/>
      </w:pPr>
      <w:r>
        <w:rPr>
          <w:rFonts w:ascii="Arial" w:cs="Arial" w:eastAsia="Arial" w:hAnsi="Arial"/>
          <w:b/>
          <w:bCs/>
          <w:color w:val="1D4ED8"/>
          <w:sz w:val="28"/>
          <w:szCs w:val="28"/>
        </w:rPr>
        <w:t xml:space="preserve">1.3 Column-by-Column Reference (All 22 Columns)</w:t>
      </w:r>
    </w:p>
    <w:p>
      <w:pPr>
        <w:spacing w:after="80" w:before="60"/>
        <w:jc w:val="both"/>
      </w:pPr>
      <w:r>
        <w:rPr>
          <w:rFonts w:ascii="Arial" w:cs="Arial" w:eastAsia="Arial" w:hAnsi="Arial"/>
          <w:b w:val="false"/>
          <w:bCs w:val="false"/>
          <w:i w:val="false"/>
          <w:iCs w:val="false"/>
          <w:color w:val="0F172A"/>
          <w:sz w:val="22"/>
          <w:szCs w:val="22"/>
        </w:rPr>
        <w:t xml:space="preserve">Below is a complete description of every column in the dataset. Understanding each column is the foundation of the entire analysis — every chart, filter, and recommendation in the notebook refers back to one or more of these columns.</w:t>
      </w:r>
    </w:p>
    <w:p>
      <w:pPr>
        <w:spacing w:after="0" w:before="0"/>
      </w:pPr>
      <w:r>
        <w:t xml:space="preserve"/>
      </w:r>
    </w:p>
    <w:p>
      <w:pPr>
        <w:pStyle w:val="Heading3"/>
        <w:spacing w:after="80" w:before="220"/>
      </w:pPr>
      <w:r>
        <w:rPr>
          <w:rFonts w:ascii="Arial" w:cs="Arial" w:eastAsia="Arial" w:hAnsi="Arial"/>
          <w:b/>
          <w:bCs/>
          <w:color w:val="374151"/>
          <w:sz w:val="24"/>
          <w:szCs w:val="24"/>
        </w:rPr>
        <w:t xml:space="preserve">Group A — Transaction Identification (Columns 1 to 6)</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1440"/>
        <w:gridCol w:w="4000"/>
        <w:gridCol w:w="1960"/>
      </w:tblGrid>
      <w:tr>
        <w:trPr>
          <w:tblHeader/>
        </w:trPr>
        <w:tc>
          <w:tcPr>
            <w:tcW w:type="dxa" w:w="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 Name</w:t>
            </w:r>
          </w:p>
        </w:tc>
        <w:tc>
          <w:tcPr>
            <w:tcW w:type="dxa" w:w="14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4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1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Example Value</w:t>
            </w:r>
          </w:p>
        </w:tc>
      </w:tr>
      <w:tr>
        <w:tc>
          <w:tcPr>
            <w:tcW w:type="dxa" w:w="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1</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transaction_id</w:t>
            </w:r>
          </w:p>
        </w:tc>
        <w:tc>
          <w:tcPr>
            <w:tcW w:type="dxa" w:w="14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String</w:t>
            </w:r>
          </w:p>
        </w:tc>
        <w:tc>
          <w:tcPr>
            <w:tcW w:type="dxa" w:w="4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Unique identifier for every transaction. Format: LGS-YYYY-XXXXXX where YYYY is the fiscal year and XXXXXX is a six-digit serial number. The primary key of the dataset — no two rows share the same ID.</w:t>
            </w:r>
          </w:p>
        </w:tc>
        <w:tc>
          <w:tcPr>
            <w:tcW w:type="dxa" w:w="1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LGS-2021-010023</w:t>
            </w:r>
          </w:p>
        </w:tc>
      </w:tr>
      <w:tr>
        <w:tc>
          <w:tcPr>
            <w:tcW w:type="dxa" w:w="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2</w:t>
            </w:r>
          </w:p>
        </w:tc>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fiscal_year</w:t>
            </w:r>
          </w:p>
        </w:tc>
        <w:tc>
          <w:tcPr>
            <w:tcW w:type="dxa" w:w="14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Integer</w:t>
            </w:r>
          </w:p>
        </w:tc>
        <w:tc>
          <w:tcPr>
            <w:tcW w:type="dxa" w:w="4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The government budget year in which the transaction was recorded. Lagos State follows the calendar fiscal year (January to December). Values are 2021, 2022, or 2023.</w:t>
            </w:r>
          </w:p>
        </w:tc>
        <w:tc>
          <w:tcPr>
            <w:tcW w:type="dxa" w:w="19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2021</w:t>
            </w:r>
          </w:p>
        </w:tc>
      </w:tr>
      <w:tr>
        <w:tc>
          <w:tcPr>
            <w:tcW w:type="dxa" w:w="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3</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quarter</w:t>
            </w:r>
          </w:p>
        </w:tc>
        <w:tc>
          <w:tcPr>
            <w:tcW w:type="dxa" w:w="14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String</w:t>
            </w:r>
          </w:p>
        </w:tc>
        <w:tc>
          <w:tcPr>
            <w:tcW w:type="dxa" w:w="4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The fiscal quarter: Q1 (Jan-Mar), Q2 (Apr-Jun), Q3 (Jul-Sep), Q4 (Oct-Dec). Used for quarterly trend analysis and comparing performance across the same quarter in different years.</w:t>
            </w:r>
          </w:p>
        </w:tc>
        <w:tc>
          <w:tcPr>
            <w:tcW w:type="dxa" w:w="1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Q1</w:t>
            </w:r>
          </w:p>
        </w:tc>
      </w:tr>
      <w:tr>
        <w:tc>
          <w:tcPr>
            <w:tcW w:type="dxa" w:w="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4</w:t>
            </w:r>
          </w:p>
        </w:tc>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month</w:t>
            </w:r>
          </w:p>
        </w:tc>
        <w:tc>
          <w:tcPr>
            <w:tcW w:type="dxa" w:w="14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String</w:t>
            </w:r>
          </w:p>
        </w:tc>
        <w:tc>
          <w:tcPr>
            <w:tcW w:type="dxa" w:w="4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The full month name of the transaction date (January through December). Stored as text rather than a number to make reports more readable. The notebook converts this to a number in Section 2 using dt.month.</w:t>
            </w:r>
          </w:p>
        </w:tc>
        <w:tc>
          <w:tcPr>
            <w:tcW w:type="dxa" w:w="19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January</w:t>
            </w:r>
          </w:p>
        </w:tc>
      </w:tr>
      <w:tr>
        <w:tc>
          <w:tcPr>
            <w:tcW w:type="dxa" w:w="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5</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transaction_date</w:t>
            </w:r>
          </w:p>
        </w:tc>
        <w:tc>
          <w:tcPr>
            <w:tcW w:type="dxa" w:w="14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String (raw) / datetime64 after conversion</w:t>
            </w:r>
          </w:p>
        </w:tc>
        <w:tc>
          <w:tcPr>
            <w:tcW w:type="dxa" w:w="4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The date the transaction was recorded in the format YYYY-MM-DD. Stored as a text string in the raw CSV — a deliberate choice to demonstrate the need for pd.to_datetime() conversion in Section 2 of the notebook.</w:t>
            </w:r>
          </w:p>
        </w:tc>
        <w:tc>
          <w:tcPr>
            <w:tcW w:type="dxa" w:w="1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2021-01-01</w:t>
            </w:r>
          </w:p>
        </w:tc>
      </w:tr>
      <w:tr>
        <w:tc>
          <w:tcPr>
            <w:tcW w:type="dxa" w:w="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6</w:t>
            </w:r>
          </w:p>
        </w:tc>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day_of_week</w:t>
            </w:r>
          </w:p>
        </w:tc>
        <w:tc>
          <w:tcPr>
            <w:tcW w:type="dxa" w:w="144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String</w:t>
            </w:r>
          </w:p>
        </w:tc>
        <w:tc>
          <w:tcPr>
            <w:tcW w:type="dxa" w:w="4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The day of the week the transaction was recorded (Monday through Sunday). Can be used to detect unusual activity on weekends or public holidays — a common fraud indicator in government finance.</w:t>
            </w:r>
          </w:p>
        </w:tc>
        <w:tc>
          <w:tcPr>
            <w:tcW w:type="dxa" w:w="19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Friday</w:t>
            </w:r>
          </w:p>
        </w:tc>
      </w:tr>
    </w:tbl>
    <w:p>
      <w:pPr>
        <w:spacing w:after="0" w:before="0"/>
      </w:pPr>
      <w:r>
        <w:t xml:space="preserve"/>
      </w:r>
    </w:p>
    <w:p>
      <w:pPr>
        <w:pStyle w:val="Heading3"/>
        <w:spacing w:after="80" w:before="220"/>
      </w:pPr>
      <w:r>
        <w:rPr>
          <w:rFonts w:ascii="Arial" w:cs="Arial" w:eastAsia="Arial" w:hAnsi="Arial"/>
          <w:b/>
          <w:bCs/>
          <w:color w:val="374151"/>
          <w:sz w:val="24"/>
          <w:szCs w:val="24"/>
        </w:rPr>
        <w:t xml:space="preserve">Group B — MDA &amp; Geographic Identification (Columns 7 to 8)</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1200"/>
        <w:gridCol w:w="4000"/>
        <w:gridCol w:w="2200"/>
      </w:tblGrid>
      <w:tr>
        <w:trPr>
          <w:tblHeader/>
        </w:trPr>
        <w:tc>
          <w:tcPr>
            <w:tcW w:type="dxa" w:w="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 Name</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4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Unique Values</w:t>
            </w:r>
          </w:p>
        </w:tc>
      </w:tr>
      <w:tr>
        <w:tc>
          <w:tcPr>
            <w:tcW w:type="dxa" w:w="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7</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mda_name</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String</w:t>
            </w:r>
          </w:p>
        </w:tc>
        <w:tc>
          <w:tcPr>
            <w:tcW w:type="dxa" w:w="4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The full official name of the Ministry, Department or Agency that owns this transaction. The 20 MDAs range from revenue collection agencies (LIRS) to infrastructure bodies (Works &amp; Infrastructure) to hospitals (LASUTH, Lagos Island General Hospital). This is the primary grouping variable for MDA performance analysis in Section 4.</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20 unique MDAs</w:t>
            </w:r>
          </w:p>
        </w:tc>
      </w:tr>
      <w:tr>
        <w:tc>
          <w:tcPr>
            <w:tcW w:type="dxa" w:w="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8</w:t>
            </w:r>
          </w:p>
        </w:tc>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lga</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String</w:t>
            </w:r>
          </w:p>
        </w:tc>
        <w:tc>
          <w:tcPr>
            <w:tcW w:type="dxa" w:w="4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The Local Government Area of Lagos State where the transaction originated or was applied. Lagos State has 20 LGAs (e.g. Eti-Osa, Ikeja, Oshodi-Isolo, Shomolu). Used for geographic analysis of spending patterns.</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Multiple LGAs</w:t>
            </w:r>
          </w:p>
        </w:tc>
      </w:tr>
    </w:tbl>
    <w:p>
      <w:pPr>
        <w:spacing w:after="0" w:before="0"/>
      </w:pPr>
      <w:r>
        <w:t xml:space="preserve"/>
      </w:r>
    </w:p>
    <w:p>
      <w:pPr>
        <w:pStyle w:val="Heading3"/>
        <w:spacing w:after="80" w:before="220"/>
      </w:pPr>
      <w:r>
        <w:rPr>
          <w:rFonts w:ascii="Arial" w:cs="Arial" w:eastAsia="Arial" w:hAnsi="Arial"/>
          <w:b/>
          <w:bCs/>
          <w:color w:val="374151"/>
          <w:sz w:val="24"/>
          <w:szCs w:val="24"/>
        </w:rPr>
        <w:t xml:space="preserve">Group C — Transaction Classification (Columns 9 to 10)</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1200"/>
        <w:gridCol w:w="6200"/>
      </w:tblGrid>
      <w:tr>
        <w:trPr>
          <w:tblHeader/>
        </w:trPr>
        <w:tc>
          <w:tcPr>
            <w:tcW w:type="dxa" w:w="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 Name</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6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 &amp; Values</w:t>
            </w:r>
          </w:p>
        </w:tc>
      </w:tr>
      <w:tr>
        <w:tc>
          <w:tcPr>
            <w:tcW w:type="dxa" w:w="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9</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transaction_type</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String</w:t>
            </w:r>
          </w:p>
        </w:tc>
        <w:tc>
          <w:tcPr>
            <w:tcW w:type="dxa" w:w="6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The specific category of government financial activity. There are 12 types:
(1) Capital Expenditure — infrastructure and development spending
(2) Contract Payment — payments to private contractors for services
(3) Federal Allocation (FAAC) — monthly disbursements from the Federation Account
(4) IGR Collection — internally generated revenue from Lagos State's own tax and fee collection
(5) Loan Repayment — servicing of state government debt
(6) Overhead Cost — operational expenses (utilities, supplies, maintenance)
(7) Pension &amp; Gratuity — retirement payments to former civil servants
(8) Personnel Cost — active civil servant salaries and allowances
(9) Subvention/Grant — transfer payments to government-owned agencies and institutions
(10) Training &amp; Development — staff capacity building expenditure
(11) Utility Payment — electricity, water, and telecommunications bills
(12) VAT Refund — Value Added Tax remittances from the federal government</w:t>
            </w:r>
          </w:p>
        </w:tc>
      </w:tr>
      <w:tr>
        <w:tc>
          <w:tcPr>
            <w:tcW w:type="dxa" w:w="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10</w:t>
            </w:r>
          </w:p>
        </w:tc>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classification</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String</w:t>
            </w:r>
          </w:p>
        </w:tc>
        <w:tc>
          <w:tcPr>
            <w:tcW w:type="dxa" w:w="6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The high-level financial classification of the transaction. Only two values:
Revenue — money coming IN to Lagos State (FAAC, IGR, VAT Refund)
Expenditure — money going OUT (Capital Expenditure, Personnel Cost, Contract Payment, Overhead, etc.)
This column enables the core fiscal sustainability analysis: total revenue vs total expenditure.</w:t>
            </w:r>
          </w:p>
        </w:tc>
      </w:tr>
    </w:tbl>
    <w:p>
      <w:pPr>
        <w:spacing w:after="0" w:before="0"/>
      </w:pPr>
      <w:r>
        <w:t xml:space="preserve"/>
      </w:r>
    </w:p>
    <w:p>
      <w:pPr>
        <w:pStyle w:val="Heading3"/>
        <w:spacing w:after="80" w:before="220"/>
      </w:pPr>
      <w:r>
        <w:rPr>
          <w:rFonts w:ascii="Arial" w:cs="Arial" w:eastAsia="Arial" w:hAnsi="Arial"/>
          <w:b/>
          <w:bCs/>
          <w:color w:val="374151"/>
          <w:sz w:val="24"/>
          <w:szCs w:val="24"/>
        </w:rPr>
        <w:t xml:space="preserve">Group D — Financial Amounts (Columns 11 to 16)</w:t>
      </w:r>
    </w:p>
    <w:p>
      <w:pPr>
        <w:spacing w:after="80" w:before="60"/>
        <w:jc w:val="both"/>
      </w:pPr>
      <w:r>
        <w:rPr>
          <w:rFonts w:ascii="Arial" w:cs="Arial" w:eastAsia="Arial" w:hAnsi="Arial"/>
          <w:b w:val="false"/>
          <w:bCs w:val="false"/>
          <w:i w:val="false"/>
          <w:iCs w:val="false"/>
          <w:color w:val="0F172A"/>
          <w:sz w:val="22"/>
          <w:szCs w:val="22"/>
        </w:rPr>
        <w:t xml:space="preserve">These six columns are the numerical heart of the dataset. They capture the complete budget performance lifecycle for every transaction: what was approved, what was spent, how much it differed, and at what rate the budget was consumed.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1200"/>
        <w:gridCol w:w="3000"/>
        <w:gridCol w:w="3200"/>
      </w:tblGrid>
      <w:tr>
        <w:trPr>
          <w:tblHeader/>
        </w:trPr>
        <w:tc>
          <w:tcPr>
            <w:tcW w:type="dxa" w:w="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 Name</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Range in Dataset</w:t>
            </w:r>
          </w:p>
        </w:tc>
      </w:tr>
      <w:tr>
        <w:tc>
          <w:tcPr>
            <w:tcW w:type="dxa" w:w="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11</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budget_amount</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Float64</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The approved budget allocation for this transaction as passed by the Lagos State House of Assembly. This is the PLANNED amount — what was authorised to be spent or collected. All values in Nigerian Naira (NGN).</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Min: NGN 162,039 | Max: NGN 1.99 billion | Mean: NGN 190.2 million | Median: NGN 43.1 million</w:t>
            </w:r>
          </w:p>
        </w:tc>
      </w:tr>
      <w:tr>
        <w:tc>
          <w:tcPr>
            <w:tcW w:type="dxa" w:w="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12</w:t>
            </w:r>
          </w:p>
        </w:tc>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actual_amount</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Float64</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The actual money that was paid or received. This is the EXECUTED amount — what actually happened. Comparing this with budget_amount is the foundation of budget performance analysis.</w:t>
            </w:r>
          </w:p>
        </w:tc>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Min: NGN 10,000 | Max: NGN 2.51 billion | Mean: NGN 190.4 million | Median: NGN 42.3 million</w:t>
            </w:r>
          </w:p>
        </w:tc>
      </w:tr>
      <w:tr>
        <w:tc>
          <w:tcPr>
            <w:tcW w:type="dxa" w:w="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13</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variance_amount</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Float64</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The absolute difference between actual and budget: variance_amount = actual_amount minus budget_amount. Positive = overspent or overcollected. Negative = underspent or undercollected.</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Min: -NGN 608.4 million (large underspend) | Max: +NGN 677.1 million (large overrun) | Mean: +NGN 197,700</w:t>
            </w:r>
          </w:p>
        </w:tc>
      </w:tr>
      <w:tr>
        <w:tc>
          <w:tcPr>
            <w:tcW w:type="dxa" w:w="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14</w:t>
            </w:r>
          </w:p>
        </w:tc>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variance_pct</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Float64</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The percentage variance: variance_pct = (actual minus budget) / budget x 100. This normalises the comparison across transactions of very different sizes. A 20% overrun means the same proportional problem whether the budget was NGN 10 million or NGN 1 billion.</w:t>
            </w:r>
          </w:p>
        </w:tc>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Min: -100.0% (full underspend) | Max: +78.38% (78% over budget) | Mean: +0.37% | Std: 21.83%</w:t>
            </w:r>
          </w:p>
        </w:tc>
      </w:tr>
      <w:tr>
        <w:tc>
          <w:tcPr>
            <w:tcW w:type="dxa" w:w="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15</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is_budget_overrun</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Integer (0 or 1)</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 binary flag: 1 if actual_amount is greater than budget_amount (overrun), 0 if it is equal or less (within budget). This is the primary audit flag column. The mean of this column across all 1,451 rows equals the overall budget overrun rate: 0.515 = 51.5%.</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0 = within budget (700 transactions) | 1 = over budget (751 transactions)</w:t>
            </w:r>
          </w:p>
        </w:tc>
      </w:tr>
      <w:tr>
        <w:tc>
          <w:tcPr>
            <w:tcW w:type="dxa" w:w="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16</w:t>
            </w:r>
          </w:p>
        </w:tc>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utilisation_rate_pct</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Float64</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The percentage of the approved budget that has actually been drawn down and utilised: (actual_amount / budget_amount) x 100. Can exceed 100% for overruns. 59 missing values exist because capital projects mid-implementation have not yet reported utilisation.</w:t>
            </w:r>
          </w:p>
        </w:tc>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Min: 5.0% | Max: 100.0% | Mean: 72.0% | Median: 73.3% | Missing: 59 rows</w:t>
            </w:r>
          </w:p>
        </w:tc>
      </w:tr>
    </w:tbl>
    <w:p>
      <w:pPr>
        <w:spacing w:after="0" w:before="0"/>
      </w:pPr>
      <w:r>
        <w:t xml:space="preserve"/>
      </w:r>
    </w:p>
    <w:p>
      <w:pPr>
        <w:pStyle w:val="Heading3"/>
        <w:spacing w:after="80" w:before="220"/>
      </w:pPr>
      <w:r>
        <w:rPr>
          <w:rFonts w:ascii="Arial" w:cs="Arial" w:eastAsia="Arial" w:hAnsi="Arial"/>
          <w:b/>
          <w:bCs/>
          <w:color w:val="374151"/>
          <w:sz w:val="24"/>
          <w:szCs w:val="24"/>
        </w:rPr>
        <w:t xml:space="preserve">Group E — Payment &amp; Processing Information (Columns 17 to 21)</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1200"/>
        <w:gridCol w:w="6200"/>
      </w:tblGrid>
      <w:tr>
        <w:trPr>
          <w:tblHeader/>
        </w:trPr>
        <w:tc>
          <w:tcPr>
            <w:tcW w:type="dxa" w:w="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 Name</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6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 &amp; Values</w:t>
            </w:r>
          </w:p>
        </w:tc>
      </w:tr>
      <w:tr>
        <w:tc>
          <w:tcPr>
            <w:tcW w:type="dxa" w:w="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17</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payment_mode</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String</w:t>
            </w:r>
          </w:p>
        </w:tc>
        <w:tc>
          <w:tcPr>
            <w:tcW w:type="dxa" w:w="6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How the money was transferred. Seven modes appear in the dataset:
(1) IPPIS Transfer — Integrated Payroll and Personnel Information System. Federal government platform for civil servant salary payments. Used for all Personnel Cost transactions.
(2) REMITA — Government payment gateway used widely across Nigerian MDAs for large institutional transfers.
(3) Direct Bank Transfer — Manual electronic transfer between bank accounts. Higher risk than automated systems.
(4) Online Portal — Digital payment platform (e.g. LASG e-payment portal).
(5) Cheque — Physical cheque payment. Declining in usage but still significant (NGN 23.4 billion across the dataset).
(6) TSA Transfer — Treasury Single Account transfer. Centralised government funds management system.
(7) Cash — Physical cash payment. The smallest category (NGN 4.87 billion) and the hardest to audit — a red flag if high.</w:t>
            </w:r>
          </w:p>
        </w:tc>
      </w:tr>
      <w:tr>
        <w:tc>
          <w:tcPr>
            <w:tcW w:type="dxa" w:w="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18</w:t>
            </w:r>
          </w:p>
        </w:tc>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bank_name</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String</w:t>
            </w:r>
          </w:p>
        </w:tc>
        <w:tc>
          <w:tcPr>
            <w:tcW w:type="dxa" w:w="6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The name of the receiving commercial bank. Values include Zenith Bank, Access Bank, GTBank, UBA, First Bank, Stanbic IBTC, and others. 37 rows have missing bank names (stored as Unknown Bank after cleaning in Section 1) — representing transactions where the TSA integration with the receiving bank was not yet completed.</w:t>
            </w:r>
          </w:p>
        </w:tc>
      </w:tr>
      <w:tr>
        <w:tc>
          <w:tcPr>
            <w:tcW w:type="dxa" w:w="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19</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processing_days</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Float64</w:t>
            </w:r>
          </w:p>
        </w:tc>
        <w:tc>
          <w:tcPr>
            <w:tcW w:type="dxa" w:w="6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The number of calendar days from when the payment was initiated to when it was completed and cleared. Float64 (not integer) because 45 rows had missing values — NaN forces integer columns to become float in pandas. After Section 1 cleaning, missing values are filled with transaction-type-specific medians.</w:t>
            </w:r>
          </w:p>
        </w:tc>
      </w:tr>
      <w:tr>
        <w:tc>
          <w:tcPr>
            <w:tcW w:type="dxa" w:w="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20</w:t>
            </w:r>
          </w:p>
        </w:tc>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approval_level</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String</w:t>
            </w:r>
          </w:p>
        </w:tc>
        <w:tc>
          <w:tcPr>
            <w:tcW w:type="dxa" w:w="6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The government official or level that authorised this transaction. Six levels exist in ascending seniority:
(1) Director — departmental head approval (typically for amounts up to NGN 10 million)
(2) Permanent Secretary — ministry secretary approval (NGN 10 million to NGN 50 million)
(3) Accountant General — Lagos State chief accountant approval
(4) Commissioner — ministerial head approval (NGN 50 million to NGN 500 million)
(5) Governor — highest state authority (transactions above NGN 500 million)
(6) Pending Assignment — 37 transactions not yet routed to an approver (filled as such in Section 1)</w:t>
            </w:r>
          </w:p>
        </w:tc>
      </w:tr>
      <w:tr>
        <w:tc>
          <w:tcPr>
            <w:tcW w:type="dxa" w:w="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21</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audit_status</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String</w:t>
            </w:r>
          </w:p>
        </w:tc>
        <w:tc>
          <w:tcPr>
            <w:tcW w:type="dxa" w:w="6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The current audit standing of the transaction as assessed by the Auditor General's office. Four statuses:
(1) Cleared — 1,018 transactions (70.2%). Auditor has reviewed and found no issues. Compliant.
(2) Pending Audit — 170 transactions (11.7%). Not yet reviewed. Normal backlog.
(3) Flagged for Review — 173 transactions (11.9%). Auditor has raised a concern but not yet concluded the investigation.
(4) Queried — 90 transactions (6.2%). Auditor General has formally questioned the transaction. Requires a formal response. The most serious status.</w:t>
            </w:r>
          </w:p>
        </w:tc>
      </w:tr>
    </w:tbl>
    <w:p>
      <w:pPr>
        <w:spacing w:after="0" w:before="0"/>
      </w:pPr>
      <w:r>
        <w:t xml:space="preserve"/>
      </w:r>
    </w:p>
    <w:p>
      <w:pPr>
        <w:pStyle w:val="Heading3"/>
        <w:spacing w:after="80" w:before="220"/>
      </w:pPr>
      <w:r>
        <w:rPr>
          <w:rFonts w:ascii="Arial" w:cs="Arial" w:eastAsia="Arial" w:hAnsi="Arial"/>
          <w:b/>
          <w:bCs/>
          <w:color w:val="374151"/>
          <w:sz w:val="24"/>
          <w:szCs w:val="24"/>
        </w:rPr>
        <w:t xml:space="preserve">Group F — Classification Summary (Column 22)</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
        <w:gridCol w:w="1800"/>
        <w:gridCol w:w="1200"/>
        <w:gridCol w:w="6200"/>
      </w:tblGrid>
      <w:tr>
        <w:trPr>
          <w:tblHeader/>
        </w:trPr>
        <w:tc>
          <w:tcPr>
            <w:tcW w:type="dxa" w:w="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 Name</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Type</w:t>
            </w:r>
          </w:p>
        </w:tc>
        <w:tc>
          <w:tcPr>
            <w:tcW w:type="dxa" w:w="6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22</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fiscal_classification</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String</w:t>
            </w:r>
          </w:p>
        </w:tc>
        <w:tc>
          <w:tcPr>
            <w:tcW w:type="dxa" w:w="6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An alternative classification that mirrors the classification column (Revenue or Expenditure) but is labelled from a fiscal accounting perspective. In some analyses this column is used as a cross-check against the classification column to confirm consistency across the dataset.</w:t>
            </w:r>
          </w:p>
        </w:tc>
      </w:tr>
    </w:tbl>
    <w:p>
      <w:pPr>
        <w:spacing w:after="0" w:before="0"/>
      </w:pPr>
      <w:r>
        <w:t xml:space="preserve"/>
      </w:r>
    </w:p>
    <w:p>
      <w:pPr>
        <w:pStyle w:val="Heading2"/>
        <w:spacing w:after="120" w:before="300"/>
      </w:pPr>
      <w:r>
        <w:rPr>
          <w:rFonts w:ascii="Arial" w:cs="Arial" w:eastAsia="Arial" w:hAnsi="Arial"/>
          <w:b/>
          <w:bCs/>
          <w:color w:val="1D4ED8"/>
          <w:sz w:val="28"/>
          <w:szCs w:val="28"/>
        </w:rPr>
        <w:t xml:space="preserve">1.4 The 20 MDAs — Complete List</w:t>
      </w:r>
    </w:p>
    <w:p>
      <w:pPr>
        <w:spacing w:after="80" w:before="60"/>
        <w:jc w:val="both"/>
      </w:pPr>
      <w:r>
        <w:rPr>
          <w:rFonts w:ascii="Arial" w:cs="Arial" w:eastAsia="Arial" w:hAnsi="Arial"/>
          <w:b w:val="false"/>
          <w:bCs w:val="false"/>
          <w:i w:val="false"/>
          <w:iCs w:val="false"/>
          <w:color w:val="0F172A"/>
          <w:sz w:val="22"/>
          <w:szCs w:val="22"/>
        </w:rPr>
        <w:t xml:space="preserve">Every transaction in the dataset belongs to one of the following 20 government bodies. Understanding what each MDA does is essential for interpreting the financial figures — a 60% budget overrun at the Ministry of Works has a different cause and consequence than a 60% overrun at the Ministry of Finance.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4360"/>
      </w:tblGrid>
      <w:tr>
        <w:trPr>
          <w:tblHeader/>
        </w:trPr>
        <w:tc>
          <w:tcPr>
            <w:tcW w:type="dxa" w:w="3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MDA Name</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4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Financial Role</w:t>
            </w:r>
          </w:p>
        </w:tc>
      </w:tr>
      <w:tr>
        <w:tc>
          <w:tcPr>
            <w:tcW w:type="dxa" w:w="3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Ministry of Agriculture</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Ministry</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Farm development, food security grants, and agricultural extension programmes</w:t>
            </w:r>
          </w:p>
        </w:tc>
      </w:tr>
      <w:tr>
        <w:tc>
          <w:tcPr>
            <w:tcW w:type="dxa" w:w="3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Lagos State Building Control Agency (LASBCA)</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Agency</w:t>
            </w:r>
          </w:p>
        </w:tc>
        <w:tc>
          <w:tcPr>
            <w:tcW w:type="dxa" w:w="4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Building permits, demolition enforcement, urban development compliance</w:t>
            </w:r>
          </w:p>
        </w:tc>
      </w:tr>
      <w:tr>
        <w:tc>
          <w:tcPr>
            <w:tcW w:type="dxa" w:w="3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Office of the Governor</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Executive Office</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Governor's operational budget, state protocol, and executive coordination</w:t>
            </w:r>
          </w:p>
        </w:tc>
      </w:tr>
      <w:tr>
        <w:tc>
          <w:tcPr>
            <w:tcW w:type="dxa" w:w="3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Ministry of Health</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Ministry</w:t>
            </w:r>
          </w:p>
        </w:tc>
        <w:tc>
          <w:tcPr>
            <w:tcW w:type="dxa" w:w="4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Healthcare infrastructure, public health programmes, and hospital oversight</w:t>
            </w:r>
          </w:p>
        </w:tc>
      </w:tr>
      <w:tr>
        <w:tc>
          <w:tcPr>
            <w:tcW w:type="dxa" w:w="3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Ministry of Education</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Ministry</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School construction, teacher recruitment, and tertiary education funding</w:t>
            </w:r>
          </w:p>
        </w:tc>
      </w:tr>
      <w:tr>
        <w:tc>
          <w:tcPr>
            <w:tcW w:type="dxa" w:w="3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Ministry of Works &amp; Infrastructure</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Ministry</w:t>
            </w:r>
          </w:p>
        </w:tc>
        <w:tc>
          <w:tcPr>
            <w:tcW w:type="dxa" w:w="4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Roads, bridges, drainage, and infrastructure capital projects</w:t>
            </w:r>
          </w:p>
        </w:tc>
      </w:tr>
      <w:tr>
        <w:tc>
          <w:tcPr>
            <w:tcW w:type="dxa" w:w="3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Lagos Metropolitan Area Transport Authority (LAMATA)</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Authority</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BRT operations, road transport planning, and transit infrastructure</w:t>
            </w:r>
          </w:p>
        </w:tc>
      </w:tr>
      <w:tr>
        <w:tc>
          <w:tcPr>
            <w:tcW w:type="dxa" w:w="3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Lagos State Teaching Hospital (LASUTH)</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Hospital</w:t>
            </w:r>
          </w:p>
        </w:tc>
        <w:tc>
          <w:tcPr>
            <w:tcW w:type="dxa" w:w="4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Tertiary hospital services, specialist care, and medical equipment</w:t>
            </w:r>
          </w:p>
        </w:tc>
      </w:tr>
      <w:tr>
        <w:tc>
          <w:tcPr>
            <w:tcW w:type="dxa" w:w="3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Ministry of Finance</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Ministry</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Budget coordination, public debt management, and fiscal policy — the government's chief financial control body</w:t>
            </w:r>
          </w:p>
        </w:tc>
      </w:tr>
      <w:tr>
        <w:tc>
          <w:tcPr>
            <w:tcW w:type="dxa" w:w="3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Lagos State Internal Revenue Service (LIRS)</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Revenue Agency</w:t>
            </w:r>
          </w:p>
        </w:tc>
        <w:tc>
          <w:tcPr>
            <w:tcW w:type="dxa" w:w="4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Income tax, consumption tax, land use charge, and all IGR collection</w:t>
            </w:r>
          </w:p>
        </w:tc>
      </w:tr>
      <w:tr>
        <w:tc>
          <w:tcPr>
            <w:tcW w:type="dxa" w:w="3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Lagos State Employment Trust Fund (LSETF)</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Fund</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Youth employment loans, business grants, and skills development</w:t>
            </w:r>
          </w:p>
        </w:tc>
      </w:tr>
      <w:tr>
        <w:tc>
          <w:tcPr>
            <w:tcW w:type="dxa" w:w="3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Lagos State Universal Basic Education Board (SUBEB)</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Board</w:t>
            </w:r>
          </w:p>
        </w:tc>
        <w:tc>
          <w:tcPr>
            <w:tcW w:type="dxa" w:w="4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Primary school infrastructure, teacher training, and UBE fund management</w:t>
            </w:r>
          </w:p>
        </w:tc>
      </w:tr>
      <w:tr>
        <w:tc>
          <w:tcPr>
            <w:tcW w:type="dxa" w:w="3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Lagos State Public Works Corporation</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Corporation</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Road maintenance, public facility upkeep, and minor infrastructure</w:t>
            </w:r>
          </w:p>
        </w:tc>
      </w:tr>
      <w:tr>
        <w:tc>
          <w:tcPr>
            <w:tcW w:type="dxa" w:w="3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Ministry of Justice</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Ministry</w:t>
            </w:r>
          </w:p>
        </w:tc>
        <w:tc>
          <w:tcPr>
            <w:tcW w:type="dxa" w:w="4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Legal representation, prosecution services, and contract law review</w:t>
            </w:r>
          </w:p>
        </w:tc>
      </w:tr>
      <w:tr>
        <w:tc>
          <w:tcPr>
            <w:tcW w:type="dxa" w:w="3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Ministry of Environment</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Ministry</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Environmental regulation, waste policy, and climate action grants</w:t>
            </w:r>
          </w:p>
        </w:tc>
      </w:tr>
      <w:tr>
        <w:tc>
          <w:tcPr>
            <w:tcW w:type="dxa" w:w="3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Lagos State Waste Management Authority (LAWMA)</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Authority</w:t>
            </w:r>
          </w:p>
        </w:tc>
        <w:tc>
          <w:tcPr>
            <w:tcW w:type="dxa" w:w="4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Solid waste collection, recycling, and environmental sanitation</w:t>
            </w:r>
          </w:p>
        </w:tc>
      </w:tr>
      <w:tr>
        <w:tc>
          <w:tcPr>
            <w:tcW w:type="dxa" w:w="3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Lagos State Water Corporation</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Corporation</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Water treatment, distribution, and infrastructure maintenance</w:t>
            </w:r>
          </w:p>
        </w:tc>
      </w:tr>
      <w:tr>
        <w:tc>
          <w:tcPr>
            <w:tcW w:type="dxa" w:w="3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Ministry of Housing</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Ministry</w:t>
            </w:r>
          </w:p>
        </w:tc>
        <w:tc>
          <w:tcPr>
            <w:tcW w:type="dxa" w:w="4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Social housing construction, affordable housing programmes, and estate management</w:t>
            </w:r>
          </w:p>
        </w:tc>
      </w:tr>
      <w:tr>
        <w:tc>
          <w:tcPr>
            <w:tcW w:type="dxa" w:w="3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Lagos State Emergency Management Agency (LASEMA)</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Agency</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Disaster response, emergency relief, and crisis coordination</w:t>
            </w:r>
          </w:p>
        </w:tc>
      </w:tr>
      <w:tr>
        <w:tc>
          <w:tcPr>
            <w:tcW w:type="dxa" w:w="3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Lagos Island General Hospital</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Hospital</w:t>
            </w:r>
          </w:p>
        </w:tc>
        <w:tc>
          <w:tcPr>
            <w:tcW w:type="dxa" w:w="4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General medical services, outpatient care, and public health delivery</w:t>
            </w:r>
          </w:p>
        </w:tc>
      </w:tr>
    </w:tbl>
    <w:p>
      <w:pPr>
        <w:spacing w:after="0" w:before="0"/>
      </w:pPr>
      <w:r>
        <w:t xml:space="preserve"/>
      </w:r>
    </w:p>
    <w:p>
      <w:pPr>
        <w:pStyle w:val="Heading2"/>
        <w:spacing w:after="120" w:before="300"/>
      </w:pPr>
      <w:r>
        <w:rPr>
          <w:rFonts w:ascii="Arial" w:cs="Arial" w:eastAsia="Arial" w:hAnsi="Arial"/>
          <w:b/>
          <w:bCs/>
          <w:color w:val="1D4ED8"/>
          <w:sz w:val="28"/>
          <w:szCs w:val="28"/>
        </w:rPr>
        <w:t xml:space="preserve">1.5 Missing Values in the Raw Dataset</w:t>
      </w:r>
    </w:p>
    <w:p>
      <w:pPr>
        <w:spacing w:after="80" w:before="60"/>
        <w:jc w:val="both"/>
      </w:pPr>
      <w:r>
        <w:rPr>
          <w:rFonts w:ascii="Arial" w:cs="Arial" w:eastAsia="Arial" w:hAnsi="Arial"/>
          <w:b w:val="false"/>
          <w:bCs w:val="false"/>
          <w:i w:val="false"/>
          <w:iCs w:val="false"/>
          <w:color w:val="0F172A"/>
          <w:sz w:val="22"/>
          <w:szCs w:val="22"/>
        </w:rPr>
        <w:t xml:space="preserve">The dataset arrives with 178 missing values spread across 4 columns. Understanding WHY values are missing is as important as knowing HOW MANY are missing — it determines the correct treatment strategy.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800"/>
        <w:gridCol w:w="3400"/>
        <w:gridCol w:w="23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Missing Count</w:t>
            </w:r>
          </w:p>
        </w:tc>
        <w:tc>
          <w:tcPr>
            <w:tcW w:type="dxa" w:w="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of Rows</w:t>
            </w:r>
          </w:p>
        </w:tc>
        <w:tc>
          <w:tcPr>
            <w:tcW w:type="dxa" w:w="3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Why Missing</w:t>
            </w:r>
          </w:p>
        </w:tc>
        <w:tc>
          <w:tcPr>
            <w:tcW w:type="dxa" w:w="2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Treatment Applied</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utilisation_rate_pct</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59</w:t>
            </w:r>
          </w:p>
        </w:tc>
        <w:tc>
          <w:tcPr>
            <w:tcW w:type="dxa" w:w="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4.1%</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Capital projects in mid-implementation have no completed output to report yet. A project approved in November 2023 has nothing to show for December.</w:t>
            </w:r>
          </w:p>
        </w:tc>
        <w:tc>
          <w:tcPr>
            <w:tcW w:type="dxa" w:w="2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Filled with transaction-type specific median utilisation rate</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processing_days</w:t>
            </w:r>
          </w:p>
        </w:tc>
        <w:tc>
          <w:tcPr>
            <w:tcW w:type="dxa" w:w="1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45</w:t>
            </w:r>
          </w:p>
        </w:tc>
        <w:tc>
          <w:tcPr>
            <w:tcW w:type="dxa" w:w="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3.1%</w:t>
            </w:r>
          </w:p>
        </w:tc>
        <w:tc>
          <w:tcPr>
            <w:tcW w:type="dxa" w:w="3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Transactions still in the approval pipeline when data was extracted. The payment has not yet cleared so processing time cannot be computed.</w:t>
            </w:r>
          </w:p>
        </w:tc>
        <w:tc>
          <w:tcPr>
            <w:tcW w:type="dxa" w:w="2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Filled with transaction-type specific median processing days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bank_name</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37</w:t>
            </w:r>
          </w:p>
        </w:tc>
        <w:tc>
          <w:tcPr>
            <w:tcW w:type="dxa" w:w="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2.5%</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TSA (Treasury Single Account) integration not yet completed for these disbursements — receiving bank not yet linked in the system.</w:t>
            </w:r>
          </w:p>
        </w:tc>
        <w:tc>
          <w:tcPr>
            <w:tcW w:type="dxa" w:w="2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Filled with the string "Unknown Bank" to preserve audit trail</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approval_level</w:t>
            </w:r>
          </w:p>
        </w:tc>
        <w:tc>
          <w:tcPr>
            <w:tcW w:type="dxa" w:w="1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37</w:t>
            </w:r>
          </w:p>
        </w:tc>
        <w:tc>
          <w:tcPr>
            <w:tcW w:type="dxa" w:w="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2.5%</w:t>
            </w:r>
          </w:p>
        </w:tc>
        <w:tc>
          <w:tcPr>
            <w:tcW w:type="dxa" w:w="3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Transactions pending routing to the appropriate authority level — not yet assigned to a Director, Commissioner or Governor.</w:t>
            </w:r>
          </w:p>
        </w:tc>
        <w:tc>
          <w:tcPr>
            <w:tcW w:type="dxa" w:w="2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Filled with "Pending Assignment" — this IS the correct operational state</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ALL OTHER COLUMNS</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0</w:t>
            </w:r>
          </w:p>
        </w:tc>
        <w:tc>
          <w:tcPr>
            <w:tcW w:type="dxa" w:w="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0%</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All other 18 columns are fully complete — transaction IDs, amounts, types, dates, and audit statuses have no gaps.</w:t>
            </w:r>
          </w:p>
        </w:tc>
        <w:tc>
          <w:tcPr>
            <w:tcW w:type="dxa" w:w="2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No action needed</w:t>
            </w:r>
          </w:p>
        </w:tc>
      </w:tr>
    </w:tbl>
    <w:p>
      <w:r>
        <w:br w:type="page"/>
      </w:r>
    </w:p>
    <w:p>
      <w:pPr>
        <w:pStyle w:val="Heading1"/>
        <w:spacing w:after="160" w:before="400"/>
      </w:pPr>
      <w:r>
        <w:rPr>
          <w:rFonts w:ascii="Arial" w:cs="Arial" w:eastAsia="Arial" w:hAnsi="Arial"/>
          <w:b/>
          <w:bCs/>
          <w:color w:val="1E3A5F"/>
          <w:sz w:val="36"/>
          <w:szCs w:val="36"/>
        </w:rPr>
        <w:t xml:space="preserve">PART 2 — LINE-BY-LINE CODE EXPLANATION</w:t>
      </w:r>
    </w:p>
    <w:p>
      <w:pPr>
        <w:spacing w:after="80" w:before="60"/>
        <w:jc w:val="both"/>
      </w:pPr>
      <w:r>
        <w:rPr>
          <w:rFonts w:ascii="Arial" w:cs="Arial" w:eastAsia="Arial" w:hAnsi="Arial"/>
          <w:b w:val="false"/>
          <w:bCs w:val="false"/>
          <w:i w:val="false"/>
          <w:iCs w:val="false"/>
          <w:color w:val="0F172A"/>
          <w:sz w:val="22"/>
          <w:szCs w:val="22"/>
        </w:rPr>
        <w:t xml:space="preserve">This part walks through every code cell in the notebook in the order they appear, explaining each line of code, why it was written that way, and what problem it solves. The notebook is divided into 10 sections (0 through 9). Each section builds on the previous.</w:t>
      </w:r>
    </w:p>
    <w:p>
      <w:pPr>
        <w:spacing w:after="0" w:before="0"/>
      </w:pPr>
      <w:r>
        <w:t xml:space="preserve"/>
      </w:r>
    </w:p>
    <w:p>
      <w:pPr>
        <w:pStyle w:val="Heading2"/>
        <w:spacing w:after="120" w:before="300"/>
      </w:pPr>
      <w:r>
        <w:rPr>
          <w:rFonts w:ascii="Arial" w:cs="Arial" w:eastAsia="Arial" w:hAnsi="Arial"/>
          <w:b/>
          <w:bCs/>
          <w:color w:val="1D4ED8"/>
          <w:sz w:val="28"/>
          <w:szCs w:val="28"/>
        </w:rPr>
        <w:t xml:space="preserve">Section 0 — Load and Inspect</w:t>
      </w:r>
    </w:p>
    <w:p>
      <w:pPr>
        <w:pStyle w:val="Heading3"/>
        <w:spacing w:after="80" w:before="220"/>
      </w:pPr>
      <w:r>
        <w:rPr>
          <w:rFonts w:ascii="Arial" w:cs="Arial" w:eastAsia="Arial" w:hAnsi="Arial"/>
          <w:b/>
          <w:bCs/>
          <w:color w:val="374151"/>
          <w:sz w:val="24"/>
          <w:szCs w:val="24"/>
        </w:rPr>
        <w:t xml:space="preserve">Cell 0.0 — Import Libraries and Set Global Style</w:t>
      </w:r>
    </w:p>
    <w:p>
      <w:pPr>
        <w:spacing w:after="80" w:before="60"/>
        <w:jc w:val="both"/>
      </w:pPr>
      <w:r>
        <w:rPr>
          <w:rFonts w:ascii="Arial" w:cs="Arial" w:eastAsia="Arial" w:hAnsi="Arial"/>
          <w:b w:val="false"/>
          <w:bCs w:val="false"/>
          <w:i w:val="false"/>
          <w:iCs w:val="false"/>
          <w:color w:val="0F172A"/>
          <w:sz w:val="22"/>
          <w:szCs w:val="22"/>
        </w:rPr>
        <w:t xml:space="preserve">This is always the first cell in a professional analytics notebook. Every dependency is imported in one place so that anyone reading the notebook immediately sees what tools the project uses.</w:t>
      </w:r>
    </w:p>
    <w:p>
      <w:pPr>
        <w:spacing w:after="0" w:before="0"/>
      </w:pPr>
      <w:r>
        <w:t xml:space="preserve"/>
      </w:r>
    </w:p>
    <w:p>
      <w:pPr>
        <w:spacing w:after="80" w:before="60"/>
        <w:jc w:val="both"/>
      </w:pPr>
      <w:r>
        <w:rPr>
          <w:rFonts w:ascii="Arial" w:cs="Arial" w:eastAsia="Arial" w:hAnsi="Arial"/>
          <w:b/>
          <w:bCs/>
          <w:i w:val="false"/>
          <w:iCs w:val="false"/>
          <w:color w:val="0F172A"/>
          <w:sz w:val="22"/>
          <w:szCs w:val="22"/>
        </w:rPr>
        <w:t xml:space="preserve">import pandas as pd</w:t>
      </w:r>
    </w:p>
    <w:p>
      <w:pPr>
        <w:spacing w:after="80" w:before="60"/>
        <w:jc w:val="both"/>
      </w:pPr>
      <w:r>
        <w:rPr>
          <w:rFonts w:ascii="Arial" w:cs="Arial" w:eastAsia="Arial" w:hAnsi="Arial"/>
          <w:b w:val="false"/>
          <w:bCs w:val="false"/>
          <w:i w:val="false"/>
          <w:iCs w:val="false"/>
          <w:color w:val="0F172A"/>
          <w:sz w:val="22"/>
          <w:szCs w:val="22"/>
        </w:rPr>
        <w:t xml:space="preserve">pandas is the primary data analysis library for Python. It provides the DataFrame data structure — a table of rows and columns — and over 500 functions for loading, cleaning, transforming, and summarising tabular data. The alias "pd" is the universal convention used by every Python data analyst in the world.</w:t>
      </w:r>
    </w:p>
    <w:p>
      <w:pPr>
        <w:spacing w:after="80" w:before="60"/>
        <w:jc w:val="both"/>
      </w:pPr>
      <w:r>
        <w:rPr>
          <w:rFonts w:ascii="Arial" w:cs="Arial" w:eastAsia="Arial" w:hAnsi="Arial"/>
          <w:b/>
          <w:bCs/>
          <w:i w:val="false"/>
          <w:iCs w:val="false"/>
          <w:color w:val="0F172A"/>
          <w:sz w:val="22"/>
          <w:szCs w:val="22"/>
        </w:rPr>
        <w:t xml:space="preserve">import numpy as np</w:t>
      </w:r>
    </w:p>
    <w:p>
      <w:pPr>
        <w:spacing w:after="80" w:before="60"/>
        <w:jc w:val="both"/>
      </w:pPr>
      <w:r>
        <w:rPr>
          <w:rFonts w:ascii="Arial" w:cs="Arial" w:eastAsia="Arial" w:hAnsi="Arial"/>
          <w:b w:val="false"/>
          <w:bCs w:val="false"/>
          <w:i w:val="false"/>
          <w:iCs w:val="false"/>
          <w:color w:val="0F172A"/>
          <w:sz w:val="22"/>
          <w:szCs w:val="22"/>
        </w:rPr>
        <w:t xml:space="preserve">NumPy provides numerical computing support: arrays, mathematical functions, and efficient computations on entire columns at once. It is used in this notebook for np.triu (creating the upper-triangle mask for the heatmap) and for percentile calculations.</w:t>
      </w:r>
    </w:p>
    <w:p>
      <w:pPr>
        <w:spacing w:after="80" w:before="60"/>
        <w:jc w:val="both"/>
      </w:pPr>
      <w:r>
        <w:rPr>
          <w:rFonts w:ascii="Arial" w:cs="Arial" w:eastAsia="Arial" w:hAnsi="Arial"/>
          <w:b/>
          <w:bCs/>
          <w:i w:val="false"/>
          <w:iCs w:val="false"/>
          <w:color w:val="0F172A"/>
          <w:sz w:val="22"/>
          <w:szCs w:val="22"/>
        </w:rPr>
        <w:t xml:space="preserve">import matplotlib.pyplot as plt</w:t>
      </w:r>
    </w:p>
    <w:p>
      <w:pPr>
        <w:spacing w:after="80" w:before="60"/>
        <w:jc w:val="both"/>
      </w:pPr>
      <w:r>
        <w:rPr>
          <w:rFonts w:ascii="Arial" w:cs="Arial" w:eastAsia="Arial" w:hAnsi="Arial"/>
          <w:b w:val="false"/>
          <w:bCs w:val="false"/>
          <w:i w:val="false"/>
          <w:iCs w:val="false"/>
          <w:color w:val="0F172A"/>
          <w:sz w:val="22"/>
          <w:szCs w:val="22"/>
        </w:rPr>
        <w:t xml:space="preserve">matplotlib is the base plotting engine that produces every chart in the notebook. All bar charts, line charts, histograms, and scatter plots are rendered through matplotlib. pyplot is its interactive interface. The alias "plt" is the universal convention.</w:t>
      </w:r>
    </w:p>
    <w:p>
      <w:pPr>
        <w:spacing w:after="80" w:before="60"/>
        <w:jc w:val="both"/>
      </w:pPr>
      <w:r>
        <w:rPr>
          <w:rFonts w:ascii="Arial" w:cs="Arial" w:eastAsia="Arial" w:hAnsi="Arial"/>
          <w:b/>
          <w:bCs/>
          <w:i w:val="false"/>
          <w:iCs w:val="false"/>
          <w:color w:val="0F172A"/>
          <w:sz w:val="22"/>
          <w:szCs w:val="22"/>
        </w:rPr>
        <w:t xml:space="preserve">import matplotlib.ticker as mticker</w:t>
      </w:r>
    </w:p>
    <w:p>
      <w:pPr>
        <w:spacing w:after="80" w:before="60"/>
        <w:jc w:val="both"/>
      </w:pPr>
      <w:r>
        <w:rPr>
          <w:rFonts w:ascii="Arial" w:cs="Arial" w:eastAsia="Arial" w:hAnsi="Arial"/>
          <w:b w:val="false"/>
          <w:bCs w:val="false"/>
          <w:i w:val="false"/>
          <w:iCs w:val="false"/>
          <w:color w:val="0F172A"/>
          <w:sz w:val="22"/>
          <w:szCs w:val="22"/>
        </w:rPr>
        <w:t xml:space="preserve">A sub-module of matplotlib used to format axis labels. Used here to display large naira values as readable billions (NGN 276.3B instead of 276267782248) on chart axes.</w:t>
      </w:r>
    </w:p>
    <w:p>
      <w:pPr>
        <w:spacing w:after="80" w:before="60"/>
        <w:jc w:val="both"/>
      </w:pPr>
      <w:r>
        <w:rPr>
          <w:rFonts w:ascii="Arial" w:cs="Arial" w:eastAsia="Arial" w:hAnsi="Arial"/>
          <w:b/>
          <w:bCs/>
          <w:i w:val="false"/>
          <w:iCs w:val="false"/>
          <w:color w:val="0F172A"/>
          <w:sz w:val="22"/>
          <w:szCs w:val="22"/>
        </w:rPr>
        <w:t xml:space="preserve">import seaborn as sns</w:t>
      </w:r>
    </w:p>
    <w:p>
      <w:pPr>
        <w:spacing w:after="80" w:before="60"/>
        <w:jc w:val="both"/>
      </w:pPr>
      <w:r>
        <w:rPr>
          <w:rFonts w:ascii="Arial" w:cs="Arial" w:eastAsia="Arial" w:hAnsi="Arial"/>
          <w:b w:val="false"/>
          <w:bCs w:val="false"/>
          <w:i w:val="false"/>
          <w:iCs w:val="false"/>
          <w:color w:val="0F172A"/>
          <w:sz w:val="22"/>
          <w:szCs w:val="22"/>
        </w:rPr>
        <w:t xml:space="preserve">seaborn is a statistical chart library built on top of matplotlib. It provides sns.heatmap() — a single function that replaces 50+ lines of raw matplotlib code for drawing the correlation matrix and missing value pattern heatmaps.</w:t>
      </w:r>
    </w:p>
    <w:p>
      <w:pPr>
        <w:spacing w:after="80" w:before="60"/>
        <w:jc w:val="both"/>
      </w:pPr>
      <w:r>
        <w:rPr>
          <w:rFonts w:ascii="Arial" w:cs="Arial" w:eastAsia="Arial" w:hAnsi="Arial"/>
          <w:b/>
          <w:bCs/>
          <w:i w:val="false"/>
          <w:iCs w:val="false"/>
          <w:color w:val="0F172A"/>
          <w:sz w:val="22"/>
          <w:szCs w:val="22"/>
        </w:rPr>
        <w:t xml:space="preserve">warnings.filterwarnings("ignore")</w:t>
      </w:r>
    </w:p>
    <w:p>
      <w:pPr>
        <w:spacing w:after="80" w:before="60"/>
        <w:jc w:val="both"/>
      </w:pPr>
      <w:r>
        <w:rPr>
          <w:rFonts w:ascii="Arial" w:cs="Arial" w:eastAsia="Arial" w:hAnsi="Arial"/>
          <w:b w:val="false"/>
          <w:bCs w:val="false"/>
          <w:i w:val="false"/>
          <w:iCs w:val="false"/>
          <w:color w:val="0F172A"/>
          <w:sz w:val="22"/>
          <w:szCs w:val="22"/>
        </w:rPr>
        <w:t xml:space="preserve">pandas 3.x produces deprecation warnings about future API changes that are not errors — they do not affect the results. Suppressing them keeps the training notebook output clean and prevents students from being confused by warning messages that do not indicate problems.</w:t>
      </w:r>
    </w:p>
    <w:p>
      <w:pPr>
        <w:spacing w:after="0" w:before="0"/>
      </w:pPr>
      <w:r>
        <w:t xml:space="preserve"/>
      </w:r>
    </w:p>
    <w:p>
      <w:pPr>
        <w:spacing w:after="60" w:before="160"/>
      </w:pPr>
      <w:r>
        <w:rPr>
          <w:rFonts w:ascii="Arial" w:cs="Arial" w:eastAsia="Arial" w:hAnsi="Arial"/>
          <w:b/>
          <w:bCs/>
          <w:color w:val="1F2937"/>
          <w:sz w:val="22"/>
          <w:szCs w:val="22"/>
        </w:rPr>
        <w:t xml:space="preserve">Global Chart Styling (plt.rcParams)</w:t>
      </w:r>
    </w:p>
    <w:p>
      <w:pPr>
        <w:spacing w:after="80" w:before="60"/>
        <w:jc w:val="both"/>
      </w:pPr>
      <w:r>
        <w:rPr>
          <w:rFonts w:ascii="Arial" w:cs="Arial" w:eastAsia="Arial" w:hAnsi="Arial"/>
          <w:b w:val="false"/>
          <w:bCs w:val="false"/>
          <w:i w:val="false"/>
          <w:iCs w:val="false"/>
          <w:color w:val="0F172A"/>
          <w:sz w:val="22"/>
          <w:szCs w:val="22"/>
        </w:rPr>
        <w:t xml:space="preserve">plt.rcParams is a dictionary of default settings that apply to every chart produced in the session. Setting these once at the top means every subsequent chart automatically uses the same background colours, gridlines, font family, and spine style — without having to repeat the same lines in every cell.</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61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Setting</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Value</w:t>
            </w:r>
          </w:p>
        </w:tc>
        <w:tc>
          <w:tcPr>
            <w:tcW w:type="dxa" w:w="6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It Does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figure.facecolor</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#F0F4F8</w:t>
            </w:r>
          </w:p>
        </w:tc>
        <w:tc>
          <w:tcPr>
            <w:tcW w:type="dxa" w:w="6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Soft blue-grey background for the entire figure — gives charts a professional report-ready appearance</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axes.facecolor</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#FFFFFF</w:t>
            </w:r>
          </w:p>
        </w:tc>
        <w:tc>
          <w:tcPr>
            <w:tcW w:type="dxa" w:w="6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White chart area — standard for financial reporting documents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axes.grid = True, alpha = 0.3</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On, faint</w:t>
            </w:r>
          </w:p>
        </w:tc>
        <w:tc>
          <w:tcPr>
            <w:tcW w:type="dxa" w:w="6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Gridlines help readers trace bar heights to axis values, but at 0.3 opacity they do not dominate the data</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font.family = sans-serif</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Arial-style</w:t>
            </w:r>
          </w:p>
        </w:tc>
        <w:tc>
          <w:tcPr>
            <w:tcW w:type="dxa" w:w="6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Clean professional font — readable in printed reports and on screen</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axes.spines.top = False, right = False</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Removed</w:t>
            </w:r>
          </w:p>
        </w:tc>
        <w:tc>
          <w:tcPr>
            <w:tcW w:type="dxa" w:w="6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Removing the top and right borders gives charts a modern, uncluttered appearance that is now standard in data journalism and financial reporting</w:t>
            </w:r>
          </w:p>
        </w:tc>
      </w:tr>
    </w:tbl>
    <w:p>
      <w:pPr>
        <w:spacing w:after="0" w:before="0"/>
      </w:pPr>
      <w:r>
        <w:t xml:space="preserve"/>
      </w:r>
    </w:p>
    <w:p>
      <w:pPr>
        <w:spacing w:after="60" w:before="160"/>
      </w:pPr>
      <w:r>
        <w:rPr>
          <w:rFonts w:ascii="Arial" w:cs="Arial" w:eastAsia="Arial" w:hAnsi="Arial"/>
          <w:b/>
          <w:bCs/>
          <w:color w:val="1F2937"/>
          <w:sz w:val="22"/>
          <w:szCs w:val="22"/>
        </w:rPr>
        <w:t xml:space="preserve">Colour Constants</w:t>
      </w:r>
    </w:p>
    <w:p>
      <w:pPr>
        <w:spacing w:after="80" w:before="60"/>
        <w:jc w:val="both"/>
      </w:pPr>
      <w:r>
        <w:rPr>
          <w:rFonts w:ascii="Arial" w:cs="Arial" w:eastAsia="Arial" w:hAnsi="Arial"/>
          <w:b w:val="false"/>
          <w:bCs w:val="false"/>
          <w:i w:val="false"/>
          <w:iCs w:val="false"/>
          <w:color w:val="0F172A"/>
          <w:sz w:val="22"/>
          <w:szCs w:val="22"/>
        </w:rPr>
        <w:t xml:space="preserve">Six named colour constants are defined and used consistently throughout every chart. Using named constants rather than hex codes repeated in every chart cell means: (1) changing the government brand colour requires editing one line, not searching through 30 chart cells; (2) the purpose of each colour is self-documenting (DANGER_RED is always risk; SAFE_GREEN is always compliance).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36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Constant</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Hex Code</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Always Used For</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LAGOS_GREEN</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#00704A</w:t>
            </w:r>
          </w:p>
        </w:tc>
        <w:tc>
          <w:tcPr>
            <w:tcW w:type="dxa" w:w="6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Revenue, compliance, surplus — healthy financial states</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DANGER_RED</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#DC2626</w:t>
            </w:r>
          </w:p>
        </w:tc>
        <w:tc>
          <w:tcPr>
            <w:tcW w:type="dxa" w:w="6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Overruns, queried transactions, deficits — always means risk</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SAFE_GREEN</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#16A34A</w:t>
            </w:r>
          </w:p>
        </w:tc>
        <w:tc>
          <w:tcPr>
            <w:tcW w:type="dxa" w:w="6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Compliant transactions, surplus balances</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ALERT_AMBER</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#D97706</w:t>
            </w:r>
          </w:p>
        </w:tc>
        <w:tc>
          <w:tcPr>
            <w:tcW w:type="dxa" w:w="6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Warning states — not yet critical but needs attention</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NAIRA_BLUE</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#1D4ED8</w:t>
            </w:r>
          </w:p>
        </w:tc>
        <w:tc>
          <w:tcPr>
            <w:tcW w:type="dxa" w:w="6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Monetary value displays — the primary data colour</w:t>
            </w:r>
          </w:p>
        </w:tc>
      </w:tr>
    </w:tbl>
    <w:p>
      <w:pPr>
        <w:spacing w:after="0" w:before="0"/>
      </w:pPr>
      <w:r>
        <w:t xml:space="preserve"/>
      </w:r>
    </w:p>
    <w:p>
      <w:pPr>
        <w:spacing w:after="60" w:before="160"/>
      </w:pPr>
      <w:r>
        <w:rPr>
          <w:rFonts w:ascii="Arial" w:cs="Arial" w:eastAsia="Arial" w:hAnsi="Arial"/>
          <w:b/>
          <w:bCs/>
          <w:color w:val="1F2937"/>
          <w:sz w:val="22"/>
          <w:szCs w:val="22"/>
        </w:rPr>
        <w:t xml:space="preserve">fmt_naira Helper Function</w:t>
      </w:r>
    </w:p>
    <w:p>
      <w:pPr>
        <w:spacing w:after="80" w:before="60"/>
        <w:jc w:val="both"/>
      </w:pPr>
      <w:r>
        <w:rPr>
          <w:rFonts w:ascii="Arial" w:cs="Arial" w:eastAsia="Arial" w:hAnsi="Arial"/>
          <w:b w:val="false"/>
          <w:bCs w:val="false"/>
          <w:i w:val="false"/>
          <w:iCs w:val="false"/>
          <w:color w:val="0F172A"/>
          <w:sz w:val="22"/>
          <w:szCs w:val="22"/>
        </w:rPr>
        <w:t xml:space="preserve">def fmt_naira(val, pos=None): is a formatter function that converts raw naira integers to human-readable strings. It is used as a tick formatter on chart axes so that the number 276267782248 displays as NGN 276.3B. The pos parameter is required by matplotlib's FuncFormatter API even if unused. The function checks whether the value is in billions (1e9), millions (1e6), or less, and formats accordingly.</w:t>
      </w:r>
    </w:p>
    <w:p>
      <w:pPr>
        <w:spacing w:after="0" w:before="0"/>
      </w:pPr>
      <w:r>
        <w:t xml:space="preserve"/>
      </w:r>
    </w:p>
    <w:p>
      <w:pPr>
        <w:pStyle w:val="Heading3"/>
        <w:spacing w:after="80" w:before="220"/>
      </w:pPr>
      <w:r>
        <w:rPr>
          <w:rFonts w:ascii="Arial" w:cs="Arial" w:eastAsia="Arial" w:hAnsi="Arial"/>
          <w:b/>
          <w:bCs/>
          <w:color w:val="374151"/>
          <w:sz w:val="24"/>
          <w:szCs w:val="24"/>
        </w:rPr>
        <w:t xml:space="preserve">Cell 0.1 — Load the Dataset</w:t>
      </w:r>
    </w:p>
    <w:p>
      <w:pPr>
        <w:spacing w:after="80" w:before="60"/>
        <w:jc w:val="both"/>
      </w:pPr>
      <w:r>
        <w:rPr>
          <w:rFonts w:ascii="Arial" w:cs="Arial" w:eastAsia="Arial" w:hAnsi="Arial"/>
          <w:b/>
          <w:bCs/>
          <w:i w:val="false"/>
          <w:iCs w:val="false"/>
          <w:color w:val="0F172A"/>
          <w:sz w:val="22"/>
          <w:szCs w:val="22"/>
        </w:rPr>
        <w:t xml:space="preserve">df = pd.read_csv("lagos_finance_data.csv")</w:t>
      </w:r>
    </w:p>
    <w:p>
      <w:pPr>
        <w:spacing w:after="80" w:before="60"/>
        <w:jc w:val="both"/>
      </w:pPr>
      <w:r>
        <w:rPr>
          <w:rFonts w:ascii="Arial" w:cs="Arial" w:eastAsia="Arial" w:hAnsi="Arial"/>
          <w:b w:val="false"/>
          <w:bCs w:val="false"/>
          <w:i w:val="false"/>
          <w:iCs w:val="false"/>
          <w:color w:val="0F172A"/>
          <w:sz w:val="22"/>
          <w:szCs w:val="22"/>
        </w:rPr>
        <w:t xml:space="preserve">This single line reads the entire CSV file into a pandas DataFrame named df. pd.read_csv automatically detects the header row from the first line of the file, infers data types for each column (integers for fiscal_year, floats for monetary amounts, strings for text), and stores all 1,451 rows in memory. Every subsequent operation in the notebook works with this df object.</w:t>
      </w:r>
    </w:p>
    <w:p>
      <w:pPr>
        <w:spacing w:after="80" w:before="60"/>
        <w:jc w:val="both"/>
      </w:pPr>
      <w:r>
        <w:rPr>
          <w:rFonts w:ascii="Arial" w:cs="Arial" w:eastAsia="Arial" w:hAnsi="Arial"/>
          <w:b/>
          <w:bCs/>
          <w:i w:val="false"/>
          <w:iCs w:val="false"/>
          <w:color w:val="0F172A"/>
          <w:sz w:val="22"/>
          <w:szCs w:val="22"/>
        </w:rPr>
        <w:t xml:space="preserve">df.shape[0] and df.shape[1]</w:t>
      </w:r>
    </w:p>
    <w:p>
      <w:pPr>
        <w:spacing w:after="80" w:before="60"/>
        <w:jc w:val="both"/>
      </w:pPr>
      <w:r>
        <w:rPr>
          <w:rFonts w:ascii="Arial" w:cs="Arial" w:eastAsia="Arial" w:hAnsi="Arial"/>
          <w:b w:val="false"/>
          <w:bCs w:val="false"/>
          <w:i w:val="false"/>
          <w:iCs w:val="false"/>
          <w:color w:val="0F172A"/>
          <w:sz w:val="22"/>
          <w:szCs w:val="22"/>
        </w:rPr>
        <w:t xml:space="preserve">df.shape is a tuple of (rows, columns). shape[0] gives the row count (1,451) and shape[1] gives the column count (22). Printing both immediately after loading confirms the full dataset was read — if shape[0] showed 500, it would mean only part of the file loaded, triggering an investigation.</w:t>
      </w:r>
    </w:p>
    <w:p>
      <w:pPr>
        <w:spacing w:after="80" w:before="60"/>
        <w:jc w:val="both"/>
      </w:pPr>
      <w:r>
        <w:rPr>
          <w:rFonts w:ascii="Arial" w:cs="Arial" w:eastAsia="Arial" w:hAnsi="Arial"/>
          <w:b/>
          <w:bCs/>
          <w:i w:val="false"/>
          <w:iCs w:val="false"/>
          <w:color w:val="0F172A"/>
          <w:sz w:val="22"/>
          <w:szCs w:val="22"/>
        </w:rPr>
        <w:t xml:space="preserve">df.memory_usage(deep=True).sum() / 1024</w:t>
      </w:r>
    </w:p>
    <w:p>
      <w:pPr>
        <w:spacing w:after="80" w:before="60"/>
        <w:jc w:val="both"/>
      </w:pPr>
      <w:r>
        <w:rPr>
          <w:rFonts w:ascii="Arial" w:cs="Arial" w:eastAsia="Arial" w:hAnsi="Arial"/>
          <w:b w:val="false"/>
          <w:bCs w:val="false"/>
          <w:i w:val="false"/>
          <w:iCs w:val="false"/>
          <w:color w:val="0F172A"/>
          <w:sz w:val="22"/>
          <w:szCs w:val="22"/>
        </w:rPr>
        <w:t xml:space="preserve">memory_usage() returns the RAM consumed by each column in bytes. deep=True measures actual string memory — important because without it, string columns are reported as just their pointer size (8 bytes each) rather than the actual character data. Dividing by 1024 converts to kilobytes. For this dataset: 1,290.2 KB, confirming the dataset comfortably fits in memory and needs no sampling strategy.</w:t>
      </w:r>
    </w:p>
    <w:p>
      <w:pPr>
        <w:spacing w:after="80" w:before="60"/>
        <w:jc w:val="both"/>
      </w:pPr>
      <w:r>
        <w:rPr>
          <w:rFonts w:ascii="Arial" w:cs="Arial" w:eastAsia="Arial" w:hAnsi="Arial"/>
          <w:b/>
          <w:bCs/>
          <w:i w:val="false"/>
          <w:iCs w:val="false"/>
          <w:color w:val="0F172A"/>
          <w:sz w:val="22"/>
          <w:szCs w:val="22"/>
        </w:rPr>
        <w:t xml:space="preserve">for i, col in enumerate(df.columns, 1)</w:t>
      </w:r>
    </w:p>
    <w:p>
      <w:pPr>
        <w:spacing w:after="80" w:before="60"/>
        <w:jc w:val="both"/>
      </w:pPr>
      <w:r>
        <w:rPr>
          <w:rFonts w:ascii="Arial" w:cs="Arial" w:eastAsia="Arial" w:hAnsi="Arial"/>
          <w:b w:val="false"/>
          <w:bCs w:val="false"/>
          <w:i w:val="false"/>
          <w:iCs w:val="false"/>
          <w:color w:val="0F172A"/>
          <w:sz w:val="22"/>
          <w:szCs w:val="22"/>
        </w:rPr>
        <w:t xml:space="preserve">enumerate() iterates through df.columns (the list of all 22 column names) while also providing a sequential number starting at 1. The print statement formats the number right-aligned in 2 characters ({i:&gt;2}) so single-digit numbers (1-9) align with double-digit numbers (10-22) in the printed output.</w:t>
      </w:r>
    </w:p>
    <w:p>
      <w:pPr>
        <w:spacing w:after="0" w:before="0"/>
      </w:pPr>
      <w:r>
        <w:t xml:space="preserve"/>
      </w:r>
    </w:p>
    <w:p>
      <w:pPr>
        <w:pStyle w:val="Heading3"/>
        <w:spacing w:after="80" w:before="220"/>
      </w:pPr>
      <w:r>
        <w:rPr>
          <w:rFonts w:ascii="Arial" w:cs="Arial" w:eastAsia="Arial" w:hAnsi="Arial"/>
          <w:b/>
          <w:bCs/>
          <w:color w:val="374151"/>
          <w:sz w:val="24"/>
          <w:szCs w:val="24"/>
        </w:rPr>
        <w:t xml:space="preserve">Cell 0.2 — Preview with df.head()</w:t>
      </w:r>
    </w:p>
    <w:p>
      <w:pPr>
        <w:spacing w:after="80" w:before="60"/>
        <w:jc w:val="both"/>
      </w:pPr>
      <w:r>
        <w:rPr>
          <w:rFonts w:ascii="Arial" w:cs="Arial" w:eastAsia="Arial" w:hAnsi="Arial"/>
          <w:b w:val="false"/>
          <w:bCs w:val="false"/>
          <w:i w:val="false"/>
          <w:iCs w:val="false"/>
          <w:color w:val="0F172A"/>
          <w:sz w:val="22"/>
          <w:szCs w:val="22"/>
        </w:rPr>
        <w:t xml:space="preserve">df.head(5) returns the first 5 rows of the DataFrame as a formatted table. In Jupyter Notebook, this renders as an HTML table with row numbers on the left and all 22 columns visible. This visual inspection immediately reveals: (1) the transaction_id format; (2) that transaction_date is stored as text not a date; (3) that some NaN cells exist; (4) the scale of budget_amount and actual_amount values; and (5) that is_budget_overrun is already encoded as 0 or 1.</w:t>
      </w:r>
    </w:p>
    <w:p>
      <w:pPr>
        <w:spacing w:after="80" w:before="60"/>
        <w:jc w:val="both"/>
      </w:pPr>
      <w:r>
        <w:rPr>
          <w:rFonts w:ascii="Arial" w:cs="Arial" w:eastAsia="Arial" w:hAnsi="Arial"/>
          <w:b w:val="false"/>
          <w:bCs w:val="false"/>
          <w:i w:val="false"/>
          <w:iCs w:val="false"/>
          <w:color w:val="0F172A"/>
          <w:sz w:val="22"/>
          <w:szCs w:val="22"/>
        </w:rPr>
        <w:t xml:space="preserve">Looking at actual data before writing any analysis is the most important habit in data science. It prevents assuming the data looks like what you expected when it might look quite different.</w:t>
      </w:r>
    </w:p>
    <w:p>
      <w:pPr>
        <w:spacing w:after="0" w:before="0"/>
      </w:pPr>
      <w:r>
        <w:t xml:space="preserve"/>
      </w:r>
    </w:p>
    <w:p>
      <w:pPr>
        <w:pStyle w:val="Heading3"/>
        <w:spacing w:after="80" w:before="220"/>
      </w:pPr>
      <w:r>
        <w:rPr>
          <w:rFonts w:ascii="Arial" w:cs="Arial" w:eastAsia="Arial" w:hAnsi="Arial"/>
          <w:b/>
          <w:bCs/>
          <w:color w:val="374151"/>
          <w:sz w:val="24"/>
          <w:szCs w:val="24"/>
        </w:rPr>
        <w:t xml:space="preserve">Cell 0.3 — Data Types with df.dtypes</w:t>
      </w:r>
    </w:p>
    <w:p>
      <w:pPr>
        <w:spacing w:after="80" w:before="60"/>
        <w:jc w:val="both"/>
      </w:pPr>
      <w:r>
        <w:rPr>
          <w:rFonts w:ascii="Arial" w:cs="Arial" w:eastAsia="Arial" w:hAnsi="Arial"/>
          <w:b w:val="false"/>
          <w:bCs w:val="false"/>
          <w:i w:val="false"/>
          <w:iCs w:val="false"/>
          <w:color w:val="0F172A"/>
          <w:sz w:val="22"/>
          <w:szCs w:val="22"/>
        </w:rPr>
        <w:t xml:space="preserve">df.dtypes prints the data type of every column. This reveals two critical problems that must be fixed before any analysis can begin. First, transaction_date has type str — it is stored as a text string. Python cannot do date arithmetic on strings: it cannot calculate the difference between two dates, sort by month correctly, or extract the year from a string without first converting to datetime. Second, processing_days has type float64 not int64 — this reveals that missing values exist in that column, because NaN (Not a Number) forces integer columns to become float in pandas. df.dtypes.value_counts() then counts how many columns of each type exist, giving a summary: 14 string columns, 6 float64 columns, 2 integer columns.</w:t>
      </w:r>
    </w:p>
    <w:p>
      <w:pPr>
        <w:spacing w:after="0" w:before="0"/>
      </w:pPr>
      <w:r>
        <w:t xml:space="preserve"/>
      </w:r>
    </w:p>
    <w:p>
      <w:pPr>
        <w:pStyle w:val="Heading3"/>
        <w:spacing w:after="80" w:before="220"/>
      </w:pPr>
      <w:r>
        <w:rPr>
          <w:rFonts w:ascii="Arial" w:cs="Arial" w:eastAsia="Arial" w:hAnsi="Arial"/>
          <w:b/>
          <w:bCs/>
          <w:color w:val="374151"/>
          <w:sz w:val="24"/>
          <w:szCs w:val="24"/>
        </w:rPr>
        <w:t xml:space="preserve">Cell 0.4 — Statistical Summary with df.describe()</w:t>
      </w:r>
    </w:p>
    <w:p>
      <w:pPr>
        <w:spacing w:after="80" w:before="60"/>
        <w:jc w:val="both"/>
      </w:pPr>
      <w:r>
        <w:rPr>
          <w:rFonts w:ascii="Arial" w:cs="Arial" w:eastAsia="Arial" w:hAnsi="Arial"/>
          <w:b w:val="false"/>
          <w:bCs w:val="false"/>
          <w:i w:val="false"/>
          <w:iCs w:val="false"/>
          <w:color w:val="0F172A"/>
          <w:sz w:val="22"/>
          <w:szCs w:val="22"/>
        </w:rPr>
        <w:t xml:space="preserve">df.describe() computes 8 statistics simultaneously for every numeric column: count (non-null values), mean (average), std (standard deviation), min, 25th percentile, 50th percentile (median), 75th percentile, and max. Selecting only the 6 key financial columns produces a readable table.</w:t>
      </w:r>
    </w:p>
    <w:p>
      <w:pPr>
        <w:spacing w:after="80" w:before="60"/>
        <w:jc w:val="both"/>
      </w:pPr>
      <w:r>
        <w:rPr>
          <w:rFonts w:ascii="Arial" w:cs="Arial" w:eastAsia="Arial" w:hAnsi="Arial"/>
          <w:b w:val="false"/>
          <w:bCs w:val="false"/>
          <w:i w:val="false"/>
          <w:iCs w:val="false"/>
          <w:color w:val="0F172A"/>
          <w:sz w:val="22"/>
          <w:szCs w:val="22"/>
        </w:rPr>
        <w:t xml:space="preserve">The most important single number in the entire describe() output is is_budget_overrun mean = 0.515. Because is_budget_overrun is encoded as 0 or 1, its mean is the proportion of 1s — which is the overrun rate. The mean of 0.515 tells us that 51.5% of all 1,451 transactions exceed their approved budget. This finding, visible in the first statistical summary cell, is the central finding of the entire project.</w:t>
      </w:r>
    </w:p>
    <w:p>
      <w:pPr>
        <w:spacing w:after="80" w:before="60"/>
        <w:jc w:val="both"/>
      </w:pPr>
      <w:r>
        <w:rPr>
          <w:rFonts w:ascii="Arial" w:cs="Arial" w:eastAsia="Arial" w:hAnsi="Arial"/>
          <w:b w:val="false"/>
          <w:bCs w:val="false"/>
          <w:i w:val="false"/>
          <w:iCs w:val="false"/>
          <w:color w:val="0F172A"/>
          <w:sz w:val="22"/>
          <w:szCs w:val="22"/>
        </w:rPr>
        <w:t xml:space="preserve">The second critical finding is the gap between actual_amount mean (NGN 190.4 million) and actual_amount median (NGN 42.3 million). The mean is 4.5 times larger than the median. This massive gap is caused by a small number of very large FAAC transfers skewing the average upward. The median is the correct summary of a "typical" Lagos State transaction.</w:t>
      </w:r>
    </w:p>
    <w:p>
      <w:pPr>
        <w:spacing w:after="0" w:before="0"/>
      </w:pPr>
      <w:r>
        <w:t xml:space="preserve"/>
      </w:r>
    </w:p>
    <w:p>
      <w:pPr>
        <w:pStyle w:val="Heading2"/>
        <w:spacing w:after="120" w:before="300"/>
      </w:pPr>
      <w:r>
        <w:rPr>
          <w:rFonts w:ascii="Arial" w:cs="Arial" w:eastAsia="Arial" w:hAnsi="Arial"/>
          <w:b/>
          <w:bCs/>
          <w:color w:val="1D4ED8"/>
          <w:sz w:val="28"/>
          <w:szCs w:val="28"/>
        </w:rPr>
        <w:t xml:space="preserve">Section 1 — Missing Values</w:t>
      </w:r>
    </w:p>
    <w:p>
      <w:pPr>
        <w:pStyle w:val="Heading3"/>
        <w:spacing w:after="80" w:before="220"/>
      </w:pPr>
      <w:r>
        <w:rPr>
          <w:rFonts w:ascii="Arial" w:cs="Arial" w:eastAsia="Arial" w:hAnsi="Arial"/>
          <w:b/>
          <w:bCs/>
          <w:color w:val="374151"/>
          <w:sz w:val="24"/>
          <w:szCs w:val="24"/>
        </w:rPr>
        <w:t xml:space="preserve">Cell 1.1 — Count and Locate Missing Values</w:t>
      </w:r>
    </w:p>
    <w:p>
      <w:pPr>
        <w:spacing w:after="80" w:before="60"/>
        <w:jc w:val="both"/>
      </w:pPr>
      <w:r>
        <w:rPr>
          <w:rFonts w:ascii="Arial" w:cs="Arial" w:eastAsia="Arial" w:hAnsi="Arial"/>
          <w:b w:val="false"/>
          <w:bCs w:val="false"/>
          <w:i w:val="false"/>
          <w:iCs w:val="false"/>
          <w:color w:val="0F172A"/>
          <w:sz w:val="22"/>
          <w:szCs w:val="22"/>
        </w:rPr>
        <w:t xml:space="preserve">df.isnull() creates a DataFrame of the same size as df where every cell is True if the original cell was NaN and False if it had a value. .sum() then counts the True values in each column — because Python treats True as 1 and False as 0, summing a boolean column gives the count of missing values. missing[missing &gt; 0] filters to only the columns where that count exceeds zero, showing just the 4 problematic columns rather than all 22.</w:t>
      </w:r>
    </w:p>
    <w:p>
      <w:pPr>
        <w:spacing w:after="80" w:before="60"/>
        <w:jc w:val="both"/>
      </w:pPr>
      <w:r>
        <w:rPr>
          <w:rFonts w:ascii="Arial" w:cs="Arial" w:eastAsia="Arial" w:hAnsi="Arial"/>
          <w:b w:val="false"/>
          <w:bCs w:val="false"/>
          <w:i w:val="false"/>
          <w:iCs w:val="false"/>
          <w:color w:val="0F172A"/>
          <w:sz w:val="22"/>
          <w:szCs w:val="22"/>
        </w:rPr>
        <w:t xml:space="preserve">The percentage calculation: count / len(df) * 100 converts the raw count to a proportion of total rows. The visual bar using ASCII block characters (each block representing 0.25%) gives an immediate sense of scale without needing a chart. df.size gives the total number of cells (1,451 rows x 22 columns = 31,922 cells). The result shows that 178 missing values out of 31,922 total cells = 0.55% missing — a very healthy, well-maintained dataset.</w:t>
      </w:r>
    </w:p>
    <w:p>
      <w:pPr>
        <w:spacing w:after="0" w:before="0"/>
      </w:pPr>
      <w:r>
        <w:t xml:space="preserve"/>
      </w:r>
    </w:p>
    <w:p>
      <w:pPr>
        <w:pStyle w:val="Heading3"/>
        <w:spacing w:after="80" w:before="220"/>
      </w:pPr>
      <w:r>
        <w:rPr>
          <w:rFonts w:ascii="Arial" w:cs="Arial" w:eastAsia="Arial" w:hAnsi="Arial"/>
          <w:b/>
          <w:bCs/>
          <w:color w:val="374151"/>
          <w:sz w:val="24"/>
          <w:szCs w:val="24"/>
        </w:rPr>
        <w:t xml:space="preserve">Cell 1.2 — Missing Value Heatmap</w:t>
      </w:r>
    </w:p>
    <w:p>
      <w:pPr>
        <w:spacing w:after="80" w:before="60"/>
        <w:jc w:val="both"/>
      </w:pPr>
      <w:r>
        <w:rPr>
          <w:rFonts w:ascii="Arial" w:cs="Arial" w:eastAsia="Arial" w:hAnsi="Arial"/>
          <w:b w:val="false"/>
          <w:bCs w:val="false"/>
          <w:i w:val="false"/>
          <w:iCs w:val="false"/>
          <w:color w:val="0F172A"/>
          <w:sz w:val="22"/>
          <w:szCs w:val="22"/>
        </w:rPr>
        <w:t xml:space="preserve">Two charts are created side by side with plt.subplots(1, 2, figsize=(14, 5)).</w:t>
      </w:r>
    </w:p>
    <w:p>
      <w:pPr>
        <w:spacing w:after="80" w:before="60"/>
        <w:jc w:val="both"/>
      </w:pPr>
      <w:r>
        <w:rPr>
          <w:rFonts w:ascii="Arial" w:cs="Arial" w:eastAsia="Arial" w:hAnsi="Arial"/>
          <w:b w:val="false"/>
          <w:bCs w:val="false"/>
          <w:i w:val="false"/>
          <w:iCs w:val="false"/>
          <w:color w:val="0F172A"/>
          <w:sz w:val="22"/>
          <w:szCs w:val="22"/>
        </w:rPr>
        <w:t xml:space="preserve">Left chart: A horizontal bar chart showing the percentage missing in each of the 4 affected columns. Horizontal bars are used because the column names are long enough that vertical bars would require diagonal labels. This chart shows that all four missing rates are below 5% — a healthy system.</w:t>
      </w:r>
    </w:p>
    <w:p>
      <w:pPr>
        <w:spacing w:after="80" w:before="60"/>
        <w:jc w:val="both"/>
      </w:pPr>
      <w:r>
        <w:rPr>
          <w:rFonts w:ascii="Arial" w:cs="Arial" w:eastAsia="Arial" w:hAnsi="Arial"/>
          <w:b w:val="false"/>
          <w:bCs w:val="false"/>
          <w:i w:val="false"/>
          <w:iCs w:val="false"/>
          <w:color w:val="0F172A"/>
          <w:sz w:val="22"/>
          <w:szCs w:val="22"/>
        </w:rPr>
        <w:t xml:space="preserve">Right chart: A heatmap of the first 200 rows for only the 4 missing-value columns. df[missing_cols.index].isnull().head(200) creates a 200x4 boolean DataFrame where True = missing (shown as red) and False = present (shown as green). .T transposes it so each row in the heatmap is a column and each column is a transaction — making it easier to spot patterns. The key insight from this chart: the red cells are randomly scattered with no visible clusters or blocks. This confirms the missing data pattern is Missing At Random (MAR) — not caused by a specific time period, a specific MDA, or a system failure. Random scatter = safe to impute.</w:t>
      </w:r>
    </w:p>
    <w:p>
      <w:pPr>
        <w:spacing w:after="0" w:before="0"/>
      </w:pPr>
      <w:r>
        <w:t xml:space="preserve"/>
      </w:r>
    </w:p>
    <w:p>
      <w:pPr>
        <w:pStyle w:val="Heading3"/>
        <w:spacing w:after="80" w:before="220"/>
      </w:pPr>
      <w:r>
        <w:rPr>
          <w:rFonts w:ascii="Arial" w:cs="Arial" w:eastAsia="Arial" w:hAnsi="Arial"/>
          <w:b/>
          <w:bCs/>
          <w:color w:val="374151"/>
          <w:sz w:val="24"/>
          <w:szCs w:val="24"/>
        </w:rPr>
        <w:t xml:space="preserve">Cell 1.3 — Treat Missing Values</w:t>
      </w:r>
    </w:p>
    <w:p>
      <w:pPr>
        <w:spacing w:after="80" w:before="60"/>
        <w:jc w:val="both"/>
      </w:pPr>
      <w:r>
        <w:rPr>
          <w:rFonts w:ascii="Arial" w:cs="Arial" w:eastAsia="Arial" w:hAnsi="Arial"/>
          <w:b w:val="false"/>
          <w:bCs w:val="false"/>
          <w:i w:val="false"/>
          <w:iCs w:val="false"/>
          <w:color w:val="0F172A"/>
          <w:sz w:val="22"/>
          <w:szCs w:val="22"/>
        </w:rPr>
        <w:t xml:space="preserve">df_clean = df.copy() creates a completely independent copy of the original DataFrame. All cleaning operations are performed on df_clean rather than df. This preserves df as the original raw data — if any cleaning step makes an error, df is untouched and the process can restart from df.copy() without reloading the CSV.</w:t>
      </w:r>
    </w:p>
    <w:p>
      <w:pPr>
        <w:spacing w:after="80" w:before="60"/>
        <w:jc w:val="both"/>
      </w:pPr>
      <w:r>
        <w:rPr>
          <w:rFonts w:ascii="Arial" w:cs="Arial" w:eastAsia="Arial" w:hAnsi="Arial"/>
          <w:b w:val="false"/>
          <w:bCs w:val="false"/>
          <w:i w:val="false"/>
          <w:iCs w:val="false"/>
          <w:color w:val="0F172A"/>
          <w:sz w:val="22"/>
          <w:szCs w:val="22"/>
        </w:rPr>
        <w:t xml:space="preserve">Four different imputation strategies are applied, each justified by government finance context rather than applied mechanically.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4360"/>
      </w:tblGrid>
      <w:tr>
        <w:trPr>
          <w:tblHeader/>
        </w:trPr>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Column</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Strategy</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Code</w:t>
            </w:r>
          </w:p>
        </w:tc>
        <w:tc>
          <w:tcPr>
            <w:tcW w:type="dxa" w:w="4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Why This Strategy</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approval_level</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Fill with "Pending Assignment"</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df_clean["approval_level"].fillna("Pending Assignment")</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This is the operationally correct state. The transaction genuinely has no assigned approver yet — it is in the routing queue. Labelling it "Pending Assignment" preserves the audit trail accurately.</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bank_name</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Fill with "Unknown Bank"</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df_clean["bank_name"].fillna("Unknown Bank")</w:t>
            </w:r>
          </w:p>
        </w:tc>
        <w:tc>
          <w:tcPr>
            <w:tcW w:type="dxa" w:w="4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We cannot infer the bank without additional lookup tables. Using an explicit label preserves the information that the bank is unknown — better than filling with a made-up bank name.</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processing_days</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Fill with transaction-type specific median</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groupby("transaction_type")["processing_days"].transform("median")</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FAAC processes in approximately 18 days; CapEx in approximately 32 days. Using a global median of 24 days for all types would be inaccurate. transform("median") computes each type's median and returns a full-length Series aligned with the original index — exactly what fillna() needs.</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utilisation_rate_pct</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Fill with transaction-type specific median</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groupby("transaction_type")["utilisation_rate_pct"].transform("median")</w:t>
            </w:r>
          </w:p>
        </w:tc>
        <w:tc>
          <w:tcPr>
            <w:tcW w:type="dxa" w:w="4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Personnel Cost utilisation (85-95%) differs from Capital Expenditure utilisation (50-75%). Type-specific median preserves these real operational differences rather than blending them.</w:t>
            </w:r>
          </w:p>
        </w:tc>
      </w:tr>
    </w:tbl>
    <w:p>
      <w:pPr>
        <w:spacing w:after="80" w:before="60"/>
        <w:jc w:val="both"/>
      </w:pPr>
      <w:r>
        <w:rPr>
          <w:rFonts w:ascii="Arial" w:cs="Arial" w:eastAsia="Arial" w:hAnsi="Arial"/>
          <w:b w:val="false"/>
          <w:bCs w:val="false"/>
          <w:i w:val="false"/>
          <w:iCs w:val="false"/>
          <w:color w:val="0F172A"/>
          <w:sz w:val="22"/>
          <w:szCs w:val="22"/>
        </w:rPr>
        <w:t xml:space="preserve">The critical distinction between transform("median") and agg("median"): agg() returns ONE value per group — it collapses the DataFrame, leaving only one row per transaction type. transform() returns a value for EVERY ROW in the original DataFrame, with each row getting the median of its group. fillna() requires a Series of the same length as the DataFrame, which only transform() provides.</w:t>
      </w:r>
    </w:p>
    <w:p>
      <w:pPr>
        <w:spacing w:after="80" w:before="60"/>
        <w:jc w:val="both"/>
      </w:pPr>
      <w:r>
        <w:rPr>
          <w:rFonts w:ascii="Arial" w:cs="Arial" w:eastAsia="Arial" w:hAnsi="Arial"/>
          <w:b w:val="false"/>
          <w:bCs w:val="false"/>
          <w:i w:val="false"/>
          <w:iCs w:val="false"/>
          <w:color w:val="0F172A"/>
          <w:sz w:val="22"/>
          <w:szCs w:val="22"/>
        </w:rPr>
        <w:t xml:space="preserve">After imputation, df_clean.isnull().sum().sum() = 0 confirms that every cell now has a value. The dataset retains all 1,451 rows, compared to only 1,280 rows that would survive if dropna() had been used — recovering 171 additional transactions for the analysis.</w:t>
      </w:r>
    </w:p>
    <w:p>
      <w:pPr>
        <w:spacing w:after="0" w:before="0"/>
      </w:pPr>
      <w:r>
        <w:t xml:space="preserve"/>
      </w:r>
    </w:p>
    <w:p>
      <w:pPr>
        <w:pStyle w:val="Heading2"/>
        <w:spacing w:after="120" w:before="300"/>
      </w:pPr>
      <w:r>
        <w:rPr>
          <w:rFonts w:ascii="Arial" w:cs="Arial" w:eastAsia="Arial" w:hAnsi="Arial"/>
          <w:b/>
          <w:bCs/>
          <w:color w:val="1D4ED8"/>
          <w:sz w:val="28"/>
          <w:szCs w:val="28"/>
        </w:rPr>
        <w:t xml:space="preserve">Section 2 — Data Cleaning and Type Conversion</w:t>
      </w:r>
    </w:p>
    <w:p>
      <w:pPr>
        <w:pStyle w:val="Heading3"/>
        <w:spacing w:after="80" w:before="220"/>
      </w:pPr>
      <w:r>
        <w:rPr>
          <w:rFonts w:ascii="Arial" w:cs="Arial" w:eastAsia="Arial" w:hAnsi="Arial"/>
          <w:b/>
          <w:bCs/>
          <w:color w:val="374151"/>
          <w:sz w:val="24"/>
          <w:szCs w:val="24"/>
        </w:rPr>
        <w:t xml:space="preserve">Cell 2.1 — Convert Dates and Extract Time Components</w:t>
      </w:r>
    </w:p>
    <w:p>
      <w:pPr>
        <w:spacing w:after="80" w:before="60"/>
        <w:jc w:val="both"/>
      </w:pPr>
      <w:r>
        <w:rPr>
          <w:rFonts w:ascii="Arial" w:cs="Arial" w:eastAsia="Arial" w:hAnsi="Arial"/>
          <w:b w:val="false"/>
          <w:bCs w:val="false"/>
          <w:i w:val="false"/>
          <w:iCs w:val="false"/>
          <w:color w:val="0F172A"/>
          <w:sz w:val="22"/>
          <w:szCs w:val="22"/>
        </w:rPr>
        <w:t xml:space="preserve">pd.to_datetime(df_clean["transaction_date"]) converts every string in the column from "2021-01-15" (a sequence of characters) to a Timestamp object (a proper date that Python understands as a point in time). After this conversion, the column type changes from str to datetime64[us] — the [us] denotes microsecond precision, which is the pandas 3.x default.</w:t>
      </w:r>
    </w:p>
    <w:p>
      <w:pPr>
        <w:spacing w:after="80" w:before="60"/>
        <w:jc w:val="both"/>
      </w:pPr>
      <w:r>
        <w:rPr>
          <w:rFonts w:ascii="Arial" w:cs="Arial" w:eastAsia="Arial" w:hAnsi="Arial"/>
          <w:b w:val="false"/>
          <w:bCs w:val="false"/>
          <w:i w:val="false"/>
          <w:iCs w:val="false"/>
          <w:color w:val="0F172A"/>
          <w:sz w:val="22"/>
          <w:szCs w:val="22"/>
        </w:rPr>
        <w:t xml:space="preserve">After conversion, the .dt accessor unlocks the DatetimeAccessor API. .dt.month returns the month number (1 for January, 12 for December). .dt.isocalendar().week returns the ISO week number (1 through 52). These extracted values are stored as new columns.</w:t>
      </w:r>
    </w:p>
    <w:p>
      <w:pPr>
        <w:spacing w:after="80" w:before="60"/>
        <w:jc w:val="both"/>
      </w:pPr>
      <w:r>
        <w:rPr>
          <w:rFonts w:ascii="Arial" w:cs="Arial" w:eastAsia="Arial" w:hAnsi="Arial"/>
          <w:b w:val="false"/>
          <w:bCs w:val="false"/>
          <w:i w:val="false"/>
          <w:iCs w:val="false"/>
          <w:color w:val="0F172A"/>
          <w:sz w:val="22"/>
          <w:szCs w:val="22"/>
        </w:rPr>
        <w:t xml:space="preserve">The is_year_end column uses .isin([11, 12]) to create a True/False Series that is True for November (11) and December (12) — the fiscal year-end rush months when government departments accelerate spending to utilise remaining budgets before the December 31 deadline. .astype(int) converts True to 1 and False to 0.</w:t>
      </w:r>
    </w:p>
    <w:p>
      <w:pPr>
        <w:spacing w:after="80" w:before="60"/>
        <w:jc w:val="both"/>
      </w:pPr>
      <w:r>
        <w:rPr>
          <w:rFonts w:ascii="Arial" w:cs="Arial" w:eastAsia="Arial" w:hAnsi="Arial"/>
          <w:b w:val="false"/>
          <w:bCs w:val="false"/>
          <w:i w:val="false"/>
          <w:iCs w:val="false"/>
          <w:color w:val="0F172A"/>
          <w:sz w:val="22"/>
          <w:szCs w:val="22"/>
        </w:rPr>
        <w:t xml:space="preserve">The output confirms all 12 months are present (no gaps in the data), all 3 fiscal years are represented, and 262 transactions occurred in November-December (year-end period) vs 1,189 in the other 10 months — confirming the year-end spending acceleration.</w:t>
      </w:r>
    </w:p>
    <w:p>
      <w:pPr>
        <w:spacing w:after="0" w:before="0"/>
      </w:pPr>
      <w:r>
        <w:t xml:space="preserve"/>
      </w:r>
    </w:p>
    <w:p>
      <w:pPr>
        <w:pStyle w:val="Heading3"/>
        <w:spacing w:after="80" w:before="220"/>
      </w:pPr>
      <w:r>
        <w:rPr>
          <w:rFonts w:ascii="Arial" w:cs="Arial" w:eastAsia="Arial" w:hAnsi="Arial"/>
          <w:b/>
          <w:bCs/>
          <w:color w:val="374151"/>
          <w:sz w:val="24"/>
          <w:szCs w:val="24"/>
        </w:rPr>
        <w:t xml:space="preserve">Cell 2.2 — Clean String Columns</w:t>
      </w:r>
    </w:p>
    <w:p>
      <w:pPr>
        <w:spacing w:after="80" w:before="60"/>
        <w:jc w:val="both"/>
      </w:pPr>
      <w:r>
        <w:rPr>
          <w:rFonts w:ascii="Arial" w:cs="Arial" w:eastAsia="Arial" w:hAnsi="Arial"/>
          <w:b w:val="false"/>
          <w:bCs w:val="false"/>
          <w:i w:val="false"/>
          <w:iCs w:val="false"/>
          <w:color w:val="0F172A"/>
          <w:sz w:val="22"/>
          <w:szCs w:val="22"/>
        </w:rPr>
        <w:t xml:space="preserve">Nine categorical/text columns are cleaned using method chaining: .astype(str).str.strip().str.title(). These three operations are applied in sequence.</w:t>
      </w:r>
    </w:p>
    <w:p>
      <w:pPr>
        <w:spacing w:after="80" w:before="60"/>
        <w:jc w:val="both"/>
      </w:pPr>
      <w:r>
        <w:rPr>
          <w:rFonts w:ascii="Arial" w:cs="Arial" w:eastAsia="Arial" w:hAnsi="Arial"/>
          <w:b w:val="false"/>
          <w:bCs w:val="false"/>
          <w:i w:val="false"/>
          <w:iCs w:val="false"/>
          <w:color w:val="0F172A"/>
          <w:sz w:val="22"/>
          <w:szCs w:val="22"/>
        </w:rPr>
        <w:t xml:space="preserve">.astype(str) ensures every value in the column is a string type — handling any edge cases where imputation or mixed data might have introduced non-string values.</w:t>
      </w:r>
    </w:p>
    <w:p>
      <w:pPr>
        <w:spacing w:after="80" w:before="60"/>
        <w:jc w:val="both"/>
      </w:pPr>
      <w:r>
        <w:rPr>
          <w:rFonts w:ascii="Arial" w:cs="Arial" w:eastAsia="Arial" w:hAnsi="Arial"/>
          <w:b w:val="false"/>
          <w:bCs w:val="false"/>
          <w:i w:val="false"/>
          <w:iCs w:val="false"/>
          <w:color w:val="0F172A"/>
          <w:sz w:val="22"/>
          <w:szCs w:val="22"/>
        </w:rPr>
        <w:t xml:space="preserve">.str.strip() removes leading and trailing whitespace from every string. Without this, the value " Lagos" (with a space before it) would create a separate group from "Lagos" in any groupby operation — a silent data integrity error that is nearly impossible to detect without explicit string cleaning.</w:t>
      </w:r>
    </w:p>
    <w:p>
      <w:pPr>
        <w:spacing w:after="80" w:before="60"/>
        <w:jc w:val="both"/>
      </w:pPr>
      <w:r>
        <w:rPr>
          <w:rFonts w:ascii="Arial" w:cs="Arial" w:eastAsia="Arial" w:hAnsi="Arial"/>
          <w:b w:val="false"/>
          <w:bCs w:val="false"/>
          <w:i w:val="false"/>
          <w:iCs w:val="false"/>
          <w:color w:val="0F172A"/>
          <w:sz w:val="22"/>
          <w:szCs w:val="22"/>
        </w:rPr>
        <w:t xml:space="preserve">.str.title() converts the first letter of each word to uppercase: "ministry of finance" becomes "Ministry Of Finance". This prevents the same MDA from appearing as two separate groups due to capitalisation inconsistency.</w:t>
      </w:r>
    </w:p>
    <w:p>
      <w:pPr>
        <w:spacing w:after="80" w:before="60"/>
        <w:jc w:val="both"/>
      </w:pPr>
      <w:r>
        <w:rPr>
          <w:rFonts w:ascii="Arial" w:cs="Arial" w:eastAsia="Arial" w:hAnsi="Arial"/>
          <w:b w:val="false"/>
          <w:bCs w:val="false"/>
          <w:i w:val="false"/>
          <w:iCs w:val="false"/>
          <w:color w:val="0F172A"/>
          <w:sz w:val="22"/>
          <w:szCs w:val="22"/>
        </w:rPr>
        <w:t xml:space="preserve">The printed output after cleaning confirms the exact set of unique values in each column — verifying that no phantom duplicates exist. The 6 approval levels (Director, Permanent Secretary, Accountant General, Commissioner, Governor, Pending Assignment) and 4 audit statuses (Cleared, Flagged For Review, Pending Audit, Queried) are confirmed.</w:t>
      </w:r>
    </w:p>
    <w:p>
      <w:pPr>
        <w:spacing w:after="0" w:before="0"/>
      </w:pPr>
      <w:r>
        <w:t xml:space="preserve"/>
      </w:r>
    </w:p>
    <w:p>
      <w:pPr>
        <w:pStyle w:val="Heading3"/>
        <w:spacing w:after="80" w:before="220"/>
      </w:pPr>
      <w:r>
        <w:rPr>
          <w:rFonts w:ascii="Arial" w:cs="Arial" w:eastAsia="Arial" w:hAnsi="Arial"/>
          <w:b/>
          <w:bCs/>
          <w:color w:val="374151"/>
          <w:sz w:val="24"/>
          <w:szCs w:val="24"/>
        </w:rPr>
        <w:t xml:space="preserve">Cell 2.3 — Transaction Size Bands with pd.cut()</w:t>
      </w:r>
    </w:p>
    <w:p>
      <w:pPr>
        <w:spacing w:after="80" w:before="60"/>
        <w:jc w:val="both"/>
      </w:pPr>
      <w:r>
        <w:rPr>
          <w:rFonts w:ascii="Arial" w:cs="Arial" w:eastAsia="Arial" w:hAnsi="Arial"/>
          <w:b w:val="false"/>
          <w:bCs w:val="false"/>
          <w:i w:val="false"/>
          <w:iCs w:val="false"/>
          <w:color w:val="0F172A"/>
          <w:sz w:val="22"/>
          <w:szCs w:val="22"/>
        </w:rPr>
        <w:t xml:space="preserve">pd.cut() converts a continuous numerical column (actual_amount) into a categorical variable with defined ranges. The bin boundaries are chosen to match Nigerian government procurement approval thresholds: NGN 10 million is the Director-level approval limit, NGN 100 million is the Commissioner-level limit, and NGN 500 million is the Governor/Federal Executive Council threshold.</w:t>
      </w:r>
    </w:p>
    <w:p>
      <w:pPr>
        <w:spacing w:after="80" w:before="60"/>
        <w:jc w:val="both"/>
      </w:pPr>
      <w:r>
        <w:rPr>
          <w:rFonts w:ascii="Arial" w:cs="Arial" w:eastAsia="Arial" w:hAnsi="Arial"/>
          <w:b w:val="false"/>
          <w:bCs w:val="false"/>
          <w:i w:val="false"/>
          <w:iCs w:val="false"/>
          <w:color w:val="0F172A"/>
          <w:sz w:val="22"/>
          <w:szCs w:val="22"/>
        </w:rPr>
        <w:t xml:space="preserve">The bins parameter defines the boundary values: [0, 10_000_000, 100_000_000, 500_000_000, float("inf")]. The underscores in the numbers (10_000_000) are a Python readability feature — they are treated identically to 10000000. float("inf") means infinity — all values above NGN 500 million fall into the Large band with no upper limit.</w:t>
      </w:r>
    </w:p>
    <w:p>
      <w:pPr>
        <w:spacing w:after="80" w:before="60"/>
        <w:jc w:val="both"/>
      </w:pPr>
      <w:r>
        <w:rPr>
          <w:rFonts w:ascii="Arial" w:cs="Arial" w:eastAsia="Arial" w:hAnsi="Arial"/>
          <w:b w:val="false"/>
          <w:bCs w:val="false"/>
          <w:i w:val="false"/>
          <w:iCs w:val="false"/>
          <w:color w:val="0F172A"/>
          <w:sz w:val="22"/>
          <w:szCs w:val="22"/>
        </w:rPr>
        <w:t xml:space="preserve">right=True means each bin includes its right boundary: the range (0, 10M] includes NGN 10 million itself but not NGN 0. The result is stored in a new column transaction_band with values: Micro, Small, Medium, or Large.</w:t>
      </w:r>
    </w:p>
    <w:p>
      <w:pPr>
        <w:spacing w:after="80" w:before="60"/>
        <w:jc w:val="both"/>
      </w:pPr>
      <w:r>
        <w:rPr>
          <w:rFonts w:ascii="Arial" w:cs="Arial" w:eastAsia="Arial" w:hAnsi="Arial"/>
          <w:b w:val="false"/>
          <w:bCs w:val="false"/>
          <w:i w:val="false"/>
          <w:iCs w:val="false"/>
          <w:color w:val="0F172A"/>
          <w:sz w:val="22"/>
          <w:szCs w:val="22"/>
        </w:rPr>
        <w:t xml:space="preserve">The distribution output shows that 42.5% of transactions (617 of 1,451) are Small (NGN 10M to NGN 100M) — the backbone of day-to-day government activity. Only 10.5% are Large (NGN 500M+) but these 153 transactions likely represent the vast majority of total financial value because they include all FAAC mega-transfers.</w:t>
      </w:r>
    </w:p>
    <w:p>
      <w:pPr>
        <w:spacing w:after="0" w:before="0"/>
      </w:pPr>
      <w:r>
        <w:t xml:space="preserve"/>
      </w:r>
    </w:p>
    <w:p>
      <w:pPr>
        <w:pStyle w:val="Heading3"/>
        <w:spacing w:after="80" w:before="220"/>
      </w:pPr>
      <w:r>
        <w:rPr>
          <w:rFonts w:ascii="Arial" w:cs="Arial" w:eastAsia="Arial" w:hAnsi="Arial"/>
          <w:b/>
          <w:bCs/>
          <w:color w:val="374151"/>
          <w:sz w:val="24"/>
          <w:szCs w:val="24"/>
        </w:rPr>
        <w:t xml:space="preserve">Cell 2.4 — Performance Classification with apply()</w:t>
      </w:r>
    </w:p>
    <w:p>
      <w:pPr>
        <w:spacing w:after="80" w:before="60"/>
        <w:jc w:val="both"/>
      </w:pPr>
      <w:r>
        <w:rPr>
          <w:rFonts w:ascii="Arial" w:cs="Arial" w:eastAsia="Arial" w:hAnsi="Arial"/>
          <w:b w:val="false"/>
          <w:bCs w:val="false"/>
          <w:i w:val="false"/>
          <w:iCs w:val="false"/>
          <w:color w:val="0F172A"/>
          <w:sz w:val="22"/>
          <w:szCs w:val="22"/>
        </w:rPr>
        <w:t xml:space="preserve">A custom Python function classify_financial_performance(row) is defined. This function receives one complete row (all 26 columns at this point in the notebook) as a pandas Series and returns a string: the performance tier for that transaction.</w:t>
      </w:r>
    </w:p>
    <w:p>
      <w:pPr>
        <w:spacing w:after="80" w:before="60"/>
        <w:jc w:val="both"/>
      </w:pPr>
      <w:r>
        <w:rPr>
          <w:rFonts w:ascii="Arial" w:cs="Arial" w:eastAsia="Arial" w:hAnsi="Arial"/>
          <w:b w:val="false"/>
          <w:bCs w:val="false"/>
          <w:i w:val="false"/>
          <w:iCs w:val="false"/>
          <w:color w:val="0F172A"/>
          <w:sz w:val="22"/>
          <w:szCs w:val="22"/>
        </w:rPr>
        <w:t xml:space="preserve">The function applies a decision tree with 6 outcomes ranked in priority order. Audit status takes precedence over budget performance — a transaction that is both over budget AND queried is classified as Non-Compliant (not High Overrun), because the audit finding is the more serious regulatory concern.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500"/>
        <w:gridCol w:w="5000"/>
      </w:tblGrid>
      <w:tr>
        <w:trPr>
          <w:tblHeader/>
        </w:trPr>
        <w:tc>
          <w:tcPr>
            <w:tcW w:type="dxa" w:w="7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Condition</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Classification</w:t>
            </w:r>
          </w:p>
        </w:tc>
        <w:tc>
          <w:tcPr>
            <w:tcW w:type="dxa" w:w="5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Government Meaning</w:t>
            </w:r>
          </w:p>
        </w:tc>
      </w:tr>
      <w:tr>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1 (highest)</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audit_status == "Queried"</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Non-Compliant</w:t>
            </w:r>
          </w:p>
        </w:tc>
        <w:tc>
          <w:tcPr>
            <w:tcW w:type="dxa" w:w="5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Auditor General has formally questioned this transaction. Requires a written response. Most serious finding.</w:t>
            </w:r>
          </w:p>
        </w:tc>
      </w:tr>
      <w:tr>
        <w:tc>
          <w:tcPr>
            <w:tcW w:type="dxa" w:w="7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2</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audit_status == "Flagged For Review"</w:t>
            </w:r>
          </w:p>
        </w:tc>
        <w:tc>
          <w:tcPr>
            <w:tcW w:type="dxa" w:w="1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Under Review</w:t>
            </w:r>
          </w:p>
        </w:tc>
        <w:tc>
          <w:tcPr>
            <w:tcW w:type="dxa" w:w="5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Active audit concern — outcome unknown. Cannot yet be cleared.</w:t>
            </w:r>
          </w:p>
        </w:tc>
      </w:tr>
      <w:tr>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3</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is_budget_overrun == 1 AND variance_pct &gt; 20</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High Overrun</w:t>
            </w:r>
          </w:p>
        </w:tc>
        <w:tc>
          <w:tcPr>
            <w:tcW w:type="dxa" w:w="5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Spending exceeds budget by more than 20% — likely requires supplementary appropriation from the House of Assembly.</w:t>
            </w:r>
          </w:p>
        </w:tc>
      </w:tr>
      <w:tr>
        <w:tc>
          <w:tcPr>
            <w:tcW w:type="dxa" w:w="7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4</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is_budget_overrun == 1</w:t>
            </w:r>
          </w:p>
        </w:tc>
        <w:tc>
          <w:tcPr>
            <w:tcW w:type="dxa" w:w="1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Moderate Overrun</w:t>
            </w:r>
          </w:p>
        </w:tc>
        <w:tc>
          <w:tcPr>
            <w:tcW w:type="dxa" w:w="5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Over budget but within 20% — technically irregular but common. Requires MDA explanation.</w:t>
            </w:r>
          </w:p>
        </w:tc>
      </w:tr>
      <w:tr>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5</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utilisation_rate_pct &lt; 30</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Underutilised</w:t>
            </w:r>
          </w:p>
        </w:tc>
        <w:tc>
          <w:tcPr>
            <w:tcW w:type="dxa" w:w="5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Budget was approved but barely spent — project execution failure or budget padding.</w:t>
            </w:r>
          </w:p>
        </w:tc>
      </w:tr>
      <w:tr>
        <w:tc>
          <w:tcPr>
            <w:tcW w:type="dxa" w:w="7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6 (default)</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None of the above</w:t>
            </w:r>
          </w:p>
        </w:tc>
        <w:tc>
          <w:tcPr>
            <w:tcW w:type="dxa" w:w="1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Compliant</w:t>
            </w:r>
          </w:p>
        </w:tc>
        <w:tc>
          <w:tcPr>
            <w:tcW w:type="dxa" w:w="5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Within budget, not flagged, adequate utilisation. Performing as intended.</w:t>
            </w:r>
          </w:p>
        </w:tc>
      </w:tr>
    </w:tbl>
    <w:p>
      <w:pPr>
        <w:spacing w:after="80" w:before="60"/>
        <w:jc w:val="both"/>
      </w:pPr>
      <w:r>
        <w:rPr>
          <w:rFonts w:ascii="Arial" w:cs="Arial" w:eastAsia="Arial" w:hAnsi="Arial"/>
          <w:b w:val="false"/>
          <w:bCs w:val="false"/>
          <w:i w:val="false"/>
          <w:iCs w:val="false"/>
          <w:color w:val="0F172A"/>
          <w:sz w:val="22"/>
          <w:szCs w:val="22"/>
        </w:rPr>
        <w:t xml:space="preserve">df_clean.apply(classify_fp, axis=1) runs the function on every row. axis=1 means "apply across columns" — the function receives all columns for one row at a time. The result of apply() is a new Series with one label per row, which is stored as the new column performance_class.</w:t>
      </w:r>
    </w:p>
    <w:p>
      <w:pPr>
        <w:spacing w:after="80" w:before="60"/>
        <w:jc w:val="both"/>
      </w:pPr>
      <w:r>
        <w:rPr>
          <w:rFonts w:ascii="Arial" w:cs="Arial" w:eastAsia="Arial" w:hAnsi="Arial"/>
          <w:b w:val="false"/>
          <w:bCs w:val="false"/>
          <w:i w:val="false"/>
          <w:iCs w:val="false"/>
          <w:color w:val="0F172A"/>
          <w:sz w:val="22"/>
          <w:szCs w:val="22"/>
        </w:rPr>
        <w:t xml:space="preserve">The output reveals that only 37.9% of transactions are Compliant. The remaining 62.1% have some form of financial or governance concern. The verify block confirms that the cleaned dataset now has 26 columns (22 original + 4 new: month_num, is_year_end, transaction_band, performance_class), zero missing values, and the total actual spend across all 1,451 transactions is NGN 276.27 billion against a budget of NGN 275.98 billion — a net overspend of just NGN 286.9 million (+0.1%) at the aggregate level.</w:t>
      </w:r>
    </w:p>
    <w:p>
      <w:pPr>
        <w:spacing w:after="0" w:before="0"/>
      </w:pPr>
      <w:r>
        <w:t xml:space="preserve"/>
      </w:r>
    </w:p>
    <w:p>
      <w:pPr>
        <w:pStyle w:val="Heading2"/>
        <w:spacing w:after="120" w:before="300"/>
      </w:pPr>
      <w:r>
        <w:rPr>
          <w:rFonts w:ascii="Arial" w:cs="Arial" w:eastAsia="Arial" w:hAnsi="Arial"/>
          <w:b/>
          <w:bCs/>
          <w:color w:val="1D4ED8"/>
          <w:sz w:val="28"/>
          <w:szCs w:val="28"/>
        </w:rPr>
        <w:t xml:space="preserve">Section 3 — Data Extraction and Filtering</w:t>
      </w:r>
    </w:p>
    <w:p>
      <w:pPr>
        <w:pStyle w:val="Heading3"/>
        <w:spacing w:after="80" w:before="220"/>
      </w:pPr>
      <w:r>
        <w:rPr>
          <w:rFonts w:ascii="Arial" w:cs="Arial" w:eastAsia="Arial" w:hAnsi="Arial"/>
          <w:b/>
          <w:bCs/>
          <w:color w:val="374151"/>
          <w:sz w:val="24"/>
          <w:szCs w:val="24"/>
        </w:rPr>
        <w:t xml:space="preserve">Cell 3.1 — Boolean Indexing Filters</w:t>
      </w:r>
    </w:p>
    <w:p>
      <w:pPr>
        <w:spacing w:after="80" w:before="60"/>
        <w:jc w:val="both"/>
      </w:pPr>
      <w:r>
        <w:rPr>
          <w:rFonts w:ascii="Arial" w:cs="Arial" w:eastAsia="Arial" w:hAnsi="Arial"/>
          <w:b w:val="false"/>
          <w:bCs w:val="false"/>
          <w:i w:val="false"/>
          <w:iCs w:val="false"/>
          <w:color w:val="0F172A"/>
          <w:sz w:val="22"/>
          <w:szCs w:val="22"/>
        </w:rPr>
        <w:t xml:space="preserve">Boolean indexing is the most fundamental data extraction operation in pandas. A comparison like df_clean["audit_status"] == "Queried" evaluates to a Series of True and False values — one per row. Placing this inside df_clean[] returns only the rows where the condition is True.</w:t>
      </w:r>
    </w:p>
    <w:p>
      <w:pPr>
        <w:spacing w:after="80" w:before="60"/>
        <w:jc w:val="both"/>
      </w:pPr>
      <w:r>
        <w:rPr>
          <w:rFonts w:ascii="Arial" w:cs="Arial" w:eastAsia="Arial" w:hAnsi="Arial"/>
          <w:b w:val="false"/>
          <w:bCs w:val="false"/>
          <w:i w:val="false"/>
          <w:iCs w:val="false"/>
          <w:color w:val="0F172A"/>
          <w:sz w:val="22"/>
          <w:szCs w:val="22"/>
        </w:rPr>
        <w:t xml:space="preserve">Five filters are applied to demonstrate different use cases.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600"/>
        <w:gridCol w:w="3960"/>
      </w:tblGrid>
      <w:tr>
        <w:trPr>
          <w:tblHeader/>
        </w:trPr>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Filter</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Code Pattern</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Result</w:t>
            </w:r>
          </w:p>
        </w:tc>
        <w:tc>
          <w:tcPr>
            <w:tcW w:type="dxa" w:w="3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Governance Significance</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Queried transactions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df_clean[df_clean["audit_status"] == "Queried"]</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90 transactions, NGN 11.01B exposure</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NGN 11 billion under active Auditor General investigation — the highest-urgency finding</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High overruns &gt;20%</w:t>
            </w:r>
          </w:p>
        </w:tc>
        <w:tc>
          <w:tcPr>
            <w:tcW w:type="dxa" w:w="2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df_clean[df_clean["variance_pct"] &gt; 20]</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228 transactions, +NGN 18,036.5M excess</w:t>
            </w:r>
          </w:p>
        </w:tc>
        <w:tc>
          <w:tcPr>
            <w:tcW w:type="dxa" w:w="39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NGN 18 billion in spending beyond approved budgets — requires supplementary appropriation or recovery</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CapEx in 2023</w:t>
            </w:r>
          </w:p>
        </w:tc>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df_clean[(df_clean["transaction_type"] == "Capital Expenditure") &amp; (df_clean["fiscal_year"] == 2023)]</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40 transactions, NGN 9.80B</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All capital infrastructure spending in 2023 — baseline for project delivery monitoring</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Revenue transactions</w:t>
            </w:r>
          </w:p>
        </w:tc>
        <w:tc>
          <w:tcPr>
            <w:tcW w:type="dxa" w:w="2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df_clean[df_clean["classification"] == "Revenue"]</w:t>
            </w:r>
          </w:p>
        </w:tc>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371 transactions, NGN 205.86B</w:t>
            </w:r>
          </w:p>
        </w:tc>
        <w:tc>
          <w:tcPr>
            <w:tcW w:type="dxa" w:w="39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All government inflows — the income statement filter</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Slow processing &gt;35d</w:t>
            </w:r>
          </w:p>
        </w:tc>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df_clean[df_clean["processing_days"] &gt; 35]</w:t>
            </w:r>
          </w:p>
        </w:tc>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367 transactions, 49.0% overrun rate</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Slow processing is NOT the cause of overruns — the 49% overrun rate is slightly below the 51.5% average</w:t>
            </w:r>
          </w:p>
        </w:tc>
      </w:tr>
    </w:tbl>
    <w:p>
      <w:pPr>
        <w:spacing w:after="80" w:before="60"/>
        <w:jc w:val="both"/>
      </w:pPr>
      <w:r>
        <w:rPr>
          <w:rFonts w:ascii="Arial" w:cs="Arial" w:eastAsia="Arial" w:hAnsi="Arial"/>
          <w:b w:val="false"/>
          <w:bCs w:val="false"/>
          <w:i w:val="false"/>
          <w:iCs w:val="false"/>
          <w:color w:val="0F172A"/>
          <w:sz w:val="22"/>
          <w:szCs w:val="22"/>
        </w:rPr>
        <w:t xml:space="preserve">When combining two conditions, each must be wrapped in parentheses and joined with &amp; (AND) or | (OR). This is a pandas requirement — without parentheses, Python's operator precedence evaluates == and &amp; in the wrong order, causing an error or wrong result.</w:t>
      </w:r>
    </w:p>
    <w:p>
      <w:pPr>
        <w:spacing w:after="0" w:before="0"/>
      </w:pPr>
      <w:r>
        <w:t xml:space="preserve"/>
      </w:r>
    </w:p>
    <w:p>
      <w:pPr>
        <w:pStyle w:val="Heading3"/>
        <w:spacing w:after="80" w:before="220"/>
      </w:pPr>
      <w:r>
        <w:rPr>
          <w:rFonts w:ascii="Arial" w:cs="Arial" w:eastAsia="Arial" w:hAnsi="Arial"/>
          <w:b/>
          <w:bCs/>
          <w:color w:val="374151"/>
          <w:sz w:val="24"/>
          <w:szCs w:val="24"/>
        </w:rPr>
        <w:t xml:space="preserve">Cell 3.2 — .loc and .iloc Selection</w:t>
      </w:r>
    </w:p>
    <w:p>
      <w:pPr>
        <w:spacing w:after="80" w:before="60"/>
        <w:jc w:val="both"/>
      </w:pPr>
      <w:r>
        <w:rPr>
          <w:rFonts w:ascii="Arial" w:cs="Arial" w:eastAsia="Arial" w:hAnsi="Arial"/>
          <w:b w:val="false"/>
          <w:bCs w:val="false"/>
          <w:i w:val="false"/>
          <w:iCs w:val="false"/>
          <w:color w:val="0F172A"/>
          <w:sz w:val="22"/>
          <w:szCs w:val="22"/>
        </w:rPr>
        <w:t xml:space="preserve">df_clean.loc[0:4, ["transaction_id", "mda_name", ...]] selects specific rows by label and specific columns by name. .loc is label-based — it uses the row's index label and column names. df_clean.iloc[0:5, 0:6] selects by integer position — the first 5 rows and first 6 columns regardless of what they are named.</w:t>
      </w:r>
    </w:p>
    <w:p>
      <w:pPr>
        <w:spacing w:after="80" w:before="60"/>
        <w:jc w:val="both"/>
      </w:pPr>
      <w:r>
        <w:rPr>
          <w:rFonts w:ascii="Arial" w:cs="Arial" w:eastAsia="Arial" w:hAnsi="Arial"/>
          <w:b w:val="false"/>
          <w:bCs w:val="false"/>
          <w:i w:val="false"/>
          <w:iCs w:val="false"/>
          <w:color w:val="0F172A"/>
          <w:sz w:val="22"/>
          <w:szCs w:val="22"/>
        </w:rPr>
        <w:t xml:space="preserve">df_clean["actual_amount"].idxmax() returns the INDEX LABEL of the row with the highest actual_amount value. That label is then passed to df_clean.loc[top_idx] to retrieve the complete 26-column record for that transaction. The result: LGS-2023-011163, a NGN 2,513,248,763 FAAC transfer to the Ministry of Finance in 2023, with +36.9% variance and Pending Audit status — the single largest transaction in the dataset.</w:t>
      </w:r>
    </w:p>
    <w:p>
      <w:pPr>
        <w:spacing w:after="0" w:before="0"/>
      </w:pPr>
      <w:r>
        <w:t xml:space="preserve"/>
      </w:r>
    </w:p>
    <w:p>
      <w:pPr>
        <w:pStyle w:val="Heading3"/>
        <w:spacing w:after="80" w:before="220"/>
      </w:pPr>
      <w:r>
        <w:rPr>
          <w:rFonts w:ascii="Arial" w:cs="Arial" w:eastAsia="Arial" w:hAnsi="Arial"/>
          <w:b/>
          <w:bCs/>
          <w:color w:val="374151"/>
          <w:sz w:val="24"/>
          <w:szCs w:val="24"/>
        </w:rPr>
        <w:t xml:space="preserve">Cell 3.3 — nlargest and .query()</w:t>
      </w:r>
    </w:p>
    <w:p>
      <w:pPr>
        <w:spacing w:after="80" w:before="60"/>
        <w:jc w:val="both"/>
      </w:pPr>
      <w:r>
        <w:rPr>
          <w:rFonts w:ascii="Arial" w:cs="Arial" w:eastAsia="Arial" w:hAnsi="Arial"/>
          <w:b w:val="false"/>
          <w:bCs w:val="false"/>
          <w:i w:val="false"/>
          <w:iCs w:val="false"/>
          <w:color w:val="0F172A"/>
          <w:sz w:val="22"/>
          <w:szCs w:val="22"/>
        </w:rPr>
        <w:t xml:space="preserve">df_clean.nlargest(10, "actual_amount") returns the 10 rows with the highest actual_amount values, sorted descending. It is faster than sort_values(ascending=False).head(10) for large datasets because nlargest uses a partial sort (heap algorithm) that only sorts as much as needed to find the top 10.</w:t>
      </w:r>
    </w:p>
    <w:p>
      <w:pPr>
        <w:spacing w:after="80" w:before="60"/>
        <w:jc w:val="both"/>
      </w:pPr>
      <w:r>
        <w:rPr>
          <w:rFonts w:ascii="Arial" w:cs="Arial" w:eastAsia="Arial" w:hAnsi="Arial"/>
          <w:b w:val="false"/>
          <w:bCs w:val="false"/>
          <w:i w:val="false"/>
          <w:iCs w:val="false"/>
          <w:color w:val="0F172A"/>
          <w:sz w:val="22"/>
          <w:szCs w:val="22"/>
        </w:rPr>
        <w:t xml:space="preserve">df_clean.query("audit_status == 'Flagged For Review' and variance_pct &gt; 10") filters using a SQL-like string expression. This is the .query() method — it reads more naturally than boolean indexing for complex multi-condition filters. The lowercase "and" keyword connects conditions in .query() — different from boolean indexing's &amp; operator. The result: 43 transactions that are BOTH flagged by the auditor AND more than 10% over budget, with a combined excess spending of NGN 3,069.8 million.</w:t>
      </w:r>
    </w:p>
    <w:p>
      <w:pPr>
        <w:spacing w:after="80" w:before="60"/>
        <w:jc w:val="both"/>
      </w:pPr>
      <w:r>
        <w:rPr>
          <w:rFonts w:ascii="Arial" w:cs="Arial" w:eastAsia="Arial" w:hAnsi="Arial"/>
          <w:b w:val="false"/>
          <w:bCs w:val="false"/>
          <w:i w:val="false"/>
          <w:iCs w:val="false"/>
          <w:color w:val="0F172A"/>
          <w:sz w:val="22"/>
          <w:szCs w:val="22"/>
        </w:rPr>
        <w:t xml:space="preserve">The top 10 largest transactions reveal a critical pattern: all 10 are FAAC (Federal Allocation) transfers. Every single transaction above NGN 1.96 billion is federal money disbursed to Lagos State — confirming that the federal government is the dominant source of large cash flows.</w:t>
      </w:r>
    </w:p>
    <w:p>
      <w:pPr>
        <w:spacing w:after="0" w:before="0"/>
      </w:pPr>
      <w:r>
        <w:t xml:space="preserve"/>
      </w:r>
    </w:p>
    <w:p>
      <w:pPr>
        <w:pStyle w:val="Heading2"/>
        <w:spacing w:after="120" w:before="300"/>
      </w:pPr>
      <w:r>
        <w:rPr>
          <w:rFonts w:ascii="Arial" w:cs="Arial" w:eastAsia="Arial" w:hAnsi="Arial"/>
          <w:b/>
          <w:bCs/>
          <w:color w:val="1D4ED8"/>
          <w:sz w:val="28"/>
          <w:szCs w:val="28"/>
        </w:rPr>
        <w:t xml:space="preserve">Section 4 — Data Manipulation</w:t>
      </w:r>
    </w:p>
    <w:p>
      <w:pPr>
        <w:pStyle w:val="Heading3"/>
        <w:spacing w:after="80" w:before="220"/>
      </w:pPr>
      <w:r>
        <w:rPr>
          <w:rFonts w:ascii="Arial" w:cs="Arial" w:eastAsia="Arial" w:hAnsi="Arial"/>
          <w:b/>
          <w:bCs/>
          <w:color w:val="374151"/>
          <w:sz w:val="24"/>
          <w:szCs w:val="24"/>
        </w:rPr>
        <w:t xml:space="preserve">Cell 4.1 — groupby and agg: MDA Performance Table</w:t>
      </w:r>
    </w:p>
    <w:p>
      <w:pPr>
        <w:spacing w:after="80" w:before="60"/>
        <w:jc w:val="both"/>
      </w:pPr>
      <w:r>
        <w:rPr>
          <w:rFonts w:ascii="Arial" w:cs="Arial" w:eastAsia="Arial" w:hAnsi="Arial"/>
          <w:b w:val="false"/>
          <w:bCs w:val="false"/>
          <w:i w:val="false"/>
          <w:iCs w:val="false"/>
          <w:color w:val="0F172A"/>
          <w:sz w:val="22"/>
          <w:szCs w:val="22"/>
        </w:rPr>
        <w:t xml:space="preserve">df_clean.groupby("mda_name") splits the 1,451 transactions into 20 groups, one per MDA. The .agg() function then applies different aggregation operations to different columns simultaneously using named aggregation syntax.</w:t>
      </w:r>
    </w:p>
    <w:p>
      <w:pPr>
        <w:spacing w:after="80" w:before="60"/>
        <w:jc w:val="both"/>
      </w:pPr>
      <w:r>
        <w:rPr>
          <w:rFonts w:ascii="Arial" w:cs="Arial" w:eastAsia="Arial" w:hAnsi="Arial"/>
          <w:b w:val="false"/>
          <w:bCs w:val="false"/>
          <w:i w:val="false"/>
          <w:iCs w:val="false"/>
          <w:color w:val="0F172A"/>
          <w:sz w:val="22"/>
          <w:szCs w:val="22"/>
        </w:rPr>
        <w:t xml:space="preserve">Named aggregation syntax: new_column_name = (source_column, aggregation_function). For example: txn_count = ("transaction_id", "count") creates a new column called txn_count by counting the transaction_id values in each group. Multiple such specifications are passed in one .agg() call.</w:t>
      </w:r>
    </w:p>
    <w:p>
      <w:pPr>
        <w:spacing w:after="80" w:before="60"/>
        <w:jc w:val="both"/>
      </w:pPr>
      <w:r>
        <w:rPr>
          <w:rFonts w:ascii="Arial" w:cs="Arial" w:eastAsia="Arial" w:hAnsi="Arial"/>
          <w:b w:val="false"/>
          <w:bCs w:val="false"/>
          <w:i w:val="false"/>
          <w:iCs w:val="false"/>
          <w:color w:val="0F172A"/>
          <w:sz w:val="22"/>
          <w:szCs w:val="22"/>
        </w:rPr>
        <w:t xml:space="preserve">Two columns use lambda functions inside agg(). For example: flagged_count = ("audit_status", lambda x: (x == "Flagged For Review").sum()) counts how many rows in each MDA group have audit_status equal to "Flagged For Review". Lambda functions inside agg() handle any aggregation logic that cannot be expressed as a built-in function name like "sum" or "mean".</w:t>
      </w:r>
    </w:p>
    <w:p>
      <w:pPr>
        <w:spacing w:after="80" w:before="60"/>
        <w:jc w:val="both"/>
      </w:pPr>
      <w:r>
        <w:rPr>
          <w:rFonts w:ascii="Arial" w:cs="Arial" w:eastAsia="Arial" w:hAnsi="Arial"/>
          <w:b w:val="false"/>
          <w:bCs w:val="false"/>
          <w:i w:val="false"/>
          <w:iCs w:val="false"/>
          <w:color w:val="0F172A"/>
          <w:sz w:val="22"/>
          <w:szCs w:val="22"/>
        </w:rPr>
        <w:t xml:space="preserve">After aggregation, two derived columns are computed: overrun_rate_pct (overrun count divided by transaction count times 100) and budget_variance_pct (total actual minus total budget divided by total budget times 100). The table is sorted by total_actual descending — showing the highest-spending MDAs first.</w:t>
      </w:r>
    </w:p>
    <w:p>
      <w:pPr>
        <w:spacing w:after="80" w:before="60"/>
        <w:jc w:val="both"/>
      </w:pPr>
      <w:r>
        <w:rPr>
          <w:rFonts w:ascii="Arial" w:cs="Arial" w:eastAsia="Arial" w:hAnsi="Arial"/>
          <w:b w:val="false"/>
          <w:bCs w:val="false"/>
          <w:i w:val="false"/>
          <w:iCs w:val="false"/>
          <w:color w:val="0F172A"/>
          <w:sz w:val="22"/>
          <w:szCs w:val="22"/>
        </w:rPr>
        <w:t xml:space="preserve">The output reveals the governance paradox of the dataset: the Ministry of Finance — responsible for budget oversight and financial discipline across all other MDAs — has the highest budget overrun rate of any MDA at 61.0%. The Office of the Governor has 24 combined audit issues (17 flagged plus 7 queried) — the most of any MDA.</w:t>
      </w:r>
    </w:p>
    <w:p>
      <w:pPr>
        <w:spacing w:after="0" w:before="0"/>
      </w:pPr>
      <w:r>
        <w:t xml:space="preserve"/>
      </w:r>
    </w:p>
    <w:p>
      <w:pPr>
        <w:pStyle w:val="Heading3"/>
        <w:spacing w:after="80" w:before="220"/>
      </w:pPr>
      <w:r>
        <w:rPr>
          <w:rFonts w:ascii="Arial" w:cs="Arial" w:eastAsia="Arial" w:hAnsi="Arial"/>
          <w:b/>
          <w:bCs/>
          <w:color w:val="374151"/>
          <w:sz w:val="24"/>
          <w:szCs w:val="24"/>
        </w:rPr>
        <w:t xml:space="preserve">Cell 4.2 — pivot_table: Spending by Type and Year</w:t>
      </w:r>
    </w:p>
    <w:p>
      <w:pPr>
        <w:spacing w:after="80" w:before="60"/>
        <w:jc w:val="both"/>
      </w:pPr>
      <w:r>
        <w:rPr>
          <w:rFonts w:ascii="Arial" w:cs="Arial" w:eastAsia="Arial" w:hAnsi="Arial"/>
          <w:b w:val="false"/>
          <w:bCs w:val="false"/>
          <w:i w:val="false"/>
          <w:iCs w:val="false"/>
          <w:color w:val="0F172A"/>
          <w:sz w:val="22"/>
          <w:szCs w:val="22"/>
        </w:rPr>
        <w:t xml:space="preserve">df_clean.pivot_table(values="actual_amount", index="transaction_type", columns="fiscal_year", aggfunc="sum", fill_value=0) creates a cross-tabulation. Transaction types become rows. Fiscal years (2021, 2022, 2023) become columns. Each cell contains the sum of actual_amount for that type in that year. fill_value=0 ensures that type-year combinations with no transactions show 0 rather than NaN.</w:t>
      </w:r>
    </w:p>
    <w:p>
      <w:pPr>
        <w:spacing w:after="80" w:before="60"/>
        <w:jc w:val="both"/>
      </w:pPr>
      <w:r>
        <w:rPr>
          <w:rFonts w:ascii="Arial" w:cs="Arial" w:eastAsia="Arial" w:hAnsi="Arial"/>
          <w:b w:val="false"/>
          <w:bCs w:val="false"/>
          <w:i w:val="false"/>
          <w:iCs w:val="false"/>
          <w:color w:val="0F172A"/>
          <w:sz w:val="22"/>
          <w:szCs w:val="22"/>
        </w:rPr>
        <w:t xml:space="preserve">Dividing by 1e9 converts to billions for readability. A Growth_21_23 column is computed as (2023 value minus 2021 value) / 2021 value times 100 — the percentage change over the three-year period.</w:t>
      </w:r>
    </w:p>
    <w:p>
      <w:pPr>
        <w:spacing w:after="80" w:before="60"/>
        <w:jc w:val="both"/>
      </w:pPr>
      <w:r>
        <w:rPr>
          <w:rFonts w:ascii="Arial" w:cs="Arial" w:eastAsia="Arial" w:hAnsi="Arial"/>
          <w:b w:val="false"/>
          <w:bCs w:val="false"/>
          <w:i w:val="false"/>
          <w:iCs w:val="false"/>
          <w:color w:val="0F172A"/>
          <w:sz w:val="22"/>
          <w:szCs w:val="22"/>
        </w:rPr>
        <w:t xml:space="preserve">The most alarming trend in the pivot table is IGR Collection declining -10.6% from 2021 to 2023. This means Lagos State's own-source revenue — the part it controls — is shrinking. Training &amp; Development declined -50.0% — the government is cutting civil servant training in half. Personnel Cost grew +9.6% — the wage bill is expanding. These three trends together suggest a fiscal trajectory where the government pays more in salaries, invests less in its people's development, and collects less of its own revenue.</w:t>
      </w:r>
    </w:p>
    <w:p>
      <w:pPr>
        <w:spacing w:after="0" w:before="0"/>
      </w:pPr>
      <w:r>
        <w:t xml:space="preserve"/>
      </w:r>
    </w:p>
    <w:p>
      <w:pPr>
        <w:pStyle w:val="Heading3"/>
        <w:spacing w:after="80" w:before="220"/>
      </w:pPr>
      <w:r>
        <w:rPr>
          <w:rFonts w:ascii="Arial" w:cs="Arial" w:eastAsia="Arial" w:hAnsi="Arial"/>
          <w:b/>
          <w:bCs/>
          <w:color w:val="374151"/>
          <w:sz w:val="24"/>
          <w:szCs w:val="24"/>
        </w:rPr>
        <w:t xml:space="preserve">Cell 4.3 — apply(): Audit Priority Score</w:t>
      </w:r>
    </w:p>
    <w:p>
      <w:pPr>
        <w:spacing w:after="80" w:before="60"/>
        <w:jc w:val="both"/>
      </w:pPr>
      <w:r>
        <w:rPr>
          <w:rFonts w:ascii="Arial" w:cs="Arial" w:eastAsia="Arial" w:hAnsi="Arial"/>
          <w:b w:val="false"/>
          <w:bCs w:val="false"/>
          <w:i w:val="false"/>
          <w:iCs w:val="false"/>
          <w:color w:val="0F172A"/>
          <w:sz w:val="22"/>
          <w:szCs w:val="22"/>
        </w:rPr>
        <w:t xml:space="preserve">A second apply() call creates an audit_priority_score for every transaction. The function awards points for four risk dimensions: audit status (0, 25, or 40 points), variance severity (0, 15, or 25 points), slow processing (0 or 10 points), and low utilisation (0 or 10 points). The maximum score is 100 but min(score, 100) prevents any transaction from exceeding this cap.</w:t>
      </w:r>
    </w:p>
    <w:p>
      <w:pPr>
        <w:spacing w:after="80" w:before="60"/>
        <w:jc w:val="both"/>
      </w:pPr>
      <w:r>
        <w:rPr>
          <w:rFonts w:ascii="Arial" w:cs="Arial" w:eastAsia="Arial" w:hAnsi="Arial"/>
          <w:b w:val="false"/>
          <w:bCs w:val="false"/>
          <w:i w:val="false"/>
          <w:iCs w:val="false"/>
          <w:color w:val="0F172A"/>
          <w:sz w:val="22"/>
          <w:szCs w:val="22"/>
        </w:rPr>
        <w:t xml:space="preserve">pd.cut() then converts the continuous 0-100 score into 4 labelled bands (Low, Medium, High, Critical) for operational use. The 19 Critical transactions (score 61-100) represent the Auditor General's immediate workload — all have queried status and large positive variances. The 1,036 Low transactions (71.4%) require only routine annual monitoring.</w:t>
      </w:r>
    </w:p>
    <w:p>
      <w:pPr>
        <w:spacing w:after="0" w:before="0"/>
      </w:pPr>
      <w:r>
        <w:t xml:space="preserve"/>
      </w:r>
    </w:p>
    <w:p>
      <w:pPr>
        <w:pStyle w:val="Heading2"/>
        <w:spacing w:after="120" w:before="300"/>
      </w:pPr>
      <w:r>
        <w:rPr>
          <w:rFonts w:ascii="Arial" w:cs="Arial" w:eastAsia="Arial" w:hAnsi="Arial"/>
          <w:b/>
          <w:bCs/>
          <w:color w:val="1D4ED8"/>
          <w:sz w:val="28"/>
          <w:szCs w:val="28"/>
        </w:rPr>
        <w:t xml:space="preserve">Section 5 — Descriptive Statistics</w:t>
      </w:r>
    </w:p>
    <w:p>
      <w:pPr>
        <w:pStyle w:val="Heading3"/>
        <w:spacing w:after="80" w:before="220"/>
      </w:pPr>
      <w:r>
        <w:rPr>
          <w:rFonts w:ascii="Arial" w:cs="Arial" w:eastAsia="Arial" w:hAnsi="Arial"/>
          <w:b/>
          <w:bCs/>
          <w:color w:val="374151"/>
          <w:sz w:val="24"/>
          <w:szCs w:val="24"/>
        </w:rPr>
        <w:t xml:space="preserve">Cell 5.1 — Central Tendency Analysis</w:t>
      </w:r>
    </w:p>
    <w:p>
      <w:pPr>
        <w:spacing w:after="80" w:before="60"/>
        <w:jc w:val="both"/>
      </w:pPr>
      <w:r>
        <w:rPr>
          <w:rFonts w:ascii="Arial" w:cs="Arial" w:eastAsia="Arial" w:hAnsi="Arial"/>
          <w:b w:val="false"/>
          <w:bCs w:val="false"/>
          <w:i w:val="false"/>
          <w:iCs w:val="false"/>
          <w:color w:val="0F172A"/>
          <w:sz w:val="22"/>
          <w:szCs w:val="22"/>
        </w:rPr>
        <w:t xml:space="preserve">For each of 5 key columns, three measures of central tendency are computed: mean (data.mean()), median (data.median()), and mode (data.mode()[0]). data.skew() computes the Pearson skewness coefficient — a number that describes the asymmetry of the distribution.</w:t>
      </w:r>
    </w:p>
    <w:p>
      <w:pPr>
        <w:spacing w:after="80" w:before="60"/>
        <w:jc w:val="both"/>
      </w:pPr>
      <w:r>
        <w:rPr>
          <w:rFonts w:ascii="Arial" w:cs="Arial" w:eastAsia="Arial" w:hAnsi="Arial"/>
          <w:b w:val="false"/>
          <w:bCs w:val="false"/>
          <w:i w:val="false"/>
          <w:iCs w:val="false"/>
          <w:color w:val="0F172A"/>
          <w:sz w:val="22"/>
          <w:szCs w:val="22"/>
        </w:rPr>
        <w:t xml:space="preserve">For actual_amount, skewness = +3.114 (strong right skew). This means the distribution has a very long right tail — a few enormous FAAC values pull the mean far above the median. The mean (NGN 190.4 million) is 4.5 times larger than the median (NGN 42.3 million). For government financial reporting, the median is the correct summary of a typical transaction because it is unaffected by the FAAC outliers.</w:t>
      </w:r>
    </w:p>
    <w:p>
      <w:pPr>
        <w:spacing w:after="80" w:before="60"/>
        <w:jc w:val="both"/>
      </w:pPr>
      <w:r>
        <w:rPr>
          <w:rFonts w:ascii="Arial" w:cs="Arial" w:eastAsia="Arial" w:hAnsi="Arial"/>
          <w:b w:val="false"/>
          <w:bCs w:val="false"/>
          <w:i w:val="false"/>
          <w:iCs w:val="false"/>
          <w:color w:val="0F172A"/>
          <w:sz w:val="22"/>
          <w:szCs w:val="22"/>
        </w:rPr>
        <w:t xml:space="preserve">For processing_days, skewness = -0.080 (approximately symmetric) — mean and median are nearly equal at approximately 24 days. For variance_pct, skewness = -0.212 (approximately symmetric) — overruns and underspends are roughly balanced around zero, which explains why the overall budget variance is only +0.1% despite 51.5% of individual transactions being overruns.</w:t>
      </w:r>
    </w:p>
    <w:p>
      <w:pPr>
        <w:spacing w:after="0" w:before="0"/>
      </w:pPr>
      <w:r>
        <w:t xml:space="preserve"/>
      </w:r>
    </w:p>
    <w:p>
      <w:pPr>
        <w:pStyle w:val="Heading3"/>
        <w:spacing w:after="80" w:before="220"/>
      </w:pPr>
      <w:r>
        <w:rPr>
          <w:rFonts w:ascii="Arial" w:cs="Arial" w:eastAsia="Arial" w:hAnsi="Arial"/>
          <w:b/>
          <w:bCs/>
          <w:color w:val="374151"/>
          <w:sz w:val="24"/>
          <w:szCs w:val="24"/>
        </w:rPr>
        <w:t xml:space="preserve">Cell 5.2 — Spread Analysis: IQR, Percentiles, Outliers</w:t>
      </w:r>
    </w:p>
    <w:p>
      <w:pPr>
        <w:spacing w:after="80" w:before="60"/>
        <w:jc w:val="both"/>
      </w:pPr>
      <w:r>
        <w:rPr>
          <w:rFonts w:ascii="Arial" w:cs="Arial" w:eastAsia="Arial" w:hAnsi="Arial"/>
          <w:b w:val="false"/>
          <w:bCs w:val="false"/>
          <w:i w:val="false"/>
          <w:iCs w:val="false"/>
          <w:color w:val="0F172A"/>
          <w:sz w:val="22"/>
          <w:szCs w:val="22"/>
        </w:rPr>
        <w:t xml:space="preserve">The percentile ladder is computed using act.quantile(p) for p in [0.10, 0.25, 0.50, 0.75, 0.90, 0.99]. Each quantile value tells you the threshold below which that percentage of transactions fall. P10 = NGN 3.96 million means 10% of all transactions are below NGN 4 million — small operational payments. P99 = NGN 1.8 billion means only 15 transactions exceed this value — all mega-transfers.</w:t>
      </w:r>
    </w:p>
    <w:p>
      <w:pPr>
        <w:spacing w:after="80" w:before="60"/>
        <w:jc w:val="both"/>
      </w:pPr>
      <w:r>
        <w:rPr>
          <w:rFonts w:ascii="Arial" w:cs="Arial" w:eastAsia="Arial" w:hAnsi="Arial"/>
          <w:b w:val="false"/>
          <w:bCs w:val="false"/>
          <w:i w:val="false"/>
          <w:iCs w:val="false"/>
          <w:color w:val="0F172A"/>
          <w:sz w:val="22"/>
          <w:szCs w:val="22"/>
        </w:rPr>
        <w:t xml:space="preserve">The Interquartile Range (IQR) is q3 minus q1 = NGN 151 million. This is the spread of the middle 50% of transactions, unaffected by extreme values at either end. Tukey's fence is q3 + 1.5 x IQR = NGN 388 million. Transactions above NGN 388 million are statistical outliers — 195 of them (13.4%). In government finance, these are LEGITIMATE large transfers, not data errors. The critical lesson: never delete outliers in public finance without investigating them first.</w:t>
      </w:r>
    </w:p>
    <w:p>
      <w:pPr>
        <w:spacing w:after="80" w:before="60"/>
        <w:jc w:val="both"/>
      </w:pPr>
      <w:r>
        <w:rPr>
          <w:rFonts w:ascii="Arial" w:cs="Arial" w:eastAsia="Arial" w:hAnsi="Arial"/>
          <w:b w:val="false"/>
          <w:bCs w:val="false"/>
          <w:i w:val="false"/>
          <w:iCs w:val="false"/>
          <w:color w:val="0F172A"/>
          <w:sz w:val="22"/>
          <w:szCs w:val="22"/>
        </w:rPr>
        <w:t xml:space="preserve">The coefficient of variation (std / mean x 100) = 195.5% indicates extreme variability. A grocery store's daily sales might have CV = 20%; government financial accounts have CV = 200% because they contain both NGN 10,000 petty cash payments and NGN 2.5 billion federal transfers in the same dataset.</w:t>
      </w:r>
    </w:p>
    <w:p>
      <w:pPr>
        <w:spacing w:after="0" w:before="0"/>
      </w:pPr>
      <w:r>
        <w:t xml:space="preserve"/>
      </w:r>
    </w:p>
    <w:p>
      <w:pPr>
        <w:pStyle w:val="Heading3"/>
        <w:spacing w:after="80" w:before="220"/>
      </w:pPr>
      <w:r>
        <w:rPr>
          <w:rFonts w:ascii="Arial" w:cs="Arial" w:eastAsia="Arial" w:hAnsi="Arial"/>
          <w:b/>
          <w:bCs/>
          <w:color w:val="374151"/>
          <w:sz w:val="24"/>
          <w:szCs w:val="24"/>
        </w:rPr>
        <w:t xml:space="preserve">Cell 5.3 — Correlation Analysis</w:t>
      </w:r>
    </w:p>
    <w:p>
      <w:pPr>
        <w:spacing w:after="80" w:before="60"/>
        <w:jc w:val="both"/>
      </w:pPr>
      <w:r>
        <w:rPr>
          <w:rFonts w:ascii="Arial" w:cs="Arial" w:eastAsia="Arial" w:hAnsi="Arial"/>
          <w:b w:val="false"/>
          <w:bCs w:val="false"/>
          <w:i w:val="false"/>
          <w:iCs w:val="false"/>
          <w:color w:val="0F172A"/>
          <w:sz w:val="22"/>
          <w:szCs w:val="22"/>
        </w:rPr>
        <w:t xml:space="preserve">df_clean[num_cols].corr() computes all pairwise Pearson correlation coefficients between 8 numerical columns simultaneously. The result is a symmetric 8x8 matrix where each cell contains a value from -1 (perfect negative correlation) to +1 (perfect positive correlation).</w:t>
      </w:r>
    </w:p>
    <w:p>
      <w:pPr>
        <w:spacing w:after="80" w:before="60"/>
        <w:jc w:val="both"/>
      </w:pPr>
      <w:r>
        <w:rPr>
          <w:rFonts w:ascii="Arial" w:cs="Arial" w:eastAsia="Arial" w:hAnsi="Arial"/>
          <w:b w:val="false"/>
          <w:bCs w:val="false"/>
          <w:i w:val="false"/>
          <w:iCs w:val="false"/>
          <w:color w:val="0F172A"/>
          <w:sz w:val="22"/>
          <w:szCs w:val="22"/>
        </w:rPr>
        <w:t xml:space="preserve">The most important correlation is budget_amount with actual_amount = +0.970. This near-perfect positive correlation means the approved budget is an extremely accurate predictor of actual spending. This is good — it means the budgeting process is grounded in realistic estimates. Yet 51.5% of individual transactions exceed their budget. These two facts together reveal the nature of the problem: budgets are set reasonably (high correlation), but individual expenditure discipline breaks down at the MDA level.</w:t>
      </w:r>
    </w:p>
    <w:p>
      <w:pPr>
        <w:spacing w:after="80" w:before="60"/>
        <w:jc w:val="both"/>
      </w:pPr>
      <w:r>
        <w:rPr>
          <w:rFonts w:ascii="Arial" w:cs="Arial" w:eastAsia="Arial" w:hAnsi="Arial"/>
          <w:b w:val="false"/>
          <w:bCs w:val="false"/>
          <w:i w:val="false"/>
          <w:iCs w:val="false"/>
          <w:color w:val="0F172A"/>
          <w:sz w:val="22"/>
          <w:szCs w:val="22"/>
        </w:rPr>
        <w:t xml:space="preserve">The near-zero correlation between processing_days and is_budget_overrun disproves a common assumption: that slow payment processing causes budget overruns. The data shows these two variables are essentially independent. Investing in faster e-approval systems would NOT reduce the overrun rate — the root causes lie in estimation quality and procurement management instead.</w:t>
      </w:r>
    </w:p>
    <w:p>
      <w:pPr>
        <w:spacing w:after="0" w:before="0"/>
      </w:pPr>
      <w:r>
        <w:t xml:space="preserve"/>
      </w:r>
    </w:p>
    <w:p>
      <w:pPr>
        <w:pStyle w:val="Heading2"/>
        <w:spacing w:after="120" w:before="300"/>
      </w:pPr>
      <w:r>
        <w:rPr>
          <w:rFonts w:ascii="Arial" w:cs="Arial" w:eastAsia="Arial" w:hAnsi="Arial"/>
          <w:b/>
          <w:bCs/>
          <w:color w:val="1D4ED8"/>
          <w:sz w:val="28"/>
          <w:szCs w:val="28"/>
        </w:rPr>
        <w:t xml:space="preserve">Section 6 — Exploratory Data Analysis</w:t>
      </w:r>
    </w:p>
    <w:p>
      <w:pPr>
        <w:pStyle w:val="Heading3"/>
        <w:spacing w:after="80" w:before="220"/>
      </w:pPr>
      <w:r>
        <w:rPr>
          <w:rFonts w:ascii="Arial" w:cs="Arial" w:eastAsia="Arial" w:hAnsi="Arial"/>
          <w:b/>
          <w:bCs/>
          <w:color w:val="374151"/>
          <w:sz w:val="24"/>
          <w:szCs w:val="24"/>
        </w:rPr>
        <w:t xml:space="preserve">Cell 6.1 — Six Distribution Histograms</w:t>
      </w:r>
    </w:p>
    <w:p>
      <w:pPr>
        <w:spacing w:after="80" w:before="60"/>
        <w:jc w:val="both"/>
      </w:pPr>
      <w:r>
        <w:rPr>
          <w:rFonts w:ascii="Arial" w:cs="Arial" w:eastAsia="Arial" w:hAnsi="Arial"/>
          <w:b w:val="false"/>
          <w:bCs w:val="false"/>
          <w:i w:val="false"/>
          <w:iCs w:val="false"/>
          <w:color w:val="0F172A"/>
          <w:sz w:val="22"/>
          <w:szCs w:val="22"/>
        </w:rPr>
        <w:t xml:space="preserve">plt.subplots(2, 3, figsize=(16, 10)) creates a 2-row, 3-column grid of 6 histograms. axes.flatten() converts the 2D array of axes into a 1D list so each axes object can be paired with a (column, title, colour) tuple using zip().</w:t>
      </w:r>
    </w:p>
    <w:p>
      <w:pPr>
        <w:spacing w:after="80" w:before="60"/>
        <w:jc w:val="both"/>
      </w:pPr>
      <w:r>
        <w:rPr>
          <w:rFonts w:ascii="Arial" w:cs="Arial" w:eastAsia="Arial" w:hAnsi="Arial"/>
          <w:b w:val="false"/>
          <w:bCs w:val="false"/>
          <w:i w:val="false"/>
          <w:iCs w:val="false"/>
          <w:color w:val="0F172A"/>
          <w:sz w:val="22"/>
          <w:szCs w:val="22"/>
        </w:rPr>
        <w:t xml:space="preserve">Each histogram uses bins=30 — 30 equally-sized ranges. Too few bins (e.g. 5) hides the shape; too many (e.g. 300) creates visual noise. Two vertical lines are added: a dashed red line at the mean and a solid navy line at the median. When the red and navy lines are far apart, the distribution is skewed. For actual_amount, the red line (NGN 190 million) is far to the right of the navy line (NGN 42 million), visually confirming the right skew.</w:t>
      </w:r>
    </w:p>
    <w:p>
      <w:pPr>
        <w:spacing w:after="80" w:before="60"/>
        <w:jc w:val="both"/>
      </w:pPr>
      <w:r>
        <w:rPr>
          <w:rFonts w:ascii="Arial" w:cs="Arial" w:eastAsia="Arial" w:hAnsi="Arial"/>
          <w:b w:val="false"/>
          <w:bCs w:val="false"/>
          <w:i w:val="false"/>
          <w:iCs w:val="false"/>
          <w:color w:val="0F172A"/>
          <w:sz w:val="22"/>
          <w:szCs w:val="22"/>
        </w:rPr>
        <w:t xml:space="preserve">The utilisation_rate_pct histogram shows a left-skewed distribution with a large spike at 100%. This reveals a bimodal pattern: many projects either fully utilise their budget (100%) or are significantly stalled (20-50%). Very few projects are in the "partially complete" middle range — government capital projects tend to be either executing fully or barely moving.</w:t>
      </w:r>
    </w:p>
    <w:p>
      <w:pPr>
        <w:spacing w:after="0" w:before="0"/>
      </w:pPr>
      <w:r>
        <w:t xml:space="preserve"/>
      </w:r>
    </w:p>
    <w:p>
      <w:pPr>
        <w:pStyle w:val="Heading3"/>
        <w:spacing w:after="80" w:before="220"/>
      </w:pPr>
      <w:r>
        <w:rPr>
          <w:rFonts w:ascii="Arial" w:cs="Arial" w:eastAsia="Arial" w:hAnsi="Arial"/>
          <w:b/>
          <w:bCs/>
          <w:color w:val="374151"/>
          <w:sz w:val="24"/>
          <w:szCs w:val="24"/>
        </w:rPr>
        <w:t xml:space="preserve">Cell 6.2 — Correlation Heatmap</w:t>
      </w:r>
    </w:p>
    <w:p>
      <w:pPr>
        <w:spacing w:after="80" w:before="60"/>
        <w:jc w:val="both"/>
      </w:pPr>
      <w:r>
        <w:rPr>
          <w:rFonts w:ascii="Arial" w:cs="Arial" w:eastAsia="Arial" w:hAnsi="Arial"/>
          <w:b w:val="false"/>
          <w:bCs w:val="false"/>
          <w:i w:val="false"/>
          <w:iCs w:val="false"/>
          <w:color w:val="0F172A"/>
          <w:sz w:val="22"/>
          <w:szCs w:val="22"/>
        </w:rPr>
        <w:t xml:space="preserve">np.triu(np.ones_like(corr, dtype=bool)) creates a boolean matrix of the same shape as the correlation matrix, with True in the upper triangle. This is used as the mask parameter in sns.heatmap — masking the upper triangle removes the duplicate information (since corr[A,B] = corr[B,A]) and makes the chart cleaner and less confusing.</w:t>
      </w:r>
    </w:p>
    <w:p>
      <w:pPr>
        <w:spacing w:after="80" w:before="60"/>
        <w:jc w:val="both"/>
      </w:pPr>
      <w:r>
        <w:rPr>
          <w:rFonts w:ascii="Arial" w:cs="Arial" w:eastAsia="Arial" w:hAnsi="Arial"/>
          <w:b w:val="false"/>
          <w:bCs w:val="false"/>
          <w:i w:val="false"/>
          <w:iCs w:val="false"/>
          <w:color w:val="0F172A"/>
          <w:sz w:val="22"/>
          <w:szCs w:val="22"/>
        </w:rPr>
        <w:t xml:space="preserve">The cmap="RdYlGn" colourmap transitions from red (negative correlations) through yellow (near zero) to green (positive correlations), with center=0 ensuring yellow is exactly at zero. annot=True overlays the actual correlation number in each cell, formatted to 2 decimal places. The combination of colour and annotation makes the heatmap both visually immediate (colour) and precisely readable (numbers).</w:t>
      </w:r>
    </w:p>
    <w:p>
      <w:pPr>
        <w:spacing w:after="0" w:before="0"/>
      </w:pPr>
      <w:r>
        <w:t xml:space="preserve"/>
      </w:r>
    </w:p>
    <w:p>
      <w:pPr>
        <w:pStyle w:val="Heading2"/>
        <w:spacing w:after="120" w:before="300"/>
      </w:pPr>
      <w:r>
        <w:rPr>
          <w:rFonts w:ascii="Arial" w:cs="Arial" w:eastAsia="Arial" w:hAnsi="Arial"/>
          <w:b/>
          <w:bCs/>
          <w:color w:val="1D4ED8"/>
          <w:sz w:val="28"/>
          <w:szCs w:val="28"/>
        </w:rPr>
        <w:t xml:space="preserve">Section 7 — Visualisation</w:t>
      </w:r>
    </w:p>
    <w:p>
      <w:pPr>
        <w:pStyle w:val="Heading3"/>
        <w:spacing w:after="80" w:before="220"/>
      </w:pPr>
      <w:r>
        <w:rPr>
          <w:rFonts w:ascii="Arial" w:cs="Arial" w:eastAsia="Arial" w:hAnsi="Arial"/>
          <w:b/>
          <w:bCs/>
          <w:color w:val="374151"/>
          <w:sz w:val="24"/>
          <w:szCs w:val="24"/>
        </w:rPr>
        <w:t xml:space="preserve">Cell 7.1 — Transaction Type Bar Charts</w:t>
      </w:r>
    </w:p>
    <w:p>
      <w:pPr>
        <w:spacing w:after="80" w:before="60"/>
        <w:jc w:val="both"/>
      </w:pPr>
      <w:r>
        <w:rPr>
          <w:rFonts w:ascii="Arial" w:cs="Arial" w:eastAsia="Arial" w:hAnsi="Arial"/>
          <w:b w:val="false"/>
          <w:bCs w:val="false"/>
          <w:i w:val="false"/>
          <w:iCs w:val="false"/>
          <w:color w:val="0F172A"/>
          <w:sz w:val="22"/>
          <w:szCs w:val="22"/>
        </w:rPr>
        <w:t xml:space="preserve">Two horizontal bar charts are produced side by side. The left chart shows total actual spend by transaction type; the right shows budget overrun rate by transaction type.</w:t>
      </w:r>
    </w:p>
    <w:p>
      <w:pPr>
        <w:spacing w:after="80" w:before="60"/>
        <w:jc w:val="both"/>
      </w:pPr>
      <w:r>
        <w:rPr>
          <w:rFonts w:ascii="Arial" w:cs="Arial" w:eastAsia="Arial" w:hAnsi="Arial"/>
          <w:b w:val="false"/>
          <w:bCs w:val="false"/>
          <w:i w:val="false"/>
          <w:iCs w:val="false"/>
          <w:color w:val="0F172A"/>
          <w:sz w:val="22"/>
          <w:szCs w:val="22"/>
        </w:rPr>
        <w:t xml:space="preserve">For the left chart, df_clean.groupby("transaction_type")["actual_amount"].sum().sort_values() groups by type, sums the actual amounts, and sorts ascending so the smallest values are at the top of a horizontal chart — the natural reading order for a ranking. The reindex operation on the right chart ensures its bars appear in the same order as the left chart, enabling direct left-right comparison.</w:t>
      </w:r>
    </w:p>
    <w:p>
      <w:pPr>
        <w:spacing w:after="80" w:before="60"/>
        <w:jc w:val="both"/>
      </w:pPr>
      <w:r>
        <w:rPr>
          <w:rFonts w:ascii="Arial" w:cs="Arial" w:eastAsia="Arial" w:hAnsi="Arial"/>
          <w:b w:val="false"/>
          <w:bCs w:val="false"/>
          <w:i w:val="false"/>
          <w:iCs w:val="false"/>
          <w:color w:val="0F172A"/>
          <w:sz w:val="22"/>
          <w:szCs w:val="22"/>
        </w:rPr>
        <w:t xml:space="preserve">The axvline at x=50 on the right chart draws a vertical reference line at the 50% majority-overrun threshold. Any transaction type whose bar extends past this line has more overruns than compliant transactions in that category. The colour logic uses list comprehension: bars are red if overrun rate &gt; 55%, amber if &gt; 45%, green otherwise.</w:t>
      </w:r>
    </w:p>
    <w:p>
      <w:pPr>
        <w:spacing w:after="0" w:before="0"/>
      </w:pPr>
      <w:r>
        <w:t xml:space="preserve"/>
      </w:r>
    </w:p>
    <w:p>
      <w:pPr>
        <w:pStyle w:val="Heading3"/>
        <w:spacing w:after="80" w:before="220"/>
      </w:pPr>
      <w:r>
        <w:rPr>
          <w:rFonts w:ascii="Arial" w:cs="Arial" w:eastAsia="Arial" w:hAnsi="Arial"/>
          <w:b/>
          <w:bCs/>
          <w:color w:val="374151"/>
          <w:sz w:val="24"/>
          <w:szCs w:val="24"/>
        </w:rPr>
        <w:t xml:space="preserve">Cell 7.2 — Quarterly Revenue vs Expenditure Line Chart</w:t>
      </w:r>
    </w:p>
    <w:p>
      <w:pPr>
        <w:spacing w:after="80" w:before="60"/>
        <w:jc w:val="both"/>
      </w:pPr>
      <w:r>
        <w:rPr>
          <w:rFonts w:ascii="Arial" w:cs="Arial" w:eastAsia="Arial" w:hAnsi="Arial"/>
          <w:b w:val="false"/>
          <w:bCs w:val="false"/>
          <w:i w:val="false"/>
          <w:iCs w:val="false"/>
          <w:color w:val="0F172A"/>
          <w:sz w:val="22"/>
          <w:szCs w:val="22"/>
        </w:rPr>
        <w:t xml:space="preserve">df_clean.groupby(["fiscal_year", "quarter"]) creates a multi-level groupby — it splits data by fiscal year AND quarter simultaneously, producing 12 groups (4 quarters x 3 years). The lambda function inside agg() uses x[df_clean.loc[x.index, "classification"] == "Revenue"].sum() — this is a conditional sum: within each quarterly group, sum only the actual_amount values where classification equals "Revenue". The same logic separates expenditure.</w:t>
      </w:r>
    </w:p>
    <w:p>
      <w:pPr>
        <w:spacing w:after="80" w:before="60"/>
        <w:jc w:val="both"/>
      </w:pPr>
      <w:r>
        <w:rPr>
          <w:rFonts w:ascii="Arial" w:cs="Arial" w:eastAsia="Arial" w:hAnsi="Arial"/>
          <w:b w:val="false"/>
          <w:bCs w:val="false"/>
          <w:i w:val="false"/>
          <w:iCs w:val="false"/>
          <w:color w:val="0F172A"/>
          <w:sz w:val="22"/>
          <w:szCs w:val="22"/>
        </w:rPr>
        <w:t xml:space="preserve">fill_between() shades the area under each line. The shaded green area under the revenue line and red area under the expenditure line make the surplus zone (where green exceeds red) immediately visible. The net balance subplot uses bar colours: green if the quarterly balance is positive (revenue &gt; expenditure), red if negative. All bars are green across 12 quarters — confirming Lagos State ran a surplus in every quarter of all 3 years.</w:t>
      </w:r>
    </w:p>
    <w:p>
      <w:pPr>
        <w:spacing w:after="0" w:before="0"/>
      </w:pPr>
      <w:r>
        <w:t xml:space="preserve"/>
      </w:r>
    </w:p>
    <w:p>
      <w:pPr>
        <w:pStyle w:val="Heading3"/>
        <w:spacing w:after="80" w:before="220"/>
      </w:pPr>
      <w:r>
        <w:rPr>
          <w:rFonts w:ascii="Arial" w:cs="Arial" w:eastAsia="Arial" w:hAnsi="Arial"/>
          <w:b/>
          <w:bCs/>
          <w:color w:val="374151"/>
          <w:sz w:val="24"/>
          <w:szCs w:val="24"/>
        </w:rPr>
        <w:t xml:space="preserve">Cell 7.3 — Revenue Donut and Payment Mode Bar</w:t>
      </w:r>
    </w:p>
    <w:p>
      <w:pPr>
        <w:spacing w:after="80" w:before="60"/>
        <w:jc w:val="both"/>
      </w:pPr>
      <w:r>
        <w:rPr>
          <w:rFonts w:ascii="Arial" w:cs="Arial" w:eastAsia="Arial" w:hAnsi="Arial"/>
          <w:b w:val="false"/>
          <w:bCs w:val="false"/>
          <w:i w:val="false"/>
          <w:iCs w:val="false"/>
          <w:color w:val="0F172A"/>
          <w:sz w:val="22"/>
          <w:szCs w:val="22"/>
        </w:rPr>
        <w:t xml:space="preserve">The donut chart is a pie chart with a white circle added on top. plt.Circle((0,0), 0.55, fc="white") creates a circle centred at the origin with radius 0.55 (slightly larger than the 0.5 used to create the donut). axes[0].add_artist(centre) overlays it on the pie. The total revenue label is placed at (0, 0) — the centre of the circle. autopct="%1.1f%%" displays the percentage in each slice to one decimal place.</w:t>
      </w:r>
    </w:p>
    <w:p>
      <w:pPr>
        <w:spacing w:after="80" w:before="60"/>
        <w:jc w:val="both"/>
      </w:pPr>
      <w:r>
        <w:rPr>
          <w:rFonts w:ascii="Arial" w:cs="Arial" w:eastAsia="Arial" w:hAnsi="Arial"/>
          <w:b w:val="false"/>
          <w:bCs w:val="false"/>
          <w:i w:val="false"/>
          <w:iCs w:val="false"/>
          <w:color w:val="0F172A"/>
          <w:sz w:val="22"/>
          <w:szCs w:val="22"/>
        </w:rPr>
        <w:t xml:space="preserve">The donut reveals that 74.2% of all Lagos State revenue is FAAC — federal transfers outside the state's control. Only 21.6% is IGR — own-source revenue that Lagos actually controls. This single fact is the most strategically important finding in the project for fiscal policy: Lagos State is heavily dependent on decisions made by the Federal Government in Abuja.</w:t>
      </w:r>
    </w:p>
    <w:p>
      <w:pPr>
        <w:spacing w:after="0" w:before="0"/>
      </w:pPr>
      <w:r>
        <w:t xml:space="preserve"/>
      </w:r>
    </w:p>
    <w:p>
      <w:pPr>
        <w:pStyle w:val="Heading3"/>
        <w:spacing w:after="80" w:before="220"/>
      </w:pPr>
      <w:r>
        <w:rPr>
          <w:rFonts w:ascii="Arial" w:cs="Arial" w:eastAsia="Arial" w:hAnsi="Arial"/>
          <w:b/>
          <w:bCs/>
          <w:color w:val="374151"/>
          <w:sz w:val="24"/>
          <w:szCs w:val="24"/>
        </w:rPr>
        <w:t xml:space="preserve">Cell 7.4 — Box Plots</w:t>
      </w:r>
    </w:p>
    <w:p>
      <w:pPr>
        <w:spacing w:after="80" w:before="60"/>
        <w:jc w:val="both"/>
      </w:pPr>
      <w:r>
        <w:rPr>
          <w:rFonts w:ascii="Arial" w:cs="Arial" w:eastAsia="Arial" w:hAnsi="Arial"/>
          <w:b w:val="false"/>
          <w:bCs w:val="false"/>
          <w:i w:val="false"/>
          <w:iCs w:val="false"/>
          <w:color w:val="0F172A"/>
          <w:sz w:val="22"/>
          <w:szCs w:val="22"/>
        </w:rPr>
        <w:t xml:space="preserve">df_clean.boxplot(column=..., by=..., ax=ax, vert=False, patch_artist=True) creates one box per transaction type for the specified column. patch_artist=True is required to fill the boxes with colour — without it, boxes are drawn as outlines only.</w:t>
      </w:r>
    </w:p>
    <w:p>
      <w:pPr>
        <w:spacing w:after="80" w:before="60"/>
        <w:jc w:val="both"/>
      </w:pPr>
      <w:r>
        <w:rPr>
          <w:rFonts w:ascii="Arial" w:cs="Arial" w:eastAsia="Arial" w:hAnsi="Arial"/>
          <w:b w:val="false"/>
          <w:bCs w:val="false"/>
          <w:i w:val="false"/>
          <w:iCs w:val="false"/>
          <w:color w:val="0F172A"/>
          <w:sz w:val="22"/>
          <w:szCs w:val="22"/>
        </w:rPr>
        <w:t xml:space="preserve">A box plot shows five statistics simultaneously: the minimum (left whisker), Q1 (left box edge), median (line inside box), Q3 (right box edge), and maximum (right whisker). Dots beyond the whiskers are outliers. The medianprops argument makes the median line red and thick — ensuring it is the most visually prominent feature of each box, since the median is the most important single statistic.</w:t>
      </w:r>
    </w:p>
    <w:p>
      <w:pPr>
        <w:spacing w:after="80" w:before="60"/>
        <w:jc w:val="both"/>
      </w:pPr>
      <w:r>
        <w:rPr>
          <w:rFonts w:ascii="Arial" w:cs="Arial" w:eastAsia="Arial" w:hAnsi="Arial"/>
          <w:b w:val="false"/>
          <w:bCs w:val="false"/>
          <w:i w:val="false"/>
          <w:iCs w:val="false"/>
          <w:color w:val="0F172A"/>
          <w:sz w:val="22"/>
          <w:szCs w:val="22"/>
        </w:rPr>
        <w:t xml:space="preserve">The right box plot draws a vertical dashed line at x=0 — the budget target. Boxes to the right of this line are systematically overspending; boxes to the left are systematically underspending. Boxes that straddle the line have mixed over/underspend within that type. Wide boxes indicate unpredictable budget performance; narrow boxes indicate consistency.</w:t>
      </w:r>
    </w:p>
    <w:p>
      <w:pPr>
        <w:spacing w:after="0" w:before="0"/>
      </w:pPr>
      <w:r>
        <w:t xml:space="preserve"/>
      </w:r>
    </w:p>
    <w:p>
      <w:pPr>
        <w:pStyle w:val="Heading2"/>
        <w:spacing w:after="120" w:before="300"/>
      </w:pPr>
      <w:r>
        <w:rPr>
          <w:rFonts w:ascii="Arial" w:cs="Arial" w:eastAsia="Arial" w:hAnsi="Arial"/>
          <w:b/>
          <w:bCs/>
          <w:color w:val="1D4ED8"/>
          <w:sz w:val="28"/>
          <w:szCs w:val="28"/>
        </w:rPr>
        <w:t xml:space="preserve">Section 8 — Financial KPIs</w:t>
      </w:r>
    </w:p>
    <w:p>
      <w:pPr>
        <w:pStyle w:val="Heading3"/>
        <w:spacing w:after="80" w:before="220"/>
      </w:pPr>
      <w:r>
        <w:rPr>
          <w:rFonts w:ascii="Arial" w:cs="Arial" w:eastAsia="Arial" w:hAnsi="Arial"/>
          <w:b/>
          <w:bCs/>
          <w:color w:val="374151"/>
          <w:sz w:val="24"/>
          <w:szCs w:val="24"/>
        </w:rPr>
        <w:t xml:space="preserve">Cell 8.1 — Government KPI Dashboard</w:t>
      </w:r>
    </w:p>
    <w:p>
      <w:pPr>
        <w:spacing w:after="80" w:before="60"/>
        <w:jc w:val="both"/>
      </w:pPr>
      <w:r>
        <w:rPr>
          <w:rFonts w:ascii="Arial" w:cs="Arial" w:eastAsia="Arial" w:hAnsi="Arial"/>
          <w:b w:val="false"/>
          <w:bCs w:val="false"/>
          <w:i w:val="false"/>
          <w:iCs w:val="false"/>
          <w:color w:val="0F172A"/>
          <w:sz w:val="22"/>
          <w:szCs w:val="22"/>
        </w:rPr>
        <w:t xml:space="preserve">This cell computes 16 governance metrics using simple pandas operations and prints them in a formatted report. The formatting uses Python f-strings with alignment and number formatting codes: f"NGN{total_budget:&gt;20,.0f}" means right-align in 20 characters (:&gt;20), add comma separators (,), and show no decimal places (.0f).</w:t>
      </w:r>
    </w:p>
    <w:p>
      <w:pPr>
        <w:spacing w:after="80" w:before="60"/>
        <w:jc w:val="both"/>
      </w:pPr>
      <w:r>
        <w:rPr>
          <w:rFonts w:ascii="Arial" w:cs="Arial" w:eastAsia="Arial" w:hAnsi="Arial"/>
          <w:b w:val="false"/>
          <w:bCs w:val="false"/>
          <w:i w:val="false"/>
          <w:iCs w:val="false"/>
          <w:color w:val="0F172A"/>
          <w:sz w:val="22"/>
          <w:szCs w:val="22"/>
        </w:rPr>
        <w:t xml:space="preserve">The IGR dependency ratio is igr_total / total_revenue * 100. The FAAC dependency ratio is faac_total / total_revenue * 100. These two ratios sum to 95.8% — FAAC (74.2%) plus IGR (21.6%) together account for nearly all Lagos revenue. The remaining 4.2% is VAT refunds.</w:t>
      </w:r>
    </w:p>
    <w:p>
      <w:pPr>
        <w:spacing w:after="80" w:before="60"/>
        <w:jc w:val="both"/>
      </w:pPr>
      <w:r>
        <w:rPr>
          <w:rFonts w:ascii="Arial" w:cs="Arial" w:eastAsia="Arial" w:hAnsi="Arial"/>
          <w:b w:val="false"/>
          <w:bCs w:val="false"/>
          <w:i w:val="false"/>
          <w:iCs w:val="false"/>
          <w:color w:val="0F172A"/>
          <w:sz w:val="22"/>
          <w:szCs w:val="22"/>
        </w:rPr>
        <w:t xml:space="preserve">The revenue:expenditure ratio of 2.92 is the single most reassuring number in the entire project — Lagos State generates NGN 2.92 in revenue for every NGN 1.00 it spends. This confirms fiscal sustainability. But the 51.5% overrun rate confirms that individual budget discipline within that healthy overall position is deeply problematic.</w:t>
      </w:r>
    </w:p>
    <w:p>
      <w:pPr>
        <w:spacing w:after="0" w:before="0"/>
      </w:pPr>
      <w:r>
        <w:t xml:space="preserve"/>
      </w:r>
    </w:p>
    <w:p>
      <w:pPr>
        <w:pStyle w:val="Heading3"/>
        <w:spacing w:after="80" w:before="220"/>
      </w:pPr>
      <w:r>
        <w:rPr>
          <w:rFonts w:ascii="Arial" w:cs="Arial" w:eastAsia="Arial" w:hAnsi="Arial"/>
          <w:b/>
          <w:bCs/>
          <w:color w:val="374151"/>
          <w:sz w:val="24"/>
          <w:szCs w:val="24"/>
        </w:rPr>
        <w:t xml:space="preserve">Cell 8.2 — MDA Performance Panels</w:t>
      </w:r>
    </w:p>
    <w:p>
      <w:pPr>
        <w:spacing w:after="80" w:before="60"/>
        <w:jc w:val="both"/>
      </w:pPr>
      <w:r>
        <w:rPr>
          <w:rFonts w:ascii="Arial" w:cs="Arial" w:eastAsia="Arial" w:hAnsi="Arial"/>
          <w:b w:val="false"/>
          <w:bCs w:val="false"/>
          <w:i w:val="false"/>
          <w:iCs w:val="false"/>
          <w:color w:val="0F172A"/>
          <w:sz w:val="22"/>
          <w:szCs w:val="22"/>
        </w:rPr>
        <w:t xml:space="preserve">Four bar charts in a 2x2 grid provide a complete MDA performance scorecard. The top-left shows the 10 highest-spending MDAs. The top-right shows the 10 MDAs with the highest overrun rates, coloured red if above 55% and amber otherwise. The bottom-left shows all 20 MDAs ranked by average budget utilisation rate. The bottom-right shows the 10 MDAs with the most combined audit issues (flagged plus queried).</w:t>
      </w:r>
    </w:p>
    <w:p>
      <w:pPr>
        <w:spacing w:after="80" w:before="60"/>
        <w:jc w:val="both"/>
      </w:pPr>
      <w:r>
        <w:rPr>
          <w:rFonts w:ascii="Arial" w:cs="Arial" w:eastAsia="Arial" w:hAnsi="Arial"/>
          <w:b w:val="false"/>
          <w:bCs w:val="false"/>
          <w:i w:val="false"/>
          <w:iCs w:val="false"/>
          <w:color w:val="0F172A"/>
          <w:sz w:val="22"/>
          <w:szCs w:val="22"/>
        </w:rPr>
        <w:t xml:space="preserve">df_clean[df_clean["audit_status"].isin(["Flagged For Review", "Queried"])] filters to only the two problematic audit statuses. .isin() is cleaner than writing two separate boolean conditions with | (OR): df_clean[(df_clean["audit_status"] == "Flagged For Review") | (df_clean["audit_status"] == "Queried")]. The result is identical but .isin() scales better to 3, 5, or 10 values.</w:t>
      </w:r>
    </w:p>
    <w:p>
      <w:pPr>
        <w:spacing w:after="0" w:before="0"/>
      </w:pPr>
      <w:r>
        <w:t xml:space="preserve"/>
      </w:r>
    </w:p>
    <w:p>
      <w:pPr>
        <w:pStyle w:val="Heading2"/>
        <w:spacing w:after="120" w:before="300"/>
      </w:pPr>
      <w:r>
        <w:rPr>
          <w:rFonts w:ascii="Arial" w:cs="Arial" w:eastAsia="Arial" w:hAnsi="Arial"/>
          <w:b/>
          <w:bCs/>
          <w:color w:val="1D4ED8"/>
          <w:sz w:val="28"/>
          <w:szCs w:val="28"/>
        </w:rPr>
        <w:t xml:space="preserve">Section 9 — Capstone Dashboard and Recommendations</w:t>
      </w:r>
    </w:p>
    <w:p>
      <w:pPr>
        <w:pStyle w:val="Heading3"/>
        <w:spacing w:after="80" w:before="220"/>
      </w:pPr>
      <w:r>
        <w:rPr>
          <w:rFonts w:ascii="Arial" w:cs="Arial" w:eastAsia="Arial" w:hAnsi="Arial"/>
          <w:b/>
          <w:bCs/>
          <w:color w:val="374151"/>
          <w:sz w:val="24"/>
          <w:szCs w:val="24"/>
        </w:rPr>
        <w:t xml:space="preserve">Cell 9.1 — Nine-Panel Intelligence Dashboard</w:t>
      </w:r>
    </w:p>
    <w:p>
      <w:pPr>
        <w:spacing w:after="80" w:before="60"/>
        <w:jc w:val="both"/>
      </w:pPr>
      <w:r>
        <w:rPr>
          <w:rFonts w:ascii="Arial" w:cs="Arial" w:eastAsia="Arial" w:hAnsi="Arial"/>
          <w:b w:val="false"/>
          <w:bCs w:val="false"/>
          <w:i w:val="false"/>
          <w:iCs w:val="false"/>
          <w:color w:val="0F172A"/>
          <w:sz w:val="22"/>
          <w:szCs w:val="22"/>
        </w:rPr>
        <w:t xml:space="preserve">fig = plt.figure(figsize=(20, 16)) creates a single large figure. Instead of using plt.subplots() (which automatically arranges subplots in a grid), this cell uses fig.add_subplot(3, 3, n) to manually add each of the 9 subplots in a 3x3 grid. The number n goes from 1 (top-left) to 9 (bottom-right).</w:t>
      </w:r>
    </w:p>
    <w:p>
      <w:pPr>
        <w:spacing w:after="80" w:before="60"/>
        <w:jc w:val="both"/>
      </w:pPr>
      <w:r>
        <w:rPr>
          <w:rFonts w:ascii="Arial" w:cs="Arial" w:eastAsia="Arial" w:hAnsi="Arial"/>
          <w:b w:val="false"/>
          <w:bCs w:val="false"/>
          <w:i w:val="false"/>
          <w:iCs w:val="false"/>
          <w:color w:val="0F172A"/>
          <w:sz w:val="22"/>
          <w:szCs w:val="22"/>
        </w:rPr>
        <w:t xml:space="preserve">Panel 3 (monthly transaction volume) uses monthly = df_clean.groupby("month_num")["transaction_id"].count() — counting transactions per month using the month_num column created in Section 2. fill_between below the line adds a shaded area that makes the volume trend more visually prominent.</w:t>
      </w:r>
    </w:p>
    <w:p>
      <w:pPr>
        <w:spacing w:after="80" w:before="60"/>
        <w:jc w:val="both"/>
      </w:pPr>
      <w:r>
        <w:rPr>
          <w:rFonts w:ascii="Arial" w:cs="Arial" w:eastAsia="Arial" w:hAnsi="Arial"/>
          <w:b w:val="false"/>
          <w:bCs w:val="false"/>
          <w:i w:val="false"/>
          <w:iCs w:val="false"/>
          <w:color w:val="0F172A"/>
          <w:sz w:val="22"/>
          <w:szCs w:val="22"/>
        </w:rPr>
        <w:t xml:space="preserve">Panel 8 (utilisation rate by classification) uses a loop to plot two overlapping histograms: for cls, col in [("Revenue", SAFE_GREEN), ("Expenditure", NAIRA_BLUE)]. Each iteration filters to that classification and plots its utilisation distribution with alpha=0.7 (70% opacity) so both are visible where they overlap.</w:t>
      </w:r>
    </w:p>
    <w:p>
      <w:pPr>
        <w:spacing w:after="80" w:before="60"/>
        <w:jc w:val="both"/>
      </w:pPr>
      <w:r>
        <w:rPr>
          <w:rFonts w:ascii="Arial" w:cs="Arial" w:eastAsia="Arial" w:hAnsi="Arial"/>
          <w:b w:val="false"/>
          <w:bCs w:val="false"/>
          <w:i w:val="false"/>
          <w:iCs w:val="false"/>
          <w:color w:val="0F172A"/>
          <w:sz w:val="22"/>
          <w:szCs w:val="22"/>
        </w:rPr>
        <w:t xml:space="preserve">Panel 9 (IGR vs FAAC trend) plots two lines. Each is computed by filtering to the relevant transaction type, grouping by fiscal_year, and summing actual amounts. annotate() adds data labels at each IGR data point, positioned 8 points above the marker using xytext=(0, 8).</w:t>
      </w:r>
    </w:p>
    <w:p>
      <w:pPr>
        <w:spacing w:after="0" w:before="0"/>
      </w:pPr>
      <w:r>
        <w:t xml:space="preserve"/>
      </w:r>
    </w:p>
    <w:p>
      <w:pPr>
        <w:pStyle w:val="Heading3"/>
        <w:spacing w:after="80" w:before="220"/>
      </w:pPr>
      <w:r>
        <w:rPr>
          <w:rFonts w:ascii="Arial" w:cs="Arial" w:eastAsia="Arial" w:hAnsi="Arial"/>
          <w:b/>
          <w:bCs/>
          <w:color w:val="374151"/>
          <w:sz w:val="24"/>
          <w:szCs w:val="24"/>
        </w:rPr>
        <w:t xml:space="preserve">Cell 9.2 — Policy Recommendations</w:t>
      </w:r>
    </w:p>
    <w:p>
      <w:pPr>
        <w:spacing w:after="80" w:before="60"/>
        <w:jc w:val="both"/>
      </w:pPr>
      <w:r>
        <w:rPr>
          <w:rFonts w:ascii="Arial" w:cs="Arial" w:eastAsia="Arial" w:hAnsi="Arial"/>
          <w:b w:val="false"/>
          <w:bCs w:val="false"/>
          <w:i w:val="false"/>
          <w:iCs w:val="false"/>
          <w:color w:val="0F172A"/>
          <w:sz w:val="22"/>
          <w:szCs w:val="22"/>
        </w:rPr>
        <w:t xml:space="preserve">The final cell computes the specific numbers cited in each recommendation and prints a structured policy report. igr_2021 and igr_2023 filter the dataset to IGR transactions in those years and sum actual_amount. The growth calculation (igr_2023 minus igr_2021) / igr_2021 x 100 produces the -10.6% decline figure.</w:t>
      </w:r>
    </w:p>
    <w:p>
      <w:pPr>
        <w:spacing w:after="80" w:before="60"/>
        <w:jc w:val="both"/>
      </w:pPr>
      <w:r>
        <w:rPr>
          <w:rFonts w:ascii="Arial" w:cs="Arial" w:eastAsia="Arial" w:hAnsi="Arial"/>
          <w:b w:val="false"/>
          <w:bCs w:val="false"/>
          <w:i w:val="false"/>
          <w:iCs w:val="false"/>
          <w:color w:val="0F172A"/>
          <w:sz w:val="22"/>
          <w:szCs w:val="22"/>
        </w:rPr>
        <w:t xml:space="preserve">df_clean.groupby("mda_name")["utilisation_rate_pct"].mean().idxmax() uses idxmax() — which returns the GROUP LABEL (MDA name) with the highest value — to find the best-performing MDA on utilisation. mda_performance["overrun_rate_pct"].idxmax() finds the MDA with the highest overrun rate from the table built in Section 4.</w:t>
      </w:r>
    </w:p>
    <w:p>
      <w:pPr>
        <w:spacing w:after="80" w:before="60"/>
        <w:jc w:val="both"/>
      </w:pPr>
      <w:r>
        <w:rPr>
          <w:rFonts w:ascii="Arial" w:cs="Arial" w:eastAsia="Arial" w:hAnsi="Arial"/>
          <w:b w:val="false"/>
          <w:bCs w:val="false"/>
          <w:i w:val="false"/>
          <w:iCs w:val="false"/>
          <w:color w:val="0F172A"/>
          <w:sz w:val="22"/>
          <w:szCs w:val="22"/>
        </w:rPr>
        <w:t xml:space="preserve">The five recommendations are data-grounded: every percentage, every naira amount, and every ranking in the recommendations can be traced back to a specific computation in the notebook. This is the gold standard of evidence-based government policy analysis.</w:t>
      </w:r>
    </w:p>
    <w:p>
      <w:r>
        <w:br w:type="page"/>
      </w:r>
    </w:p>
    <w:p>
      <w:pPr>
        <w:pStyle w:val="Heading1"/>
        <w:spacing w:after="160" w:before="400"/>
      </w:pPr>
      <w:r>
        <w:rPr>
          <w:rFonts w:ascii="Arial" w:cs="Arial" w:eastAsia="Arial" w:hAnsi="Arial"/>
          <w:b/>
          <w:bCs/>
          <w:color w:val="1E3A5F"/>
          <w:sz w:val="36"/>
          <w:szCs w:val="36"/>
        </w:rPr>
        <w:t xml:space="preserve">PART 3 — OUTPUT EXPLANATION AND INTERPRETATION</w:t>
      </w:r>
    </w:p>
    <w:p>
      <w:pPr>
        <w:spacing w:after="80" w:before="60"/>
        <w:jc w:val="both"/>
      </w:pPr>
      <w:r>
        <w:rPr>
          <w:rFonts w:ascii="Arial" w:cs="Arial" w:eastAsia="Arial" w:hAnsi="Arial"/>
          <w:b w:val="false"/>
          <w:bCs w:val="false"/>
          <w:i w:val="false"/>
          <w:iCs w:val="false"/>
          <w:color w:val="0F172A"/>
          <w:sz w:val="22"/>
          <w:szCs w:val="22"/>
        </w:rPr>
        <w:t xml:space="preserve">This part explains every output produced by the notebook — what the numbers mean, why they matter for Lagos State government finance, and what action they suggest. Outputs are addressed in the order they appear in the notebook.</w:t>
      </w:r>
    </w:p>
    <w:p>
      <w:pPr>
        <w:spacing w:after="0" w:before="0"/>
      </w:pPr>
      <w:r>
        <w:t xml:space="preserve"/>
      </w:r>
    </w:p>
    <w:p>
      <w:pPr>
        <w:pStyle w:val="Heading2"/>
        <w:spacing w:after="120" w:before="300"/>
      </w:pPr>
      <w:r>
        <w:rPr>
          <w:rFonts w:ascii="Arial" w:cs="Arial" w:eastAsia="Arial" w:hAnsi="Arial"/>
          <w:b/>
          <w:bCs/>
          <w:color w:val="1D4ED8"/>
          <w:sz w:val="28"/>
          <w:szCs w:val="28"/>
        </w:rPr>
        <w:t xml:space="preserve">3.1 Section 0 Outputs — Dataset Structure</w:t>
      </w:r>
    </w:p>
    <w:p>
      <w:pPr>
        <w:pStyle w:val="Heading3"/>
        <w:spacing w:after="80" w:before="220"/>
      </w:pPr>
      <w:r>
        <w:rPr>
          <w:rFonts w:ascii="Arial" w:cs="Arial" w:eastAsia="Arial" w:hAnsi="Arial"/>
          <w:b/>
          <w:bCs/>
          <w:color w:val="374151"/>
          <w:sz w:val="24"/>
          <w:szCs w:val="24"/>
        </w:rPr>
        <w:t xml:space="preserve">Shape Output: 1,451 rows, 22 columns, 1,290.2 KB</w:t>
      </w:r>
    </w:p>
    <w:p>
      <w:pPr>
        <w:spacing w:after="80" w:before="60"/>
        <w:jc w:val="both"/>
      </w:pPr>
      <w:r>
        <w:rPr>
          <w:rFonts w:ascii="Arial" w:cs="Arial" w:eastAsia="Arial" w:hAnsi="Arial"/>
          <w:b w:val="false"/>
          <w:bCs w:val="false"/>
          <w:i w:val="false"/>
          <w:iCs w:val="false"/>
          <w:color w:val="0F172A"/>
          <w:sz w:val="22"/>
          <w:szCs w:val="22"/>
        </w:rPr>
        <w:t xml:space="preserve">1,451 transactions across 3 fiscal years represents approximately 484 financial events per year across 20 MDAs — a realistic compressed representation of government financial activity. A real Lagos State government system would contain tens of thousands of transactions annually, but the analytical patterns and insights this dataset produces are representative of what full-scale analysis would reveal.</w:t>
      </w:r>
    </w:p>
    <w:p>
      <w:pPr>
        <w:spacing w:after="80" w:before="60"/>
        <w:jc w:val="both"/>
      </w:pPr>
      <w:r>
        <w:rPr>
          <w:rFonts w:ascii="Arial" w:cs="Arial" w:eastAsia="Arial" w:hAnsi="Arial"/>
          <w:b w:val="false"/>
          <w:bCs w:val="false"/>
          <w:i w:val="false"/>
          <w:iCs w:val="false"/>
          <w:color w:val="0F172A"/>
          <w:sz w:val="22"/>
          <w:szCs w:val="22"/>
        </w:rPr>
        <w:t xml:space="preserve">22 columns capture the complete financial lifecycle of each transaction: the identifier (who, when, where), the financial amounts (budget vs actual), the process (how it was approved, how it was paid), and the outcome (audit status, compliance classification). No single attribute is missing from this record — it is a complete financial profile of each event.</w:t>
      </w:r>
    </w:p>
    <w:p>
      <w:pPr>
        <w:spacing w:after="80" w:before="60"/>
        <w:jc w:val="both"/>
      </w:pPr>
      <w:r>
        <w:rPr>
          <w:rFonts w:ascii="Arial" w:cs="Arial" w:eastAsia="Arial" w:hAnsi="Arial"/>
          <w:b w:val="false"/>
          <w:bCs w:val="false"/>
          <w:i w:val="false"/>
          <w:iCs w:val="false"/>
          <w:color w:val="0F172A"/>
          <w:sz w:val="22"/>
          <w:szCs w:val="22"/>
        </w:rPr>
        <w:t xml:space="preserve">1,290.2 KB in RAM is negligible — the dataset can be processed on any laptop. This also means no sampling strategy is needed: all 1,451 rows are analysed in full.</w:t>
      </w:r>
    </w:p>
    <w:p>
      <w:pPr>
        <w:spacing w:after="0" w:before="0"/>
      </w:pPr>
      <w:r>
        <w:t xml:space="preserve"/>
      </w:r>
    </w:p>
    <w:p>
      <w:pPr>
        <w:pStyle w:val="Heading3"/>
        <w:spacing w:after="80" w:before="220"/>
      </w:pPr>
      <w:r>
        <w:rPr>
          <w:rFonts w:ascii="Arial" w:cs="Arial" w:eastAsia="Arial" w:hAnsi="Arial"/>
          <w:b/>
          <w:bCs/>
          <w:color w:val="374151"/>
          <w:sz w:val="24"/>
          <w:szCs w:val="24"/>
        </w:rPr>
        <w:t xml:space="preserve">Data Types Output: str, float64, int64</w:t>
      </w:r>
    </w:p>
    <w:p>
      <w:pPr>
        <w:spacing w:after="80" w:before="60"/>
        <w:jc w:val="both"/>
      </w:pPr>
      <w:r>
        <w:rPr>
          <w:rFonts w:ascii="Arial" w:cs="Arial" w:eastAsia="Arial" w:hAnsi="Arial"/>
          <w:b w:val="false"/>
          <w:bCs w:val="false"/>
          <w:i w:val="false"/>
          <w:iCs w:val="false"/>
          <w:color w:val="0F172A"/>
          <w:sz w:val="22"/>
          <w:szCs w:val="22"/>
        </w:rPr>
        <w:t xml:space="preserve">14 str columns, 6 float64 columns, 2 int64 columns. The critical finding here is that transaction_date is str — not datetime64. In a correctly structured financial database, dates would be stored as proper date objects. The fact that they are stored as strings is a deliberate educational design choice to demonstrate the need for pd.to_datetime() conversion — a task every real-world data analyst faces constantly when working with financial data extracted from legacy systems.</w:t>
      </w:r>
    </w:p>
    <w:p>
      <w:pPr>
        <w:spacing w:after="80" w:before="60"/>
        <w:jc w:val="both"/>
      </w:pPr>
      <w:r>
        <w:rPr>
          <w:rFonts w:ascii="Arial" w:cs="Arial" w:eastAsia="Arial" w:hAnsi="Arial"/>
          <w:b w:val="false"/>
          <w:bCs w:val="false"/>
          <w:i w:val="false"/>
          <w:iCs w:val="false"/>
          <w:color w:val="0F172A"/>
          <w:sz w:val="22"/>
          <w:szCs w:val="22"/>
        </w:rPr>
        <w:t xml:space="preserve">The float64 type for processing_days (instead of int64) is the first indirect signal that missing values exist. In pandas, a column of integers that contains any NaN values is automatically cast to float64 because NaN is a floating-point concept. Seeing float64 where you expect int64 should always prompt a missing value check.</w:t>
      </w:r>
    </w:p>
    <w:p>
      <w:pPr>
        <w:spacing w:after="0" w:before="0"/>
      </w:pPr>
      <w:r>
        <w:t xml:space="preserve"/>
      </w:r>
    </w:p>
    <w:p>
      <w:pPr>
        <w:pStyle w:val="Heading3"/>
        <w:spacing w:after="80" w:before="220"/>
      </w:pPr>
      <w:r>
        <w:rPr>
          <w:rFonts w:ascii="Arial" w:cs="Arial" w:eastAsia="Arial" w:hAnsi="Arial"/>
          <w:b/>
          <w:bCs/>
          <w:color w:val="374151"/>
          <w:sz w:val="24"/>
          <w:szCs w:val="24"/>
        </w:rPr>
        <w:t xml:space="preserve">describe() Output — The Five-Minute Financial Briefing</w:t>
      </w:r>
    </w:p>
    <w:p>
      <w:pPr>
        <w:spacing w:after="80" w:before="60"/>
        <w:jc w:val="both"/>
      </w:pPr>
      <w:r>
        <w:rPr>
          <w:rFonts w:ascii="Arial" w:cs="Arial" w:eastAsia="Arial" w:hAnsi="Arial"/>
          <w:b w:val="false"/>
          <w:bCs w:val="false"/>
          <w:i w:val="false"/>
          <w:iCs w:val="false"/>
          <w:color w:val="0F172A"/>
          <w:sz w:val="22"/>
          <w:szCs w:val="22"/>
        </w:rPr>
        <w:t xml:space="preserve">The describe() table condenses the financial picture of 1,451 transactions into 8 rows. Reading it correctly reveals the entire financial narrative: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360"/>
      </w:tblGrid>
      <w:tr>
        <w:trPr>
          <w:tblHeader/>
        </w:trPr>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Statistic</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actual_amount Value</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It Tells the Finance Officer</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count</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1,451</w:t>
            </w:r>
          </w:p>
        </w:tc>
        <w:tc>
          <w:tcPr>
            <w:tcW w:type="dxa" w:w="6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All transactions loaded. No silent data loss.</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mean</w:t>
            </w:r>
          </w:p>
        </w:tc>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NGN 190.4 million</w:t>
            </w:r>
          </w:p>
        </w:tc>
        <w:tc>
          <w:tcPr>
            <w:tcW w:type="dxa" w:w="6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The arithmetic average — but MISLEADING due to FAAC mega-transfers. Do not use as "typical" without qualification.</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std</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NGN 372.3 million</w:t>
            </w:r>
          </w:p>
        </w:tc>
        <w:tc>
          <w:tcPr>
            <w:tcW w:type="dxa" w:w="6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Standard deviation LARGER than mean — this extreme variability (CV = 195%) is the signature of a dataset containing both NGN 10,000 petty cash and NGN 2.5B FAAC transfers.</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min</w:t>
            </w:r>
          </w:p>
        </w:tc>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NGN 10,000</w:t>
            </w:r>
          </w:p>
        </w:tc>
        <w:tc>
          <w:tcPr>
            <w:tcW w:type="dxa" w:w="6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Smallest transaction in the dataset. Likely a micro grant, petty cash disbursement, or test payment.</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25% (Q1)</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NGN 10.7 million</w:t>
            </w:r>
          </w:p>
        </w:tc>
        <w:tc>
          <w:tcPr>
            <w:tcW w:type="dxa" w:w="6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25% of all government transactions are below NGN 10.7 million — Director-level approvals handle a quarter of all financial events.</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50% (median)</w:t>
            </w:r>
          </w:p>
        </w:tc>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NGN 42.3 million</w:t>
            </w:r>
          </w:p>
        </w:tc>
        <w:tc>
          <w:tcPr>
            <w:tcW w:type="dxa" w:w="6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THE CORRECT "TYPICAL" TRANSACTION VALUE. Present this to management, not the mean. Half of all Lagos government transactions are below NGN 42.3 million.</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75% (Q3)</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NGN 161.7 million</w:t>
            </w:r>
          </w:p>
        </w:tc>
        <w:tc>
          <w:tcPr>
            <w:tcW w:type="dxa" w:w="6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The top 25% begins here — major contracts, capital releases, subventions.</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max</w:t>
            </w:r>
          </w:p>
        </w:tc>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NGN 2,513,248,700</w:t>
            </w:r>
          </w:p>
        </w:tc>
        <w:tc>
          <w:tcPr>
            <w:tcW w:type="dxa" w:w="6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 single FAAC transfer in 2023 exceeds NGN 2.5 billion — 59 times larger than the median transaction.</w:t>
            </w:r>
          </w:p>
        </w:tc>
      </w:tr>
    </w:tbl>
    <w:p>
      <w:pPr>
        <w:spacing w:after="0" w:before="0"/>
      </w:pPr>
      <w:r>
        <w:t xml:space="preserve"/>
      </w:r>
    </w:p>
    <w:p>
      <w:pPr>
        <w:pStyle w:val="Heading2"/>
        <w:spacing w:after="120" w:before="300"/>
      </w:pPr>
      <w:r>
        <w:rPr>
          <w:rFonts w:ascii="Arial" w:cs="Arial" w:eastAsia="Arial" w:hAnsi="Arial"/>
          <w:b/>
          <w:bCs/>
          <w:color w:val="1D4ED8"/>
          <w:sz w:val="28"/>
          <w:szCs w:val="28"/>
        </w:rPr>
        <w:t xml:space="preserve">3.2 Section 1 Outputs — Missing Value Analysis</w:t>
      </w:r>
    </w:p>
    <w:p>
      <w:pPr>
        <w:spacing w:after="80" w:before="60"/>
        <w:jc w:val="both"/>
      </w:pPr>
      <w:r>
        <w:rPr>
          <w:rFonts w:ascii="Arial" w:cs="Arial" w:eastAsia="Arial" w:hAnsi="Arial"/>
          <w:b w:val="false"/>
          <w:bCs w:val="false"/>
          <w:i w:val="false"/>
          <w:iCs w:val="false"/>
          <w:color w:val="0F172A"/>
          <w:sz w:val="22"/>
          <w:szCs w:val="22"/>
        </w:rPr>
        <w:t xml:space="preserve">The missing value audit confirms a well-maintained financial system. 178 missing values out of 31,922 total cells = 0.55% missing — far below the 5% threshold typically considered concerning in financial datasets.</w:t>
      </w:r>
    </w:p>
    <w:p>
      <w:pPr>
        <w:spacing w:after="80" w:before="60"/>
        <w:jc w:val="both"/>
      </w:pPr>
      <w:r>
        <w:rPr>
          <w:rFonts w:ascii="Arial" w:cs="Arial" w:eastAsia="Arial" w:hAnsi="Arial"/>
          <w:b w:val="false"/>
          <w:bCs w:val="false"/>
          <w:i w:val="false"/>
          <w:iCs w:val="false"/>
          <w:color w:val="0F172A"/>
          <w:sz w:val="22"/>
          <w:szCs w:val="22"/>
        </w:rPr>
        <w:t xml:space="preserve">The heatmap's random scatter pattern is the most important output from this section. In government financial analysis, a clustered pattern of missing values (all missing in the same month or from the same MDA) would indicate a systemic failure — a data feed that stopped, a system that went offline, or a department that stopped reporting. Random scatter confirms this is routine operational incompleteness — normal and safe to impute.</w:t>
      </w:r>
    </w:p>
    <w:p>
      <w:pPr>
        <w:spacing w:after="80" w:before="60"/>
        <w:jc w:val="both"/>
      </w:pPr>
      <w:r>
        <w:rPr>
          <w:rFonts w:ascii="Arial" w:cs="Arial" w:eastAsia="Arial" w:hAnsi="Arial"/>
          <w:b w:val="false"/>
          <w:bCs w:val="false"/>
          <w:i w:val="false"/>
          <w:iCs w:val="false"/>
          <w:color w:val="0F172A"/>
          <w:sz w:val="22"/>
          <w:szCs w:val="22"/>
        </w:rPr>
        <w:t xml:space="preserve">After imputation, zero missing values with all 1,451 rows retained: the dataset retains 171 more transactions than dropna() would have allowed. These 171 transactions include 15 Capital Expenditure projects and 12 Contract Payments that would have been silently excluded — distorting the MDA performance analysis if dropped.</w:t>
      </w:r>
    </w:p>
    <w:p>
      <w:pPr>
        <w:spacing w:after="0" w:before="0"/>
      </w:pPr>
      <w:r>
        <w:t xml:space="preserve"/>
      </w:r>
    </w:p>
    <w:p>
      <w:pPr>
        <w:pStyle w:val="Heading2"/>
        <w:spacing w:after="120" w:before="300"/>
      </w:pPr>
      <w:r>
        <w:rPr>
          <w:rFonts w:ascii="Arial" w:cs="Arial" w:eastAsia="Arial" w:hAnsi="Arial"/>
          <w:b/>
          <w:bCs/>
          <w:color w:val="1D4ED8"/>
          <w:sz w:val="28"/>
          <w:szCs w:val="28"/>
        </w:rPr>
        <w:t xml:space="preserve">3.3 Section 2 Outputs — Cleaning Results</w:t>
      </w:r>
    </w:p>
    <w:p>
      <w:pPr>
        <w:pStyle w:val="Heading3"/>
        <w:spacing w:after="80" w:before="220"/>
      </w:pPr>
      <w:r>
        <w:rPr>
          <w:rFonts w:ascii="Arial" w:cs="Arial" w:eastAsia="Arial" w:hAnsi="Arial"/>
          <w:b/>
          <w:bCs/>
          <w:color w:val="374151"/>
          <w:sz w:val="24"/>
          <w:szCs w:val="24"/>
        </w:rPr>
        <w:t xml:space="preserve">Date Conversion Result</w:t>
      </w:r>
    </w:p>
    <w:p>
      <w:pPr>
        <w:spacing w:after="80" w:before="60"/>
        <w:jc w:val="both"/>
      </w:pPr>
      <w:r>
        <w:rPr>
          <w:rFonts w:ascii="Arial" w:cs="Arial" w:eastAsia="Arial" w:hAnsi="Arial"/>
          <w:b w:val="false"/>
          <w:bCs w:val="false"/>
          <w:i w:val="false"/>
          <w:iCs w:val="false"/>
          <w:color w:val="0F172A"/>
          <w:sz w:val="22"/>
          <w:szCs w:val="22"/>
        </w:rPr>
        <w:t xml:space="preserve">Range 2021-01-01 to 2023-12-28 confirms the full 3-year coverage with no temporal gaps. All 12 months present in month_num confirms there are no missing months — data collection was continuous throughout the period. 262 year-end transactions (November-December) vs 1,189 in other months confirms the fiscal year-end spending acceleration — MDAs average 131 transactions per month in November-December vs 99 per month in other months.</w:t>
      </w:r>
    </w:p>
    <w:p>
      <w:pPr>
        <w:spacing w:after="0" w:before="0"/>
      </w:pPr>
      <w:r>
        <w:t xml:space="preserve"/>
      </w:r>
    </w:p>
    <w:p>
      <w:pPr>
        <w:pStyle w:val="Heading3"/>
        <w:spacing w:after="80" w:before="220"/>
      </w:pPr>
      <w:r>
        <w:rPr>
          <w:rFonts w:ascii="Arial" w:cs="Arial" w:eastAsia="Arial" w:hAnsi="Arial"/>
          <w:b/>
          <w:bCs/>
          <w:color w:val="374151"/>
          <w:sz w:val="24"/>
          <w:szCs w:val="24"/>
        </w:rPr>
        <w:t xml:space="preserve">Performance Classification Distribution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636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Classification</w:t>
            </w:r>
          </w:p>
        </w:tc>
        <w:tc>
          <w:tcPr>
            <w:tcW w:type="dxa" w:w="7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Count</w:t>
            </w:r>
          </w:p>
        </w:tc>
        <w:tc>
          <w:tcPr>
            <w:tcW w:type="dxa" w:w="7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Share</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This Means for Lagos State Governance</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Compliant</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550</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37.9%</w:t>
            </w:r>
          </w:p>
        </w:tc>
        <w:tc>
          <w:tcPr>
            <w:tcW w:type="dxa" w:w="6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Only 37.9% of transactions fully meet all financial governance standards. This is the proportion performing as the budget intended.</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Moderate Overrun</w:t>
            </w:r>
          </w:p>
        </w:tc>
        <w:tc>
          <w:tcPr>
            <w:tcW w:type="dxa" w:w="7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424</w:t>
            </w:r>
          </w:p>
        </w:tc>
        <w:tc>
          <w:tcPr>
            <w:tcW w:type="dxa" w:w="7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29.2%</w:t>
            </w:r>
          </w:p>
        </w:tc>
        <w:tc>
          <w:tcPr>
            <w:tcW w:type="dxa" w:w="6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The largest non-compliant category. Over-budget but within 20% — technically irregular but very common. These MDAs are spending more than approved but within a range that rarely triggers formal consequences.</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High Overrun</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193</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13.3%</w:t>
            </w:r>
          </w:p>
        </w:tc>
        <w:tc>
          <w:tcPr>
            <w:tcW w:type="dxa" w:w="6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Over budget by more than 20%. These 193 transactions collectively account for NGN 18 billion in excess spending. Each likely requires formal supplementary appropriation from the Lagos State House of Assembly.</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Under Review</w:t>
            </w:r>
          </w:p>
        </w:tc>
        <w:tc>
          <w:tcPr>
            <w:tcW w:type="dxa" w:w="7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173</w:t>
            </w:r>
          </w:p>
        </w:tc>
        <w:tc>
          <w:tcPr>
            <w:tcW w:type="dxa" w:w="7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11.9%</w:t>
            </w:r>
          </w:p>
        </w:tc>
        <w:tc>
          <w:tcPr>
            <w:tcW w:type="dxa" w:w="6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The Auditor General has flagged these for review. The outcome is unknown — they may be cleared or elevated to Queried status. These are in the audit pipeline.</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Non-Compliant</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90</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6.2%</w:t>
            </w:r>
          </w:p>
        </w:tc>
        <w:tc>
          <w:tcPr>
            <w:tcW w:type="dxa" w:w="6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The Auditor General has formally questioned these 90 transactions (NGN 11.01B exposure). Each requires a written formal response from the MDA. If unresolved, they can trigger surcharges on the responsible officers.</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Underutilised</w:t>
            </w:r>
          </w:p>
        </w:tc>
        <w:tc>
          <w:tcPr>
            <w:tcW w:type="dxa" w:w="7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21</w:t>
            </w:r>
          </w:p>
        </w:tc>
        <w:tc>
          <w:tcPr>
            <w:tcW w:type="dxa" w:w="7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1.4%</w:t>
            </w:r>
          </w:p>
        </w:tc>
        <w:tc>
          <w:tcPr>
            <w:tcW w:type="dxa" w:w="6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Budget was approved but barely spent (utilisation below 30%). 21 projects are essentially stalled despite having approved funding. This is budget padding or implementation failure.</w:t>
            </w:r>
          </w:p>
        </w:tc>
      </w:tr>
    </w:tbl>
    <w:p>
      <w:pPr>
        <w:spacing w:after="0" w:before="0"/>
      </w:pPr>
      <w:r>
        <w:t xml:space="preserve"/>
      </w:r>
    </w:p>
    <w:p>
      <w:pPr>
        <w:pStyle w:val="Heading2"/>
        <w:spacing w:after="120" w:before="300"/>
      </w:pPr>
      <w:r>
        <w:rPr>
          <w:rFonts w:ascii="Arial" w:cs="Arial" w:eastAsia="Arial" w:hAnsi="Arial"/>
          <w:b/>
          <w:bCs/>
          <w:color w:val="1D4ED8"/>
          <w:sz w:val="28"/>
          <w:szCs w:val="28"/>
        </w:rPr>
        <w:t xml:space="preserve">3.4 Section 3 Outputs — Filtering Results</w:t>
      </w:r>
    </w:p>
    <w:p>
      <w:pPr>
        <w:pStyle w:val="Heading3"/>
        <w:spacing w:after="80" w:before="220"/>
      </w:pPr>
      <w:r>
        <w:rPr>
          <w:rFonts w:ascii="Arial" w:cs="Arial" w:eastAsia="Arial" w:hAnsi="Arial"/>
          <w:b/>
          <w:bCs/>
          <w:color w:val="374151"/>
          <w:sz w:val="24"/>
          <w:szCs w:val="24"/>
        </w:rPr>
        <w:t xml:space="preserve">The Five Critical Financial Subsets</w:t>
      </w:r>
    </w:p>
    <w:p>
      <w:pPr>
        <w:spacing w:after="80" w:before="60"/>
        <w:jc w:val="both"/>
      </w:pPr>
      <w:r>
        <w:rPr>
          <w:rFonts w:ascii="Arial" w:cs="Arial" w:eastAsia="Arial" w:hAnsi="Arial"/>
          <w:b w:val="false"/>
          <w:bCs w:val="false"/>
          <w:i w:val="false"/>
          <w:iCs w:val="false"/>
          <w:color w:val="0F172A"/>
          <w:sz w:val="22"/>
          <w:szCs w:val="22"/>
        </w:rPr>
        <w:t xml:space="preserve">Queried transactions: 90 transactions with NGN 11.01 billion in exposure. This is the most urgent finding in the entire notebook. The Auditor General's office has formally questioned transactions worth more than NGN 11 billion — equivalent to 5.3% of total actual spending. In government financial terms, this represents potential mismanagement, unauthorised commitments, or procurement irregularities at a scale that demands immediate intervention.</w:t>
      </w:r>
    </w:p>
    <w:p>
      <w:pPr>
        <w:spacing w:after="80" w:before="60"/>
        <w:jc w:val="both"/>
      </w:pPr>
      <w:r>
        <w:rPr>
          <w:rFonts w:ascii="Arial" w:cs="Arial" w:eastAsia="Arial" w:hAnsi="Arial"/>
          <w:b w:val="false"/>
          <w:bCs w:val="false"/>
          <w:i w:val="false"/>
          <w:iCs w:val="false"/>
          <w:color w:val="0F172A"/>
          <w:sz w:val="22"/>
          <w:szCs w:val="22"/>
        </w:rPr>
        <w:t xml:space="preserve">High overruns above 20%: 228 transactions with +NGN 18,036 million in excess spending. NGN 18 billion in spending that was never approved by the House of Assembly. Each of these 228 transactions individually represents a breach of the Fiscal Responsibility Act, which requires that expenditure not exceed voted amounts without a supplementary appropriation.</w:t>
      </w:r>
    </w:p>
    <w:p>
      <w:pPr>
        <w:spacing w:after="80" w:before="60"/>
        <w:jc w:val="both"/>
      </w:pPr>
      <w:r>
        <w:rPr>
          <w:rFonts w:ascii="Arial" w:cs="Arial" w:eastAsia="Arial" w:hAnsi="Arial"/>
          <w:b w:val="false"/>
          <w:bCs w:val="false"/>
          <w:i w:val="false"/>
          <w:iCs w:val="false"/>
          <w:color w:val="0F172A"/>
          <w:sz w:val="22"/>
          <w:szCs w:val="22"/>
        </w:rPr>
        <w:t xml:space="preserve">Capital Expenditure 2023: 40 transactions totalling NGN 9.80 billion. This subset enables the infrastructure delivery audit: which projects started, which completed, and which are behind schedule.</w:t>
      </w:r>
    </w:p>
    <w:p>
      <w:pPr>
        <w:spacing w:after="80" w:before="60"/>
        <w:jc w:val="both"/>
      </w:pPr>
      <w:r>
        <w:rPr>
          <w:rFonts w:ascii="Arial" w:cs="Arial" w:eastAsia="Arial" w:hAnsi="Arial"/>
          <w:b w:val="false"/>
          <w:bCs w:val="false"/>
          <w:i w:val="false"/>
          <w:iCs w:val="false"/>
          <w:color w:val="0F172A"/>
          <w:sz w:val="22"/>
          <w:szCs w:val="22"/>
        </w:rPr>
        <w:t xml:space="preserve">Revenue transactions: 371 transactions totalling NGN 205.86 billion. This is Lagos State's income statement — the money coming in from all sources over 3 years.</w:t>
      </w:r>
    </w:p>
    <w:p>
      <w:pPr>
        <w:spacing w:after="80" w:before="60"/>
        <w:jc w:val="both"/>
      </w:pPr>
      <w:r>
        <w:rPr>
          <w:rFonts w:ascii="Arial" w:cs="Arial" w:eastAsia="Arial" w:hAnsi="Arial"/>
          <w:b w:val="false"/>
          <w:bCs w:val="false"/>
          <w:i w:val="false"/>
          <w:iCs w:val="false"/>
          <w:color w:val="0F172A"/>
          <w:sz w:val="22"/>
          <w:szCs w:val="22"/>
        </w:rPr>
        <w:t xml:space="preserve">Slow processing above 35 days: 367 transactions. The 49.0% overrun rate among slow-processing transactions is actually slightly LOWER than the overall 51.5% — confirming that slow processing is not the cause of overruns. Fast-processing transactions are almost as likely to overrun as slow-processing ones.</w:t>
      </w:r>
    </w:p>
    <w:p>
      <w:pPr>
        <w:spacing w:after="0" w:before="0"/>
      </w:pPr>
      <w:r>
        <w:t xml:space="preserve"/>
      </w:r>
    </w:p>
    <w:p>
      <w:pPr>
        <w:pStyle w:val="Heading3"/>
        <w:spacing w:after="80" w:before="220"/>
      </w:pPr>
      <w:r>
        <w:rPr>
          <w:rFonts w:ascii="Arial" w:cs="Arial" w:eastAsia="Arial" w:hAnsi="Arial"/>
          <w:b/>
          <w:bCs/>
          <w:color w:val="374151"/>
          <w:sz w:val="24"/>
          <w:szCs w:val="24"/>
        </w:rPr>
        <w:t xml:space="preserve">Top 10 Largest Transactions</w:t>
      </w:r>
    </w:p>
    <w:p>
      <w:pPr>
        <w:spacing w:after="80" w:before="60"/>
        <w:jc w:val="both"/>
      </w:pPr>
      <w:r>
        <w:rPr>
          <w:rFonts w:ascii="Arial" w:cs="Arial" w:eastAsia="Arial" w:hAnsi="Arial"/>
          <w:b w:val="false"/>
          <w:bCs w:val="false"/>
          <w:i w:val="false"/>
          <w:iCs w:val="false"/>
          <w:color w:val="0F172A"/>
          <w:sz w:val="22"/>
          <w:szCs w:val="22"/>
        </w:rPr>
        <w:t xml:space="preserve">All top 10 transactions are FAAC transfers — Federal Allocation receipts. This confirms that the federal government is the source of every mega-transaction in the dataset. No internal Lagos State expenditure (capital project, contract payment, or personnel cost) appears in the top 10 by value. The implications: (1) Lagos State's biggest financial events are PASSIVE receipts, not ACTIVE spending decisions; (2) audit risk in the largest transactions is primarily about proper recording and banking of federal receipts, not about procurement irregularities.</w:t>
      </w:r>
    </w:p>
    <w:p>
      <w:pPr>
        <w:spacing w:after="80" w:before="60"/>
        <w:jc w:val="both"/>
      </w:pPr>
      <w:r>
        <w:rPr>
          <w:rFonts w:ascii="Arial" w:cs="Arial" w:eastAsia="Arial" w:hAnsi="Arial"/>
          <w:b w:val="false"/>
          <w:bCs w:val="false"/>
          <w:i w:val="false"/>
          <w:iCs w:val="false"/>
          <w:color w:val="0F172A"/>
          <w:sz w:val="22"/>
          <w:szCs w:val="22"/>
        </w:rPr>
        <w:t xml:space="preserve">One of the top 10 (LGS-2023-011178, NGN 2.08B, +23.8% variance) has Flagged For Review status. A NGN 2 billion transaction under active audit investigation is the most significant single audit risk in the dataset.</w:t>
      </w:r>
    </w:p>
    <w:p>
      <w:pPr>
        <w:spacing w:after="0" w:before="0"/>
      </w:pPr>
      <w:r>
        <w:t xml:space="preserve"/>
      </w:r>
    </w:p>
    <w:p>
      <w:pPr>
        <w:pStyle w:val="Heading2"/>
        <w:spacing w:after="120" w:before="300"/>
      </w:pPr>
      <w:r>
        <w:rPr>
          <w:rFonts w:ascii="Arial" w:cs="Arial" w:eastAsia="Arial" w:hAnsi="Arial"/>
          <w:b/>
          <w:bCs/>
          <w:color w:val="1D4ED8"/>
          <w:sz w:val="28"/>
          <w:szCs w:val="28"/>
        </w:rPr>
        <w:t xml:space="preserve">3.5 Section 4 Outputs — MDA Performance Analysis</w:t>
      </w:r>
    </w:p>
    <w:p>
      <w:pPr>
        <w:pStyle w:val="Heading3"/>
        <w:spacing w:after="80" w:before="220"/>
      </w:pPr>
      <w:r>
        <w:rPr>
          <w:rFonts w:ascii="Arial" w:cs="Arial" w:eastAsia="Arial" w:hAnsi="Arial"/>
          <w:b/>
          <w:bCs/>
          <w:color w:val="374151"/>
          <w:sz w:val="24"/>
          <w:szCs w:val="24"/>
        </w:rPr>
        <w:t xml:space="preserve">MDA Performance Table — Critical Rankings</w:t>
      </w:r>
    </w:p>
    <w:p>
      <w:pPr>
        <w:spacing w:after="80" w:before="60"/>
        <w:jc w:val="both"/>
      </w:pPr>
      <w:r>
        <w:rPr>
          <w:rFonts w:ascii="Arial" w:cs="Arial" w:eastAsia="Arial" w:hAnsi="Arial"/>
          <w:b w:val="false"/>
          <w:bCs w:val="false"/>
          <w:i w:val="false"/>
          <w:iCs w:val="false"/>
          <w:color w:val="0F172A"/>
          <w:sz w:val="22"/>
          <w:szCs w:val="22"/>
        </w:rPr>
        <w:t xml:space="preserve">The complete MDA performance table sorted by total actual spend reveals the financial hierarchy of Lagos State government bodies. LSETF (NGN 21.32B) and LIRS (NGN 20.57B) appear at the top because their books contain FAAC and IGR mega-transactions — they are the financial conduits for the state's largest inflows.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56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Best Performer</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Worst Performer</w:t>
            </w:r>
          </w:p>
        </w:tc>
        <w:tc>
          <w:tcPr>
            <w:tcW w:type="dxa" w:w="3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Policy Implication</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Budget Overrun Rate</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Ministry of Education (41.2%)</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Ministry of Finance (61.0%)</w:t>
            </w:r>
          </w:p>
        </w:tc>
        <w:tc>
          <w:tcPr>
            <w:tcW w:type="dxa" w:w="3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The regulator has the worst discipline. Finance Ministry must submit to independent budget oversight.</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Budget Utilisation Rate</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Ministry of Housing (78.3%)</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LASBCA (68.7%)</w:t>
            </w:r>
          </w:p>
        </w:tc>
        <w:tc>
          <w:tcPr>
            <w:tcW w:type="dxa" w:w="3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Housing is executing capital projects; LASBCA is not spending its capital budget effectively.</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Total Audit Issues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Multiple MDAs with 0-2</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Office of the Governor (24 issues: 17 flagged + 7 queried)</w:t>
            </w:r>
          </w:p>
        </w:tc>
        <w:tc>
          <w:tcPr>
            <w:tcW w:type="dxa" w:w="3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The Governor's Office requires enhanced audit scrutiny and internal control review.</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Processing Speed</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LIRS (20.6 days avg)</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LASEMA (26.4 days avg)</w:t>
            </w:r>
          </w:p>
        </w:tc>
        <w:tc>
          <w:tcPr>
            <w:tcW w:type="dxa" w:w="35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Revenue collection processes fastest — payment automation is working for LIRS.</w:t>
            </w:r>
          </w:p>
        </w:tc>
      </w:tr>
    </w:tbl>
    <w:p>
      <w:pPr>
        <w:spacing w:after="0" w:before="0"/>
      </w:pPr>
      <w:r>
        <w:t xml:space="preserve"/>
      </w:r>
    </w:p>
    <w:p>
      <w:pPr>
        <w:pStyle w:val="Heading3"/>
        <w:spacing w:after="80" w:before="220"/>
      </w:pPr>
      <w:r>
        <w:rPr>
          <w:rFonts w:ascii="Arial" w:cs="Arial" w:eastAsia="Arial" w:hAnsi="Arial"/>
          <w:b/>
          <w:bCs/>
          <w:color w:val="374151"/>
          <w:sz w:val="24"/>
          <w:szCs w:val="24"/>
        </w:rPr>
        <w:t xml:space="preserve">Pivot Table — Year-over-Year Trends</w:t>
      </w:r>
    </w:p>
    <w:p>
      <w:pPr>
        <w:spacing w:after="80" w:before="60"/>
        <w:jc w:val="both"/>
      </w:pPr>
      <w:r>
        <w:rPr>
          <w:rFonts w:ascii="Arial" w:cs="Arial" w:eastAsia="Arial" w:hAnsi="Arial"/>
          <w:b w:val="false"/>
          <w:bCs w:val="false"/>
          <w:i w:val="false"/>
          <w:iCs w:val="false"/>
          <w:color w:val="0F172A"/>
          <w:sz w:val="22"/>
          <w:szCs w:val="22"/>
        </w:rPr>
        <w:t xml:space="preserve">The pivot table presents the most strategically important trends in the dataset when read across years.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000"/>
        <w:gridCol w:w="900"/>
        <w:gridCol w:w="34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Transaction Type</w:t>
            </w:r>
          </w:p>
        </w:tc>
        <w:tc>
          <w:tcPr>
            <w:tcW w:type="dxa" w:w="1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2021</w:t>
            </w:r>
          </w:p>
        </w:tc>
        <w:tc>
          <w:tcPr>
            <w:tcW w:type="dxa" w:w="1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2022</w:t>
            </w:r>
          </w:p>
        </w:tc>
        <w:tc>
          <w:tcPr>
            <w:tcW w:type="dxa" w:w="1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2023</w:t>
            </w:r>
          </w:p>
        </w:tc>
        <w:tc>
          <w:tcPr>
            <w:tcW w:type="dxa" w:w="9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Growth 21-23</w:t>
            </w:r>
          </w:p>
        </w:tc>
        <w:tc>
          <w:tcPr>
            <w:tcW w:type="dxa" w:w="34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Strategic Meaning</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Federal Allocation (FAAC)</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NGN 48.0B</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NGN 54.1B</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NGN 50.8B</w:t>
            </w:r>
          </w:p>
        </w:tc>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+5.8%</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Volatile — dropped NGN 3.3B from 2022 to 2023 despite overall growth. Revenue source is unpredictable.</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IGR Collection</w:t>
            </w:r>
          </w:p>
        </w:tc>
        <w:tc>
          <w:tcPr>
            <w:tcW w:type="dxa" w:w="1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NGN 16.6B</w:t>
            </w:r>
          </w:p>
        </w:tc>
        <w:tc>
          <w:tcPr>
            <w:tcW w:type="dxa" w:w="1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NGN 13.2B</w:t>
            </w:r>
          </w:p>
        </w:tc>
        <w:tc>
          <w:tcPr>
            <w:tcW w:type="dxa" w:w="1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NGN 14.8B</w:t>
            </w:r>
          </w:p>
        </w:tc>
        <w:tc>
          <w:tcPr>
            <w:tcW w:type="dxa" w:w="9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-10.6%</w:t>
            </w:r>
          </w:p>
        </w:tc>
        <w:tc>
          <w:tcPr>
            <w:tcW w:type="dxa" w:w="34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DECLINING. Lagos own-source revenue is shrinking. The most important negative trend for fiscal independence.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Capital Expenditure</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NGN 9.3B</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NGN 8.6B</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NGN 9.8B</w:t>
            </w:r>
          </w:p>
        </w:tc>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+5.4%</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Modest growth below inflation. Infrastructure investment is not keeping pace with population growth.</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Personnel Cost</w:t>
            </w:r>
          </w:p>
        </w:tc>
        <w:tc>
          <w:tcPr>
            <w:tcW w:type="dxa" w:w="1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NGN 1.9B</w:t>
            </w:r>
          </w:p>
        </w:tc>
        <w:tc>
          <w:tcPr>
            <w:tcW w:type="dxa" w:w="1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NGN 1.3B</w:t>
            </w:r>
          </w:p>
        </w:tc>
        <w:tc>
          <w:tcPr>
            <w:tcW w:type="dxa" w:w="1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NGN 2.1B</w:t>
            </w:r>
          </w:p>
        </w:tc>
        <w:tc>
          <w:tcPr>
            <w:tcW w:type="dxa" w:w="9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+9.6%</w:t>
            </w:r>
          </w:p>
        </w:tc>
        <w:tc>
          <w:tcPr>
            <w:tcW w:type="dxa" w:w="34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Wage bill growing faster than IGR. If unchecked, recurrent costs crowd out infrastructure.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Training &amp; Development</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NGN 0.24B</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NGN 0.16B</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NGN 0.12B</w:t>
            </w:r>
          </w:p>
        </w:tc>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-50.0%</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Halved in 3 years. Government cutting investment in civil servant capacity — long-term institutional risk.</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Contract Payment</w:t>
            </w:r>
          </w:p>
        </w:tc>
        <w:tc>
          <w:tcPr>
            <w:tcW w:type="dxa" w:w="1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NGN 5.5B</w:t>
            </w:r>
          </w:p>
        </w:tc>
        <w:tc>
          <w:tcPr>
            <w:tcW w:type="dxa" w:w="1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NGN 4.9B</w:t>
            </w:r>
          </w:p>
        </w:tc>
        <w:tc>
          <w:tcPr>
            <w:tcW w:type="dxa" w:w="1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NGN 4.4B</w:t>
            </w:r>
          </w:p>
        </w:tc>
        <w:tc>
          <w:tcPr>
            <w:tcW w:type="dxa" w:w="9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-20.1%</w:t>
            </w:r>
          </w:p>
        </w:tc>
        <w:tc>
          <w:tcPr>
            <w:tcW w:type="dxa" w:w="34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Declining contract volume — fewer new projects being initiated.</w:t>
            </w:r>
          </w:p>
        </w:tc>
      </w:tr>
    </w:tbl>
    <w:p>
      <w:pPr>
        <w:spacing w:after="0" w:before="0"/>
      </w:pPr>
      <w:r>
        <w:t xml:space="preserve"/>
      </w:r>
    </w:p>
    <w:p>
      <w:pPr>
        <w:pStyle w:val="Heading3"/>
        <w:spacing w:after="80" w:before="220"/>
      </w:pPr>
      <w:r>
        <w:rPr>
          <w:rFonts w:ascii="Arial" w:cs="Arial" w:eastAsia="Arial" w:hAnsi="Arial"/>
          <w:b/>
          <w:bCs/>
          <w:color w:val="374151"/>
          <w:sz w:val="24"/>
          <w:szCs w:val="24"/>
        </w:rPr>
        <w:t xml:space="preserve">Audit Priority Score Distribution</w:t>
      </w:r>
    </w:p>
    <w:p>
      <w:pPr>
        <w:spacing w:after="80" w:before="60"/>
        <w:jc w:val="both"/>
      </w:pPr>
      <w:r>
        <w:rPr>
          <w:rFonts w:ascii="Arial" w:cs="Arial" w:eastAsia="Arial" w:hAnsi="Arial"/>
          <w:b w:val="false"/>
          <w:bCs w:val="false"/>
          <w:i w:val="false"/>
          <w:iCs w:val="false"/>
          <w:color w:val="0F172A"/>
          <w:sz w:val="22"/>
          <w:szCs w:val="22"/>
        </w:rPr>
        <w:t xml:space="preserve">19 Critical transactions (score 61-100) requiring immediate Auditor General attention. 57 High transactions requiring audit department lead response within 60 days. 339 Medium transactions for MDA internal audit within 90 days. 1,036 Low transactions requiring only routine annual monitoring.</w:t>
      </w:r>
    </w:p>
    <w:p>
      <w:pPr>
        <w:spacing w:after="80" w:before="60"/>
        <w:jc w:val="both"/>
      </w:pPr>
      <w:r>
        <w:rPr>
          <w:rFonts w:ascii="Arial" w:cs="Arial" w:eastAsia="Arial" w:hAnsi="Arial"/>
          <w:b w:val="false"/>
          <w:bCs w:val="false"/>
          <w:i w:val="false"/>
          <w:iCs w:val="false"/>
          <w:color w:val="0F172A"/>
          <w:sz w:val="22"/>
          <w:szCs w:val="22"/>
        </w:rPr>
        <w:t xml:space="preserve">The scoring system converts the qualitative question "which transactions should we look at first?" into a quantitative ranking grounded in regulatory criteria. The top 5 transactions all have score 65 or 75 and are all in Queried status — the scoring system correctly identifies the most serious cases as its highest priorities, validating the scoring formula.</w:t>
      </w:r>
    </w:p>
    <w:p>
      <w:pPr>
        <w:spacing w:after="0" w:before="0"/>
      </w:pPr>
      <w:r>
        <w:t xml:space="preserve"/>
      </w:r>
    </w:p>
    <w:p>
      <w:pPr>
        <w:pStyle w:val="Heading2"/>
        <w:spacing w:after="120" w:before="300"/>
      </w:pPr>
      <w:r>
        <w:rPr>
          <w:rFonts w:ascii="Arial" w:cs="Arial" w:eastAsia="Arial" w:hAnsi="Arial"/>
          <w:b/>
          <w:bCs/>
          <w:color w:val="1D4ED8"/>
          <w:sz w:val="28"/>
          <w:szCs w:val="28"/>
        </w:rPr>
        <w:t xml:space="preserve">3.6 Section 5 Outputs — Statistical Findings</w:t>
      </w:r>
    </w:p>
    <w:p>
      <w:pPr>
        <w:pStyle w:val="Heading3"/>
        <w:spacing w:after="80" w:before="220"/>
      </w:pPr>
      <w:r>
        <w:rPr>
          <w:rFonts w:ascii="Arial" w:cs="Arial" w:eastAsia="Arial" w:hAnsi="Arial"/>
          <w:b/>
          <w:bCs/>
          <w:color w:val="374151"/>
          <w:sz w:val="24"/>
          <w:szCs w:val="24"/>
        </w:rPr>
        <w:t xml:space="preserve">The Mean-Median Gap and Why It Matters</w:t>
      </w:r>
    </w:p>
    <w:p>
      <w:pPr>
        <w:spacing w:after="80" w:before="60"/>
        <w:jc w:val="both"/>
      </w:pPr>
      <w:r>
        <w:rPr>
          <w:rFonts w:ascii="Arial" w:cs="Arial" w:eastAsia="Arial" w:hAnsi="Arial"/>
          <w:b w:val="false"/>
          <w:bCs w:val="false"/>
          <w:i w:val="false"/>
          <w:iCs w:val="false"/>
          <w:color w:val="0F172A"/>
          <w:sz w:val="22"/>
          <w:szCs w:val="22"/>
        </w:rPr>
        <w:t xml:space="preserve">The NGN 190.4 million mean vs NGN 42.3 million median for actual_amount (a 4.5x ratio) is the most important statistical finding for management reporting. If a government report states "average transaction value = NGN 190 million", it technically means the arithmetic average, but a reader will naturally interpret this as the typical transaction — which is wrong by a factor of 4.5.</w:t>
      </w:r>
    </w:p>
    <w:p>
      <w:pPr>
        <w:spacing w:after="80" w:before="60"/>
        <w:jc w:val="both"/>
      </w:pPr>
      <w:r>
        <w:rPr>
          <w:rFonts w:ascii="Arial" w:cs="Arial" w:eastAsia="Arial" w:hAnsi="Arial"/>
          <w:b w:val="false"/>
          <w:bCs w:val="false"/>
          <w:i w:val="false"/>
          <w:iCs w:val="false"/>
          <w:color w:val="0F172A"/>
          <w:sz w:val="22"/>
          <w:szCs w:val="22"/>
        </w:rPr>
        <w:t xml:space="preserve">The correct narrative: "The typical Lagos State government transaction (median) is NGN 42.3 million. The arithmetic average is significantly higher at NGN 190.4 million, but this is inflated by a small number of large FAAC federal allocation receipts. For budget planning and audit thresholds, the median of NGN 42.3 million is the more meaningful reference point."</w:t>
      </w:r>
    </w:p>
    <w:p>
      <w:pPr>
        <w:spacing w:after="0" w:before="0"/>
      </w:pPr>
      <w:r>
        <w:t xml:space="preserve"/>
      </w:r>
    </w:p>
    <w:p>
      <w:pPr>
        <w:pStyle w:val="Heading3"/>
        <w:spacing w:after="80" w:before="220"/>
      </w:pPr>
      <w:r>
        <w:rPr>
          <w:rFonts w:ascii="Arial" w:cs="Arial" w:eastAsia="Arial" w:hAnsi="Arial"/>
          <w:b/>
          <w:bCs/>
          <w:color w:val="374151"/>
          <w:sz w:val="24"/>
          <w:szCs w:val="24"/>
        </w:rPr>
        <w:t xml:space="preserve">Correlation Matrix — The Key Governance Insight</w:t>
      </w:r>
    </w:p>
    <w:p>
      <w:pPr>
        <w:spacing w:after="80" w:before="60"/>
        <w:jc w:val="both"/>
      </w:pPr>
      <w:r>
        <w:rPr>
          <w:rFonts w:ascii="Arial" w:cs="Arial" w:eastAsia="Arial" w:hAnsi="Arial"/>
          <w:b w:val="false"/>
          <w:bCs w:val="false"/>
          <w:i w:val="false"/>
          <w:iCs w:val="false"/>
          <w:color w:val="0F172A"/>
          <w:sz w:val="22"/>
          <w:szCs w:val="22"/>
        </w:rPr>
        <w:t xml:space="preserve">The near-zero correlation between processing_days and is_budget_overrun is the most actionable statistical finding. It disproves the most common assumption about government financial inefficiency: that slow approval processes cause budget overruns. The data says otherwise — processing speed has essentially no relationship with whether a transaction exceeds its budget.</w:t>
      </w:r>
    </w:p>
    <w:p>
      <w:pPr>
        <w:spacing w:after="80" w:before="60"/>
        <w:jc w:val="both"/>
      </w:pPr>
      <w:r>
        <w:rPr>
          <w:rFonts w:ascii="Arial" w:cs="Arial" w:eastAsia="Arial" w:hAnsi="Arial"/>
          <w:b w:val="false"/>
          <w:bCs w:val="false"/>
          <w:i w:val="false"/>
          <w:iCs w:val="false"/>
          <w:color w:val="0F172A"/>
          <w:sz w:val="22"/>
          <w:szCs w:val="22"/>
        </w:rPr>
        <w:t xml:space="preserve">This has direct policy implications: an investment in e-approval systems or digital payment infrastructure to speed up processing would be costly and would NOT reduce the 51.5% overrun rate. The intervention must instead target budget estimation quality (better forecasting at the planning stage), procurement management (better cost control during execution), and approval authority thresholds (ensuring high-risk transactions receive appropriate scrutiny before commitment, not just after payment).</w:t>
      </w:r>
    </w:p>
    <w:p>
      <w:pPr>
        <w:spacing w:after="0" w:before="0"/>
      </w:pPr>
      <w:r>
        <w:t xml:space="preserve"/>
      </w:r>
    </w:p>
    <w:p>
      <w:pPr>
        <w:pStyle w:val="Heading2"/>
        <w:spacing w:after="120" w:before="300"/>
      </w:pPr>
      <w:r>
        <w:rPr>
          <w:rFonts w:ascii="Arial" w:cs="Arial" w:eastAsia="Arial" w:hAnsi="Arial"/>
          <w:b/>
          <w:bCs/>
          <w:color w:val="1D4ED8"/>
          <w:sz w:val="28"/>
          <w:szCs w:val="28"/>
        </w:rPr>
        <w:t xml:space="preserve">3.7 Section 7 Outputs — Chart Interpretations</w:t>
      </w:r>
    </w:p>
    <w:p>
      <w:pPr>
        <w:pStyle w:val="Heading3"/>
        <w:spacing w:after="80" w:before="220"/>
      </w:pPr>
      <w:r>
        <w:rPr>
          <w:rFonts w:ascii="Arial" w:cs="Arial" w:eastAsia="Arial" w:hAnsi="Arial"/>
          <w:b/>
          <w:bCs/>
          <w:color w:val="374151"/>
          <w:sz w:val="24"/>
          <w:szCs w:val="24"/>
        </w:rPr>
        <w:t xml:space="preserve">Transaction Type Bar Charts</w:t>
      </w:r>
    </w:p>
    <w:p>
      <w:pPr>
        <w:spacing w:after="80" w:before="60"/>
        <w:jc w:val="both"/>
      </w:pPr>
      <w:r>
        <w:rPr>
          <w:rFonts w:ascii="Arial" w:cs="Arial" w:eastAsia="Arial" w:hAnsi="Arial"/>
          <w:b w:val="false"/>
          <w:bCs w:val="false"/>
          <w:i w:val="false"/>
          <w:iCs w:val="false"/>
          <w:color w:val="0F172A"/>
          <w:sz w:val="22"/>
          <w:szCs w:val="22"/>
        </w:rPr>
        <w:t xml:space="preserve">The left chart's most important fact: FAAC at NGN 152.84 billion represents 55.3% of all money flowing through the Lagos State financial system. This is over half of everything — and it is entirely controlled by the Federal Government. If the National Assembly reduces the Federation Account allocation to Lagos by 20%, Lagos State loses NGN 30.6 billion annually with no immediate alternative.</w:t>
      </w:r>
    </w:p>
    <w:p>
      <w:pPr>
        <w:spacing w:after="80" w:before="60"/>
        <w:jc w:val="both"/>
      </w:pPr>
      <w:r>
        <w:rPr>
          <w:rFonts w:ascii="Arial" w:cs="Arial" w:eastAsia="Arial" w:hAnsi="Arial"/>
          <w:b w:val="false"/>
          <w:bCs w:val="false"/>
          <w:i w:val="false"/>
          <w:iCs w:val="false"/>
          <w:color w:val="0F172A"/>
          <w:sz w:val="22"/>
          <w:szCs w:val="22"/>
        </w:rPr>
        <w:t xml:space="preserve">The right chart's most important fact: all transaction types cluster between 40% and 60% overrun rate. This is NOT random — it is systemic. If overruns were random (some MDAs overspending, others underspending by similar amounts), the overall budget variance would be near zero. But the overall variance is +0.1% because overruns and underspends nearly cancel out across all MDAs — revealing that the problem is individual transaction-level discipline, not aggregate fiscal management.</w:t>
      </w:r>
    </w:p>
    <w:p>
      <w:pPr>
        <w:spacing w:after="0" w:before="0"/>
      </w:pPr>
      <w:r>
        <w:t xml:space="preserve"/>
      </w:r>
    </w:p>
    <w:p>
      <w:pPr>
        <w:pStyle w:val="Heading3"/>
        <w:spacing w:after="80" w:before="220"/>
      </w:pPr>
      <w:r>
        <w:rPr>
          <w:rFonts w:ascii="Arial" w:cs="Arial" w:eastAsia="Arial" w:hAnsi="Arial"/>
          <w:b/>
          <w:bCs/>
          <w:color w:val="374151"/>
          <w:sz w:val="24"/>
          <w:szCs w:val="24"/>
        </w:rPr>
        <w:t xml:space="preserve">Quarterly Revenue vs Expenditure Chart</w:t>
      </w:r>
    </w:p>
    <w:p>
      <w:pPr>
        <w:spacing w:after="80" w:before="60"/>
        <w:jc w:val="both"/>
      </w:pPr>
      <w:r>
        <w:rPr>
          <w:rFonts w:ascii="Arial" w:cs="Arial" w:eastAsia="Arial" w:hAnsi="Arial"/>
          <w:b w:val="false"/>
          <w:bCs w:val="false"/>
          <w:i w:val="false"/>
          <w:iCs w:val="false"/>
          <w:color w:val="0F172A"/>
          <w:sz w:val="22"/>
          <w:szCs w:val="22"/>
        </w:rPr>
        <w:t xml:space="preserve">All quarterly bars in the net balance panel are green — Lagos State generated a revenue surplus in every single quarter across all three years. The revenue:expenditure ratio of 2.92x means the state collects almost three times what it spends. This fiscal strength is exceptional by any sub-national government standard globally.</w:t>
      </w:r>
    </w:p>
    <w:p>
      <w:pPr>
        <w:spacing w:after="80" w:before="60"/>
        <w:jc w:val="both"/>
      </w:pPr>
      <w:r>
        <w:rPr>
          <w:rFonts w:ascii="Arial" w:cs="Arial" w:eastAsia="Arial" w:hAnsi="Arial"/>
          <w:b w:val="false"/>
          <w:bCs w:val="false"/>
          <w:i w:val="false"/>
          <w:iCs w:val="false"/>
          <w:color w:val="0F172A"/>
          <w:sz w:val="22"/>
          <w:szCs w:val="22"/>
        </w:rPr>
        <w:t xml:space="preserve">However, the revenue line has a much wider range than the expenditure line — Q2 2022 (NGN 29.3B) vs Q4 2022 (NGN 13.6B) is more than a 2x swing within a single year. Expenditure is relatively stable. This means fiscal risk comes entirely from the revenue side — specifically from FAAC volatility.</w:t>
      </w:r>
    </w:p>
    <w:p>
      <w:pPr>
        <w:spacing w:after="0" w:before="0"/>
      </w:pPr>
      <w:r>
        <w:t xml:space="preserve"/>
      </w:r>
    </w:p>
    <w:p>
      <w:pPr>
        <w:pStyle w:val="Heading3"/>
        <w:spacing w:after="80" w:before="220"/>
      </w:pPr>
      <w:r>
        <w:rPr>
          <w:rFonts w:ascii="Arial" w:cs="Arial" w:eastAsia="Arial" w:hAnsi="Arial"/>
          <w:b/>
          <w:bCs/>
          <w:color w:val="374151"/>
          <w:sz w:val="24"/>
          <w:szCs w:val="24"/>
        </w:rPr>
        <w:t xml:space="preserve">Revenue Sources Donut</w:t>
      </w:r>
    </w:p>
    <w:p>
      <w:pPr>
        <w:spacing w:after="80" w:before="60"/>
        <w:jc w:val="both"/>
      </w:pPr>
      <w:r>
        <w:rPr>
          <w:rFonts w:ascii="Arial" w:cs="Arial" w:eastAsia="Arial" w:hAnsi="Arial"/>
          <w:b w:val="false"/>
          <w:bCs w:val="false"/>
          <w:i w:val="false"/>
          <w:iCs w:val="false"/>
          <w:color w:val="0F172A"/>
          <w:sz w:val="22"/>
          <w:szCs w:val="22"/>
        </w:rPr>
        <w:t xml:space="preserve">The three-slice donut tells the most strategic story in the project: FAAC 74.2%, IGR 21.6%, VAT 4.1%. Lagos State has the highest IGR of any state in Nigeria — yet even here, the state controls less than a quarter of its own revenue. The path to fiscal resilience is clear from this chart: grow IGR from 21.6% toward 35-40% of total revenue while FAAC allocation remains or declines. The trend analysis from the pivot table shows IGR declined -10.6% from 2021 to 2023 — moving in exactly the wrong direction.</w:t>
      </w:r>
    </w:p>
    <w:p>
      <w:pPr>
        <w:spacing w:after="0" w:before="0"/>
      </w:pPr>
      <w:r>
        <w:t xml:space="preserve"/>
      </w:r>
    </w:p>
    <w:p>
      <w:pPr>
        <w:pStyle w:val="Heading2"/>
        <w:spacing w:after="120" w:before="300"/>
      </w:pPr>
      <w:r>
        <w:rPr>
          <w:rFonts w:ascii="Arial" w:cs="Arial" w:eastAsia="Arial" w:hAnsi="Arial"/>
          <w:b/>
          <w:bCs/>
          <w:color w:val="1D4ED8"/>
          <w:sz w:val="28"/>
          <w:szCs w:val="28"/>
        </w:rPr>
        <w:t xml:space="preserve">3.8 Section 8 Outputs — KPI Dashboard Interpretation</w:t>
      </w:r>
    </w:p>
    <w:p>
      <w:pPr>
        <w:pStyle w:val="Heading3"/>
        <w:spacing w:after="80" w:before="220"/>
      </w:pPr>
      <w:r>
        <w:rPr>
          <w:rFonts w:ascii="Arial" w:cs="Arial" w:eastAsia="Arial" w:hAnsi="Arial"/>
          <w:b/>
          <w:bCs/>
          <w:color w:val="374151"/>
          <w:sz w:val="24"/>
          <w:szCs w:val="24"/>
        </w:rPr>
        <w:t xml:space="preserve">The 16 KPIs — Benchmarked Assessment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900"/>
        <w:gridCol w:w="426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KPI</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Lagos Value</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Benchmark</w:t>
            </w:r>
          </w:p>
        </w:tc>
        <w:tc>
          <w:tcPr>
            <w:tcW w:type="dxa" w:w="9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dxa" w:w="42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 Action</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Net Fiscal Balance</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+NGN 135.45B surplus</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Positive</w:t>
            </w:r>
          </w:p>
        </w:tc>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Strong</w:t>
            </w:r>
          </w:p>
        </w:tc>
        <w:tc>
          <w:tcPr>
            <w:tcW w:type="dxa" w:w="4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Maintain through IGR growth and expenditure discipline</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Revenue:Expenditure Ratio</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2.92x</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Above 2.0x</w:t>
            </w:r>
          </w:p>
        </w:tc>
        <w:tc>
          <w:tcPr>
            <w:tcW w:type="dxa" w:w="9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Strong</w:t>
            </w:r>
          </w:p>
        </w:tc>
        <w:tc>
          <w:tcPr>
            <w:tcW w:type="dxa" w:w="42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Build fiscal reserves from the surplus</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Budget Overrun Rate</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51.5%</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Below 25%</w:t>
            </w:r>
          </w:p>
        </w:tc>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Critical</w:t>
            </w:r>
          </w:p>
        </w:tc>
        <w:tc>
          <w:tcPr>
            <w:tcW w:type="dxa" w:w="4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Mandatory mid-year reviews; performance bonds for repeat offenders</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IGR Growth Rate</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-10.6%</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Above +10%/year</w:t>
            </w:r>
          </w:p>
        </w:tc>
        <w:tc>
          <w:tcPr>
            <w:tcW w:type="dxa" w:w="9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Critical</w:t>
            </w:r>
          </w:p>
        </w:tc>
        <w:tc>
          <w:tcPr>
            <w:tcW w:type="dxa" w:w="42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Digitise property tax; enforce consumption tax; expand Land Use Charge base</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FAAC Dependency</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74.2%</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Below 50%</w:t>
            </w:r>
          </w:p>
        </w:tc>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High Risk</w:t>
            </w:r>
          </w:p>
        </w:tc>
        <w:tc>
          <w:tcPr>
            <w:tcW w:type="dxa" w:w="4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Structural reform required — 74.2% is structurally dangerous</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Queried Transactions</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90 (NGN 11.01B)</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Below 2% count</w:t>
            </w:r>
          </w:p>
        </w:tc>
        <w:tc>
          <w:tcPr>
            <w:tcW w:type="dxa" w:w="9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Critical</w:t>
            </w:r>
          </w:p>
        </w:tc>
        <w:tc>
          <w:tcPr>
            <w:tcW w:type="dxa" w:w="42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90-day resolution mandate; MDAs with 5+ queries face special audit</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Avg Utilisation Rate</w:t>
            </w:r>
          </w:p>
        </w:tc>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72.0%</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Above 85%</w:t>
            </w:r>
          </w:p>
        </w:tc>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Below Target</w:t>
            </w:r>
          </w:p>
        </w:tc>
        <w:tc>
          <w:tcPr>
            <w:tcW w:type="dxa" w:w="42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Reform procurement timelines; penalise projects not started in Q1</w:t>
            </w:r>
          </w:p>
        </w:tc>
      </w:tr>
      <w:tr>
        <w:tc>
          <w:tcPr>
            <w:tcW w:type="dxa" w:w="1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Avg Processing Days</w:t>
            </w:r>
          </w:p>
        </w:tc>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23.7 days</w:t>
            </w:r>
          </w:p>
        </w:tc>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Below 21 days</w:t>
            </w:r>
          </w:p>
        </w:tc>
        <w:tc>
          <w:tcPr>
            <w:tcW w:type="dxa" w:w="9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Near Target</w:t>
            </w:r>
          </w:p>
        </w:tc>
        <w:tc>
          <w:tcPr>
            <w:tcW w:type="dxa" w:w="42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Minor improvement achievable through e-approval automation</w:t>
            </w:r>
          </w:p>
        </w:tc>
      </w:tr>
    </w:tbl>
    <w:p>
      <w:pPr>
        <w:spacing w:after="0" w:before="0"/>
      </w:pPr>
      <w:r>
        <w:t xml:space="preserve"/>
      </w:r>
    </w:p>
    <w:p>
      <w:pPr>
        <w:pStyle w:val="Heading2"/>
        <w:spacing w:after="120" w:before="300"/>
      </w:pPr>
      <w:r>
        <w:rPr>
          <w:rFonts w:ascii="Arial" w:cs="Arial" w:eastAsia="Arial" w:hAnsi="Arial"/>
          <w:b/>
          <w:bCs/>
          <w:color w:val="1D4ED8"/>
          <w:sz w:val="28"/>
          <w:szCs w:val="28"/>
        </w:rPr>
        <w:t xml:space="preserve">3.9 Section 9 Outputs — Dashboard and Recommendations</w:t>
      </w:r>
    </w:p>
    <w:p>
      <w:pPr>
        <w:pStyle w:val="Heading3"/>
        <w:spacing w:after="80" w:before="220"/>
      </w:pPr>
      <w:r>
        <w:rPr>
          <w:rFonts w:ascii="Arial" w:cs="Arial" w:eastAsia="Arial" w:hAnsi="Arial"/>
          <w:b/>
          <w:bCs/>
          <w:color w:val="374151"/>
          <w:sz w:val="24"/>
          <w:szCs w:val="24"/>
        </w:rPr>
        <w:t xml:space="preserve">Nine-Panel Dashboard — Reading Guide</w:t>
      </w:r>
    </w:p>
    <w:p>
      <w:pPr>
        <w:spacing w:after="80" w:before="60"/>
        <w:jc w:val="both"/>
      </w:pPr>
      <w:r>
        <w:rPr>
          <w:rFonts w:ascii="Arial" w:cs="Arial" w:eastAsia="Arial" w:hAnsi="Arial"/>
          <w:b w:val="false"/>
          <w:bCs w:val="false"/>
          <w:i w:val="false"/>
          <w:iCs w:val="false"/>
          <w:color w:val="0F172A"/>
          <w:sz w:val="22"/>
          <w:szCs w:val="22"/>
        </w:rPr>
        <w:t xml:space="preserve">Panel 1 (Quarterly Spend by Year): Q2 is consistently the strongest quarter across all three years because FAAC disbursements peak in April-June. Q4 is typically weaker, except 2023 where a large year-end allocation pushed Q4 to NGN 32.3 billion.</w:t>
      </w:r>
    </w:p>
    <w:p>
      <w:pPr>
        <w:spacing w:after="80" w:before="60"/>
        <w:jc w:val="both"/>
      </w:pPr>
      <w:r>
        <w:rPr>
          <w:rFonts w:ascii="Arial" w:cs="Arial" w:eastAsia="Arial" w:hAnsi="Arial"/>
          <w:b w:val="false"/>
          <w:bCs w:val="false"/>
          <w:i w:val="false"/>
          <w:iCs w:val="false"/>
          <w:color w:val="0F172A"/>
          <w:sz w:val="22"/>
          <w:szCs w:val="22"/>
        </w:rPr>
        <w:t xml:space="preserve">Panel 2 (Revenue vs Expenditure Donut): 74.5% revenue vs 25.5% expenditure — a 3:1 fiscal strength ratio. Revenue dominates because it includes all FAAC inflows while expenditure covers only operational and capital spending.</w:t>
      </w:r>
    </w:p>
    <w:p>
      <w:pPr>
        <w:spacing w:after="80" w:before="60"/>
        <w:jc w:val="both"/>
      </w:pPr>
      <w:r>
        <w:rPr>
          <w:rFonts w:ascii="Arial" w:cs="Arial" w:eastAsia="Arial" w:hAnsi="Arial"/>
          <w:b w:val="false"/>
          <w:bCs w:val="false"/>
          <w:i w:val="false"/>
          <w:iCs w:val="false"/>
          <w:color w:val="0F172A"/>
          <w:sz w:val="22"/>
          <w:szCs w:val="22"/>
        </w:rPr>
        <w:t xml:space="preserve">Panel 3 (Monthly Volume): December (132 transactions) and March (131 transactions) are the busiest months. December reflects year-end spending rush. March reflects Q1 budget release and early-year procurement. February is the quietest month (111 transactions) — fewer working days and budget allocation delays.</w:t>
      </w:r>
    </w:p>
    <w:p>
      <w:pPr>
        <w:spacing w:after="80" w:before="60"/>
        <w:jc w:val="both"/>
      </w:pPr>
      <w:r>
        <w:rPr>
          <w:rFonts w:ascii="Arial" w:cs="Arial" w:eastAsia="Arial" w:hAnsi="Arial"/>
          <w:b w:val="false"/>
          <w:bCs w:val="false"/>
          <w:i w:val="false"/>
          <w:iCs w:val="false"/>
          <w:color w:val="0F172A"/>
          <w:sz w:val="22"/>
          <w:szCs w:val="22"/>
        </w:rPr>
        <w:t xml:space="preserve">Panel 4 (Audit Status): 70.2% Cleared confirms that the majority of transactions are clean. The 17.9% in active audit concern (Flagged + Queried) represents significant but manageable exposure. The 11.7% Pending Audit is the normal backlog — not yet reviewed, not yet flagged.</w:t>
      </w:r>
    </w:p>
    <w:p>
      <w:pPr>
        <w:spacing w:after="80" w:before="60"/>
        <w:jc w:val="both"/>
      </w:pPr>
      <w:r>
        <w:rPr>
          <w:rFonts w:ascii="Arial" w:cs="Arial" w:eastAsia="Arial" w:hAnsi="Arial"/>
          <w:b w:val="false"/>
          <w:bCs w:val="false"/>
          <w:i w:val="false"/>
          <w:iCs w:val="false"/>
          <w:color w:val="0F172A"/>
          <w:sz w:val="22"/>
          <w:szCs w:val="22"/>
        </w:rPr>
        <w:t xml:space="preserve">Panel 5 (Overrun by Year): 2021: 51.5%; 2022: 49.3%; 2023: 54.2%. The overrun rate WORSENED from 2022 to 2023 — budget discipline was actually improving in 2022 but deteriorated again in 2023. If the trend had continued downward, 2023 might have reached 47-48%. The reversal in 2023 suggests budget discipline initiatives were either not implemented or were reversed.</w:t>
      </w:r>
    </w:p>
    <w:p>
      <w:pPr>
        <w:spacing w:after="80" w:before="60"/>
        <w:jc w:val="both"/>
      </w:pPr>
      <w:r>
        <w:rPr>
          <w:rFonts w:ascii="Arial" w:cs="Arial" w:eastAsia="Arial" w:hAnsi="Arial"/>
          <w:b w:val="false"/>
          <w:bCs w:val="false"/>
          <w:i w:val="false"/>
          <w:iCs w:val="false"/>
          <w:color w:val="0F172A"/>
          <w:sz w:val="22"/>
          <w:szCs w:val="22"/>
        </w:rPr>
        <w:t xml:space="preserve">Panel 9 (IGR vs FAAC Trend): The green IGR line is declining while the red dashed FAAC line is volatile. If these two lines were to cross — if IGR somehow exceeded FAAC — it would represent a fundamental shift in Lagos State's fiscal character from a transfer-dependent state to a fiscally self-sufficient one. The data shows the lines diverging in the wrong direction from 2021 to 2023.</w:t>
      </w:r>
    </w:p>
    <w:p>
      <w:pPr>
        <w:spacing w:after="0" w:before="0"/>
      </w:pPr>
      <w:r>
        <w:t xml:space="preserve"/>
      </w:r>
    </w:p>
    <w:p>
      <w:pPr>
        <w:pStyle w:val="Heading3"/>
        <w:spacing w:after="80" w:before="220"/>
      </w:pPr>
      <w:r>
        <w:rPr>
          <w:rFonts w:ascii="Arial" w:cs="Arial" w:eastAsia="Arial" w:hAnsi="Arial"/>
          <w:b/>
          <w:bCs/>
          <w:color w:val="374151"/>
          <w:sz w:val="24"/>
          <w:szCs w:val="24"/>
        </w:rPr>
        <w:t xml:space="preserve">The Five Policy Recommendations — Evidence Chain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1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Recommendation</w:t>
            </w:r>
          </w:p>
        </w:tc>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Evidence</w:t>
            </w:r>
          </w:p>
        </w:tc>
        <w:tc>
          <w:tcPr>
            <w:tcW w:type="dxa" w:w="4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Specific Metric</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Mandatory mid-year budget reviews for all MDAs with overrun history above 50%</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is_budget_overrun column, groupby MDA</w:t>
            </w:r>
          </w:p>
        </w:tc>
        <w:tc>
          <w:tcPr>
            <w:tcW w:type="dxa" w:w="4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51.5% overall overrun rate; Ministry of Finance 61.0%; 17 of 20 MDAs above 40%</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IGR digitisation programme — property tax, consumption tax, Land Use Charge</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transaction_type == "IGR Collection", groupby fiscal_year</w:t>
            </w:r>
          </w:p>
        </w:tc>
        <w:tc>
          <w:tcPr>
            <w:tcW w:type="dxa" w:w="4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NGN 16.57B (2021) to NGN 14.82B (2023) = -10.6% decline over 3 years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90-day Auditor General resolution mandate for queried transactions</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audit_status == "Queried" filter</w:t>
            </w:r>
          </w:p>
        </w:tc>
        <w:tc>
          <w:tcPr>
            <w:tcW w:type="dxa" w:w="4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90 transactions with NGN 11.01B exposure; some dating to 2021 still unresolved in 2023</w:t>
            </w:r>
          </w:p>
        </w:tc>
      </w:tr>
      <w:tr>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Capital project procurement reform — penalise projects not initiated in Q1</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utilisation_rate_pct analysis, CapEx filter</w:t>
            </w:r>
          </w:p>
        </w:tc>
        <w:tc>
          <w:tcPr>
            <w:tcW w:type="dxa" w:w="4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72.0% average utilisation vs 85% target; 21 Underutilised projects barely spending approved budgets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Enhanced oversight for Office of the Governor</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audit_status groupby mda_name</w:t>
            </w:r>
          </w:p>
        </w:tc>
        <w:tc>
          <w:tcPr>
            <w:tcW w:type="dxa" w:w="4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24 combined audit issues (17 flagged + 7 queried) — highest of any MDA despite being the sixth largest spender</w:t>
            </w:r>
          </w:p>
        </w:tc>
      </w:tr>
    </w:tbl>
    <w:p>
      <w:r>
        <w:br w:type="page"/>
      </w:r>
    </w:p>
    <w:p>
      <w:pPr>
        <w:pStyle w:val="Heading1"/>
        <w:spacing w:after="160" w:before="400"/>
      </w:pPr>
      <w:r>
        <w:rPr>
          <w:rFonts w:ascii="Arial" w:cs="Arial" w:eastAsia="Arial" w:hAnsi="Arial"/>
          <w:b/>
          <w:bCs/>
          <w:color w:val="1E3A5F"/>
          <w:sz w:val="36"/>
          <w:szCs w:val="36"/>
        </w:rPr>
        <w:t xml:space="preserve">PART 4 — COMPLETE PROJECT OVERVIEW</w:t>
      </w:r>
    </w:p>
    <w:p>
      <w:pPr>
        <w:pStyle w:val="Heading2"/>
        <w:spacing w:after="120" w:before="300"/>
      </w:pPr>
      <w:r>
        <w:rPr>
          <w:rFonts w:ascii="Arial" w:cs="Arial" w:eastAsia="Arial" w:hAnsi="Arial"/>
          <w:b/>
          <w:bCs/>
          <w:color w:val="1D4ED8"/>
          <w:sz w:val="28"/>
          <w:szCs w:val="28"/>
        </w:rPr>
        <w:t xml:space="preserve">4.1 Project Purpose and Context</w:t>
      </w:r>
    </w:p>
    <w:p>
      <w:pPr>
        <w:spacing w:after="80" w:before="60"/>
        <w:jc w:val="both"/>
      </w:pPr>
      <w:r>
        <w:rPr>
          <w:rFonts w:ascii="Arial" w:cs="Arial" w:eastAsia="Arial" w:hAnsi="Arial"/>
          <w:b w:val="false"/>
          <w:bCs w:val="false"/>
          <w:i w:val="false"/>
          <w:iCs w:val="false"/>
          <w:color w:val="0F172A"/>
          <w:sz w:val="22"/>
          <w:szCs w:val="22"/>
        </w:rPr>
        <w:t xml:space="preserve">The Lagos Finance Analytics project was built as a capstone analytical programme for the Zedcrest Capital Data Analyst Training Programme, running from May to August 2026. It was designed by Kajola Gbenga Adewale of Prodigy Training Hub to give financial data analysts hands-on experience solving real problems that government finance teams face daily.</w:t>
      </w:r>
    </w:p>
    <w:p>
      <w:pPr>
        <w:spacing w:after="80" w:before="60"/>
        <w:jc w:val="both"/>
      </w:pPr>
      <w:r>
        <w:rPr>
          <w:rFonts w:ascii="Arial" w:cs="Arial" w:eastAsia="Arial" w:hAnsi="Arial"/>
          <w:b w:val="false"/>
          <w:bCs w:val="false"/>
          <w:i w:val="false"/>
          <w:iCs w:val="false"/>
          <w:color w:val="0F172A"/>
          <w:sz w:val="22"/>
          <w:szCs w:val="22"/>
        </w:rPr>
        <w:t xml:space="preserve">The central problem the project addresses: Lagos State Government approves budgets through the House of Assembly, releases funds through the Accountant General's office, records transactions across 20 MDAs, and subjects expenditure to the Auditor General's review. Yet without data analytics, this entire lifecycle — from appropriation to audit — is managed through paper reports, manual Excel files, and periodic reviews that lag reality by months. When 51.5% of transactions are exceeding their budgets and NGN 11 billion is under audit investigation, these problems may go undetected for quarters.</w:t>
      </w:r>
    </w:p>
    <w:p>
      <w:pPr>
        <w:spacing w:after="80" w:before="60"/>
        <w:jc w:val="both"/>
      </w:pPr>
      <w:r>
        <w:rPr>
          <w:rFonts w:ascii="Arial" w:cs="Arial" w:eastAsia="Arial" w:hAnsi="Arial"/>
          <w:b w:val="false"/>
          <w:bCs w:val="false"/>
          <w:i w:val="false"/>
          <w:iCs w:val="false"/>
          <w:color w:val="0F172A"/>
          <w:sz w:val="22"/>
          <w:szCs w:val="22"/>
        </w:rPr>
        <w:t xml:space="preserve">This project demonstrates how Python data analytics can compress that lag from months to seconds, and can surface insights that manual review would miss entirely.</w:t>
      </w:r>
    </w:p>
    <w:p>
      <w:pPr>
        <w:spacing w:after="0" w:before="0"/>
      </w:pPr>
      <w:r>
        <w:t xml:space="preserve"/>
      </w:r>
    </w:p>
    <w:p>
      <w:pPr>
        <w:pStyle w:val="Heading2"/>
        <w:spacing w:after="120" w:before="300"/>
      </w:pPr>
      <w:r>
        <w:rPr>
          <w:rFonts w:ascii="Arial" w:cs="Arial" w:eastAsia="Arial" w:hAnsi="Arial"/>
          <w:b/>
          <w:bCs/>
          <w:color w:val="1D4ED8"/>
          <w:sz w:val="28"/>
          <w:szCs w:val="28"/>
        </w:rPr>
        <w:t xml:space="preserve">4.2 Learning Objectives</w:t>
      </w:r>
    </w:p>
    <w:p>
      <w:pPr>
        <w:spacing w:after="80" w:before="60"/>
        <w:jc w:val="both"/>
      </w:pPr>
      <w:r>
        <w:rPr>
          <w:rFonts w:ascii="Arial" w:cs="Arial" w:eastAsia="Arial" w:hAnsi="Arial"/>
          <w:b w:val="false"/>
          <w:bCs w:val="false"/>
          <w:i w:val="false"/>
          <w:iCs w:val="false"/>
          <w:color w:val="0F172A"/>
          <w:sz w:val="22"/>
          <w:szCs w:val="22"/>
        </w:rPr>
        <w:t xml:space="preserve">The notebook was designed to teach ten analytical skills in the context of a single coherent government finance case study. A student who completes the full notebook will have demonstrated proficiency in: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460"/>
      </w:tblGrid>
      <w:tr>
        <w:trPr>
          <w:tblHeader/>
        </w:trPr>
        <w:tc>
          <w:tcPr>
            <w:tcW w:type="dxa" w:w="9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Section</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Skill Demonstrated</w:t>
            </w:r>
          </w:p>
        </w:tc>
        <w:tc>
          <w:tcPr>
            <w:tcW w:type="dxa" w:w="64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Government Finance Application</w:t>
            </w:r>
          </w:p>
        </w:tc>
      </w:tr>
      <w:tr>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Section 0</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Data loading and structural inspection</w:t>
            </w:r>
          </w:p>
        </w:tc>
        <w:tc>
          <w:tcPr>
            <w:tcW w:type="dxa" w:w="6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Understanding a new government dataset before touching it</w:t>
            </w:r>
          </w:p>
        </w:tc>
      </w:tr>
      <w:tr>
        <w:tc>
          <w:tcPr>
            <w:tcW w:type="dxa" w:w="9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Section 1</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Missing value detection and imputation</w:t>
            </w:r>
          </w:p>
        </w:tc>
        <w:tc>
          <w:tcPr>
            <w:tcW w:type="dxa" w:w="64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Cleaning a real financial system's incomplete records without distorting the data</w:t>
            </w:r>
          </w:p>
        </w:tc>
      </w:tr>
      <w:tr>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Section 2</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Type conversion, string cleaning, binning, and apply()</w:t>
            </w:r>
          </w:p>
        </w:tc>
        <w:tc>
          <w:tcPr>
            <w:tcW w:type="dxa" w:w="6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Preparing raw government data for analysis — the real work of 80% of every analytics project</w:t>
            </w:r>
          </w:p>
        </w:tc>
      </w:tr>
      <w:tr>
        <w:tc>
          <w:tcPr>
            <w:tcW w:type="dxa" w:w="9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Section 3</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Boolean indexing, loc, iloc, query, and nlargest</w:t>
            </w:r>
          </w:p>
        </w:tc>
        <w:tc>
          <w:tcPr>
            <w:tcW w:type="dxa" w:w="64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Answering "show me only the X transactions" questions that auditors and commissioners ask daily</w:t>
            </w:r>
          </w:p>
        </w:tc>
      </w:tr>
      <w:tr>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Section 4</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groupby+agg, pivot_table, apply() for scoring, and merge</w:t>
            </w:r>
          </w:p>
        </w:tc>
        <w:tc>
          <w:tcPr>
            <w:tcW w:type="dxa" w:w="6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Producing MDA-level performance summaries, year-over-year comparisons, and risk scores</w:t>
            </w:r>
          </w:p>
        </w:tc>
      </w:tr>
      <w:tr>
        <w:tc>
          <w:tcPr>
            <w:tcW w:type="dxa" w:w="9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Section 5</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Central tendency, spread, skewness, IQR, and correlation</w:t>
            </w:r>
          </w:p>
        </w:tc>
        <w:tc>
          <w:tcPr>
            <w:tcW w:type="dxa" w:w="64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Applying statistical thinking to financial data — knowing when to use mean vs median, and what correlations mean for policy</w:t>
            </w:r>
          </w:p>
        </w:tc>
      </w:tr>
      <w:tr>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Section 6</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EDA through histograms, heatmaps, and outlier analysis</w:t>
            </w:r>
          </w:p>
        </w:tc>
        <w:tc>
          <w:tcPr>
            <w:tcW w:type="dxa" w:w="6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Understanding the shape and character of financial data before building reports</w:t>
            </w:r>
          </w:p>
        </w:tc>
      </w:tr>
      <w:tr>
        <w:tc>
          <w:tcPr>
            <w:tcW w:type="dxa" w:w="9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Section 7</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bar, line, pie/donut, box, scatter, and multi-panel charts</w:t>
            </w:r>
          </w:p>
        </w:tc>
        <w:tc>
          <w:tcPr>
            <w:tcW w:type="dxa" w:w="64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Building publication-ready government financial charts using matplotlib and seaborn</w:t>
            </w:r>
          </w:p>
        </w:tc>
      </w:tr>
      <w:tr>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Section 8</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KPI computation and MDA benchmarking</w:t>
            </w:r>
          </w:p>
        </w:tc>
        <w:tc>
          <w:tcPr>
            <w:tcW w:type="dxa" w:w="6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Translating raw data into governance metrics that executives can act on</w:t>
            </w:r>
          </w:p>
        </w:tc>
      </w:tr>
      <w:tr>
        <w:tc>
          <w:tcPr>
            <w:tcW w:type="dxa" w:w="9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Section 9</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Dashboard integration and policy recommendation writing</w:t>
            </w:r>
          </w:p>
        </w:tc>
        <w:tc>
          <w:tcPr>
            <w:tcW w:type="dxa" w:w="64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Combining all analytical outputs into a coherent intelligence product for government decision-makers</w:t>
            </w:r>
          </w:p>
        </w:tc>
      </w:tr>
    </w:tbl>
    <w:p>
      <w:pPr>
        <w:spacing w:after="0" w:before="0"/>
      </w:pPr>
      <w:r>
        <w:t xml:space="preserve"/>
      </w:r>
    </w:p>
    <w:p>
      <w:pPr>
        <w:pStyle w:val="Heading2"/>
        <w:spacing w:after="120" w:before="300"/>
      </w:pPr>
      <w:r>
        <w:rPr>
          <w:rFonts w:ascii="Arial" w:cs="Arial" w:eastAsia="Arial" w:hAnsi="Arial"/>
          <w:b/>
          <w:bCs/>
          <w:color w:val="1D4ED8"/>
          <w:sz w:val="28"/>
          <w:szCs w:val="28"/>
        </w:rPr>
        <w:t xml:space="preserve">4.3 The Analytical Journey — Section by Section</w:t>
      </w:r>
    </w:p>
    <w:p>
      <w:pPr>
        <w:spacing w:after="80" w:before="60"/>
        <w:jc w:val="both"/>
      </w:pPr>
      <w:r>
        <w:rPr>
          <w:rFonts w:ascii="Arial" w:cs="Arial" w:eastAsia="Arial" w:hAnsi="Arial"/>
          <w:b w:val="false"/>
          <w:bCs w:val="false"/>
          <w:i w:val="false"/>
          <w:iCs w:val="false"/>
          <w:color w:val="0F172A"/>
          <w:sz w:val="22"/>
          <w:szCs w:val="22"/>
        </w:rPr>
        <w:t xml:space="preserve">The notebook follows a deliberate progression from raw data to policy intelligence. Each section builds directly on the previous one — the cleaned data from Section 1 is used in Section 2; the new columns from Section 2 are used in Section 3; the grouped data from Section 4 feeds into Section 8 KPIs; and Section 9 brings everything together into the final dashboard.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000"/>
        <w:gridCol w:w="3860"/>
      </w:tblGrid>
      <w:tr>
        <w:trPr>
          <w:tblHeader/>
        </w:trPr>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Section</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Input</w:t>
            </w:r>
          </w:p>
        </w:tc>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Output</w:t>
            </w:r>
          </w:p>
        </w:tc>
        <w:tc>
          <w:tcPr>
            <w:tcW w:type="dxa" w:w="38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Technique</w:t>
            </w:r>
          </w:p>
        </w:tc>
      </w:tr>
      <w:tr>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0 — Load &amp; Inspect</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Raw CSV file</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Structural understanding: 1,451 rows, 22 columns, data types, statistical ranges</w:t>
            </w:r>
          </w:p>
        </w:tc>
        <w:tc>
          <w:tcPr>
            <w:tcW w:type="dxa" w:w="38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read_csv, shape, dtypes, describe</w:t>
            </w:r>
          </w:p>
        </w:tc>
      </w:tr>
      <w:tr>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1 — Missing Values</w:t>
            </w:r>
          </w:p>
        </w:tc>
        <w:tc>
          <w:tcPr>
            <w:tcW w:type="dxa" w:w="1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Raw DataFrame (df)</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Cleaned copy (df_clean) with 0 missing values, all 1,451 rows retained</w:t>
            </w:r>
          </w:p>
        </w:tc>
        <w:tc>
          <w:tcPr>
            <w:tcW w:type="dxa" w:w="38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isnull, fillna, groupby transform, heatmap</w:t>
            </w:r>
          </w:p>
        </w:tc>
      </w:tr>
      <w:tr>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2 — Cleaning</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df_clean with 22 columns</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df_clean with 26 columns — 4 new: month_num, is_year_end, transaction_band, performance_class</w:t>
            </w:r>
          </w:p>
        </w:tc>
        <w:tc>
          <w:tcPr>
            <w:tcW w:type="dxa" w:w="38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to_datetime, str methods, pd.cut, apply</w:t>
            </w:r>
          </w:p>
        </w:tc>
      </w:tr>
      <w:tr>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3 — Extraction</w:t>
            </w:r>
          </w:p>
        </w:tc>
        <w:tc>
          <w:tcPr>
            <w:tcW w:type="dxa" w:w="1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df_clean (26 columns)</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Five targeted subsets: queried, overruns, CapEx 2023, revenue, slow processing</w:t>
            </w:r>
          </w:p>
        </w:tc>
        <w:tc>
          <w:tcPr>
            <w:tcW w:type="dxa" w:w="38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Boolean indexing, loc, iloc, query, nlargest</w:t>
            </w:r>
          </w:p>
        </w:tc>
      </w:tr>
      <w:tr>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4 — Manipulation</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df_clean</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MDA performance table, year-type pivot, audit priority score column</w:t>
            </w:r>
          </w:p>
        </w:tc>
        <w:tc>
          <w:tcPr>
            <w:tcW w:type="dxa" w:w="38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groupby+agg, pivot_table, apply, named agg</w:t>
            </w:r>
          </w:p>
        </w:tc>
      </w:tr>
      <w:tr>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5 — Statistics</w:t>
            </w:r>
          </w:p>
        </w:tc>
        <w:tc>
          <w:tcPr>
            <w:tcW w:type="dxa" w:w="1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df_clean numeric columns</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Quantified distributions, IQR, outlier thresholds, correlation matrix</w:t>
            </w:r>
          </w:p>
        </w:tc>
        <w:tc>
          <w:tcPr>
            <w:tcW w:type="dxa" w:w="38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mean, median, std, skew, quantile, corr</w:t>
            </w:r>
          </w:p>
        </w:tc>
      </w:tr>
      <w:tr>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6 — EDA</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df_clean</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Six distribution charts, correlation heatmap, confirmed analytical assumptions</w:t>
            </w:r>
          </w:p>
        </w:tc>
        <w:tc>
          <w:tcPr>
            <w:tcW w:type="dxa" w:w="38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hist, heatmap, sns, np.triu mask</w:t>
            </w:r>
          </w:p>
        </w:tc>
      </w:tr>
      <w:tr>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7 — Visualisation</w:t>
            </w:r>
          </w:p>
        </w:tc>
        <w:tc>
          <w:tcPr>
            <w:tcW w:type="dxa" w:w="1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df_clean + aggregations</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Seven chart types: bar, line, pie/donut, box, histogram, multi-panel</w:t>
            </w:r>
          </w:p>
        </w:tc>
        <w:tc>
          <w:tcPr>
            <w:tcW w:type="dxa" w:w="38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matplotlib, seaborn, colour-coded charts</w:t>
            </w:r>
          </w:p>
        </w:tc>
      </w:tr>
      <w:tr>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8 — KPIs</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df_clean + mda_performance</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16 governance KPIs, four MDA performance panels</w:t>
            </w:r>
          </w:p>
        </w:tc>
        <w:tc>
          <w:tcPr>
            <w:tcW w:type="dxa" w:w="38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Computed metrics, formatted print, barh</w:t>
            </w:r>
          </w:p>
        </w:tc>
      </w:tr>
      <w:tr>
        <w:tc>
          <w:tcPr>
            <w:tcW w:type="dxa" w:w="1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9 — Capstone</w:t>
            </w:r>
          </w:p>
        </w:tc>
        <w:tc>
          <w:tcPr>
            <w:tcW w:type="dxa" w:w="1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All prior outputs</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Nine-panel dashboard + five evidence-based policy recommendations</w:t>
            </w:r>
          </w:p>
        </w:tc>
        <w:tc>
          <w:tcPr>
            <w:tcW w:type="dxa" w:w="38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plt.figure, add_subplot, structured print report</w:t>
            </w:r>
          </w:p>
        </w:tc>
      </w:tr>
    </w:tbl>
    <w:p>
      <w:pPr>
        <w:spacing w:after="0" w:before="0"/>
      </w:pPr>
      <w:r>
        <w:t xml:space="preserve"/>
      </w:r>
    </w:p>
    <w:p>
      <w:pPr>
        <w:pStyle w:val="Heading2"/>
        <w:spacing w:after="120" w:before="300"/>
      </w:pPr>
      <w:r>
        <w:rPr>
          <w:rFonts w:ascii="Arial" w:cs="Arial" w:eastAsia="Arial" w:hAnsi="Arial"/>
          <w:b/>
          <w:bCs/>
          <w:color w:val="1D4ED8"/>
          <w:sz w:val="28"/>
          <w:szCs w:val="28"/>
        </w:rPr>
        <w:t xml:space="preserve">4.4 The Five Most Important Findings</w:t>
      </w:r>
    </w:p>
    <w:p>
      <w:pPr>
        <w:spacing w:after="80" w:before="60"/>
        <w:jc w:val="both"/>
      </w:pPr>
      <w:r>
        <w:rPr>
          <w:rFonts w:ascii="Arial" w:cs="Arial" w:eastAsia="Arial" w:hAnsi="Arial"/>
          <w:b w:val="false"/>
          <w:bCs w:val="false"/>
          <w:i w:val="false"/>
          <w:iCs w:val="false"/>
          <w:color w:val="0F172A"/>
          <w:sz w:val="22"/>
          <w:szCs w:val="22"/>
        </w:rPr>
        <w:t xml:space="preserve">If only five numbers from this entire project are communicated to the Commissioner for Finance, these are the five that matter most and what action each demands.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3760"/>
      </w:tblGrid>
      <w:tr>
        <w:trPr>
          <w:tblHeader/>
        </w:trPr>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Finding</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Number</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Why It Is Critical</w:t>
            </w:r>
          </w:p>
        </w:tc>
        <w:tc>
          <w:tcPr>
            <w:tcW w:type="dxa" w:w="3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Required Action</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Budget Overrun Rate</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51.5% of all transactions exceed approved budgets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More than half of every financial commitment breaks the approved appropriation. This is a systemic breakdown, not isolated incidents.</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Mandatory mid-year budget reviews. Performance bonds for MDAs above 55% overrun rate. Real-time overrun alerts.</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IGR Decline</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-10.6% from 2021 to 2023 (NGN 16.6B to NGN 14.8B)</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Lagos State's only directly controlled revenue source is shrinking. If FAAC ever drops significantly, the state has no fiscal buffer.</w:t>
            </w:r>
          </w:p>
        </w:tc>
        <w:tc>
          <w:tcPr>
            <w:tcW w:type="dxa" w:w="3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Emergency IGR growth programme. Digitise all tax collection. Expand Land Use Charge. Monthly IGR performance targets.</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FAAC Dependency</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74.2% of all revenue from federal allocation</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Three-quarters of the government's money is controlled by someone else. One federal policy change in Abuja can trigger a Lagos fiscal crisis.</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Structural fiscal reform over 5-10 years. Target IGR to 35% of revenue by 2028. Identify and develop new own-source revenue streams.</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Audit Exposure</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90 queried transactions (NGN 11.01B) under active investigation</w:t>
            </w:r>
          </w:p>
        </w:tc>
        <w:tc>
          <w:tcPr>
            <w:tcW w:type="dxa" w:w="2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NGN 11 billion under Auditor General investigation represents 5.3% of all spending and a significant governance and reputational risk.</w:t>
            </w:r>
          </w:p>
        </w:tc>
        <w:tc>
          <w:tcPr>
            <w:tcW w:type="dxa" w:w="37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90-day resolution mandate. Individual accountability for transaction officers. MDAs with 5+ queries face special audit.</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Ministry of Finance Overrun Paradox</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61.0% overrun rate — worst of all 20 MDAs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The ministry responsible for financial discipline across ALL other MDAs has the worst budget discipline of any ministry. This undermines the entire governance system.</w:t>
            </w:r>
          </w:p>
        </w:tc>
        <w:tc>
          <w:tcPr>
            <w:tcW w:type="dxa" w:w="3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Independent audit of Ministry of Finance. External financial controller. Mandatory budget compliance certification before approving other MDAs' supplementary requests.</w:t>
            </w:r>
          </w:p>
        </w:tc>
      </w:tr>
    </w:tbl>
    <w:p>
      <w:pPr>
        <w:spacing w:after="0" w:before="0"/>
      </w:pPr>
      <w:r>
        <w:t xml:space="preserve"/>
      </w:r>
    </w:p>
    <w:p>
      <w:pPr>
        <w:pStyle w:val="Heading2"/>
        <w:spacing w:after="120" w:before="300"/>
      </w:pPr>
      <w:r>
        <w:rPr>
          <w:rFonts w:ascii="Arial" w:cs="Arial" w:eastAsia="Arial" w:hAnsi="Arial"/>
          <w:b/>
          <w:bCs/>
          <w:color w:val="1D4ED8"/>
          <w:sz w:val="28"/>
          <w:szCs w:val="28"/>
        </w:rPr>
        <w:t xml:space="preserve">4.5 Technical Architecture of the Notebook</w:t>
      </w:r>
    </w:p>
    <w:p>
      <w:pPr>
        <w:spacing w:after="80" w:before="60"/>
        <w:jc w:val="both"/>
      </w:pPr>
      <w:r>
        <w:rPr>
          <w:rFonts w:ascii="Arial" w:cs="Arial" w:eastAsia="Arial" w:hAnsi="Arial"/>
          <w:b w:val="false"/>
          <w:bCs w:val="false"/>
          <w:i w:val="false"/>
          <w:iCs w:val="false"/>
          <w:color w:val="0F172A"/>
          <w:sz w:val="22"/>
          <w:szCs w:val="22"/>
        </w:rPr>
        <w:t xml:space="preserve">The notebook is structured as a single linear analytical pipeline with one-directional data flow. Every section reads from df_clean and adds to it or produces a separate analytical object (a grouped summary, a pivot table, a chart). No section modifies data that a previous section depends on — this makes the notebook reproducible and auditable.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3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Design Choice</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Implementation</w:t>
            </w:r>
          </w:p>
        </w:tc>
        <w:tc>
          <w:tcPr>
            <w:tcW w:type="dxa" w:w="5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Reason</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One import cell at the top</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All imports in Cell 0.0</w:t>
            </w:r>
          </w:p>
        </w:tc>
        <w:tc>
          <w:tcPr>
            <w:tcW w:type="dxa" w:w="5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Any reader immediately sees all dependencies. No hidden imports in the middle of the notebook.</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Work on df_clean, not df</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df_clean = df.copy() in Section 1</w:t>
            </w:r>
          </w:p>
        </w:tc>
        <w:tc>
          <w:tcPr>
            <w:tcW w:type="dxa" w:w="5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Preserves raw data as a reference. If cleaning makes an error, restart from df.copy() without reloading the CSV.</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Named colour constants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DANGER_RED, SAFE_GREEN, etc. defined in Cell 0.0</w:t>
            </w:r>
          </w:p>
        </w:tc>
        <w:tc>
          <w:tcPr>
            <w:tcW w:type="dxa" w:w="5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Change a colour in one place; all charts update. Colour meaning is self-documenting.</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fmt_naira helper function</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def fmt_naira(val): defined in Cell 0.0</w:t>
            </w:r>
          </w:p>
        </w:tc>
        <w:tc>
          <w:tcPr>
            <w:tcW w:type="dxa" w:w="5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Government financial figures are in billions. Raw integers on chart axes are unreadable and unprofessional.</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Type-specific imputation</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groupby transform in Section 1</w:t>
            </w:r>
          </w:p>
        </w:tc>
        <w:tc>
          <w:tcPr>
            <w:tcW w:type="dxa" w:w="5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Global median imputation would distort the processing days and utilisation analysis. Type-specific medians preserve real operational differences.</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apply() for multi-condition classification</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classify_financial_performance() in Section 2</w:t>
            </w:r>
          </w:p>
        </w:tc>
        <w:tc>
          <w:tcPr>
            <w:tcW w:type="dxa" w:w="5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Multi-condition logic cannot be expressed as a single vectorised operation. apply() is the correct tool for row-level decision trees.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Named aggregation syntax</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agg(new_name=(source, func)) in Section 4</w:t>
            </w:r>
          </w:p>
        </w:tc>
        <w:tc>
          <w:tcPr>
            <w:tcW w:type="dxa" w:w="5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Cleaner than chaining multiple .agg() calls. Creates meaningful column names directly in the aggregation call.</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IQR-based outlier detection</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q3 + 1.5*IQR in Section 5</w:t>
            </w:r>
          </w:p>
        </w:tc>
        <w:tc>
          <w:tcPr>
            <w:tcW w:type="dxa" w:w="5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Tukey's fence is the statistical standard for box plot outliers and is robust to the heavy-tailed distributions typical of government financial data.</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Mask for correlation heatmap</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np.triu in Section 6</w:t>
            </w:r>
          </w:p>
        </w:tc>
        <w:tc>
          <w:tcPr>
            <w:tcW w:type="dxa" w:w="5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Removes the redundant upper triangle from the symmetric correlation matrix. Only half the information is unique.</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fig.add_subplot for capstone</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Manual subplot placement in Section 9</w:t>
            </w:r>
          </w:p>
        </w:tc>
        <w:tc>
          <w:tcPr>
            <w:tcW w:type="dxa" w:w="53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Allows 9 different chart types to be combined in one figure with precise control over each panel's content and size.</w:t>
            </w:r>
          </w:p>
        </w:tc>
      </w:tr>
    </w:tbl>
    <w:p>
      <w:pPr>
        <w:spacing w:after="0" w:before="0"/>
      </w:pPr>
      <w:r>
        <w:t xml:space="preserve"/>
      </w:r>
    </w:p>
    <w:p>
      <w:pPr>
        <w:pStyle w:val="Heading2"/>
        <w:spacing w:after="120" w:before="300"/>
      </w:pPr>
      <w:r>
        <w:rPr>
          <w:rFonts w:ascii="Arial" w:cs="Arial" w:eastAsia="Arial" w:hAnsi="Arial"/>
          <w:b/>
          <w:bCs/>
          <w:color w:val="1D4ED8"/>
          <w:sz w:val="28"/>
          <w:szCs w:val="28"/>
        </w:rPr>
        <w:t xml:space="preserve">4.6 How This Project Connects to Real Government Work</w:t>
      </w:r>
    </w:p>
    <w:p>
      <w:pPr>
        <w:spacing w:after="80" w:before="60"/>
        <w:jc w:val="both"/>
      </w:pPr>
      <w:r>
        <w:rPr>
          <w:rFonts w:ascii="Arial" w:cs="Arial" w:eastAsia="Arial" w:hAnsi="Arial"/>
          <w:b w:val="false"/>
          <w:bCs w:val="false"/>
          <w:i w:val="false"/>
          <w:iCs w:val="false"/>
          <w:color w:val="0F172A"/>
          <w:sz w:val="22"/>
          <w:szCs w:val="22"/>
        </w:rPr>
        <w:t xml:space="preserve">Every analysis in this notebook corresponds to a real document or process that Lagos State government finance officers produce and consume: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16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Notebook Output</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Real Government Equivalent</w:t>
            </w:r>
          </w:p>
        </w:tc>
        <w:tc>
          <w:tcPr>
            <w:tcW w:type="dxa" w:w="4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Used By</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MDA Performance Table (Section 4.1)</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Budget Performance Report — quarterly submission to the Accountant General</w:t>
            </w:r>
          </w:p>
        </w:tc>
        <w:tc>
          <w:tcPr>
            <w:tcW w:type="dxa" w:w="4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Accountant General, Commissioner for Finance, House of Assembly Appropriations Committee</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KPI Dashboard (Section 8.1)</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Quarterly Fiscal Performance Brief — presented to Governor in Executive Council</w:t>
            </w:r>
          </w:p>
        </w:tc>
        <w:tc>
          <w:tcPr>
            <w:tcW w:type="dxa" w:w="4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Governor, Deputy Governor, Commissioner for Finance</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Queried Transaction List (Section 3.1)</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Auditor General's Annual Report — the list of transactions under investigation</w:t>
            </w:r>
          </w:p>
        </w:tc>
        <w:tc>
          <w:tcPr>
            <w:tcW w:type="dxa" w:w="4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Auditor General, Public Accounts Committee, House of Assembly</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MDA Four-Panel Chart (Section 8.2)</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MDA Performance Scorecard — used in Ministry of Finance's quarterly review of MDAs</w:t>
            </w:r>
          </w:p>
        </w:tc>
        <w:tc>
          <w:tcPr>
            <w:tcW w:type="dxa" w:w="4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Permanent Secretaries, Directors, Budget Office</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Revenue vs Expenditure Line Chart (Section 7.2)</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Monthly Fiscal Statement — tracks government income and spending in real time</w:t>
            </w:r>
          </w:p>
        </w:tc>
        <w:tc>
          <w:tcPr>
            <w:tcW w:type="dxa" w:w="4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Ministry of Finance, Budget Office, LASG Treasury</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Policy Recommendations (Section 9.2)</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Medium-Term Expenditure Framework (MTEF) — 3-year budget planning document</w:t>
            </w:r>
          </w:p>
        </w:tc>
        <w:tc>
          <w:tcPr>
            <w:tcW w:type="dxa" w:w="4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Governor, Commissioners, Lagos State Planning Commission</w:t>
            </w:r>
          </w:p>
        </w:tc>
      </w:tr>
    </w:tbl>
    <w:p>
      <w:pPr>
        <w:spacing w:after="0" w:before="0"/>
      </w:pPr>
      <w:r>
        <w:t xml:space="preserve"/>
      </w:r>
    </w:p>
    <w:p>
      <w:pPr>
        <w:pStyle w:val="Heading2"/>
        <w:spacing w:after="120" w:before="300"/>
      </w:pPr>
      <w:r>
        <w:rPr>
          <w:rFonts w:ascii="Arial" w:cs="Arial" w:eastAsia="Arial" w:hAnsi="Arial"/>
          <w:b/>
          <w:bCs/>
          <w:color w:val="1D4ED8"/>
          <w:sz w:val="28"/>
          <w:szCs w:val="28"/>
        </w:rPr>
        <w:t xml:space="preserve">4.7 Extending This Project</w:t>
      </w:r>
    </w:p>
    <w:p>
      <w:pPr>
        <w:spacing w:after="80" w:before="60"/>
        <w:jc w:val="both"/>
      </w:pPr>
      <w:r>
        <w:rPr>
          <w:rFonts w:ascii="Arial" w:cs="Arial" w:eastAsia="Arial" w:hAnsi="Arial"/>
          <w:b w:val="false"/>
          <w:bCs w:val="false"/>
          <w:i w:val="false"/>
          <w:iCs w:val="false"/>
          <w:color w:val="0F172A"/>
          <w:sz w:val="22"/>
          <w:szCs w:val="22"/>
        </w:rPr>
        <w:t xml:space="preserve">The current notebook covers the core analytical workflow. There are several natural extensions for analysts who want to go deeper:</w:t>
      </w:r>
    </w:p>
    <w:p>
      <w:pPr>
        <w:pStyle w:val="ListParagraph"/>
        <w:numPr>
          <w:ilvl w:val="0"/>
          <w:numId w:val="2"/>
        </w:numPr>
        <w:spacing w:after="40" w:before="40"/>
      </w:pPr>
      <w:r>
        <w:rPr>
          <w:rFonts w:ascii="Arial" w:cs="Arial" w:eastAsia="Arial" w:hAnsi="Arial"/>
          <w:color w:val="0F172A"/>
          <w:sz w:val="22"/>
          <w:szCs w:val="22"/>
        </w:rPr>
        <w:t xml:space="preserve">Predictive modelling: Use the three years of data to train a logistic regression model to predict is_budget_overrun from the budget_amount, transaction_type, mda_name, quarter, and approval_level. A model that can flag high-risk transactions before payment is approved would be a genuine governance tool.</w:t>
      </w:r>
    </w:p>
    <w:p>
      <w:pPr>
        <w:pStyle w:val="ListParagraph"/>
        <w:numPr>
          <w:ilvl w:val="0"/>
          <w:numId w:val="2"/>
        </w:numPr>
        <w:spacing w:after="40" w:before="40"/>
      </w:pPr>
      <w:r>
        <w:rPr>
          <w:rFonts w:ascii="Arial" w:cs="Arial" w:eastAsia="Arial" w:hAnsi="Arial"/>
          <w:color w:val="0F172A"/>
          <w:sz w:val="22"/>
          <w:szCs w:val="22"/>
        </w:rPr>
        <w:t xml:space="preserve">Time series forecasting: With monthly IGR and FAAC data from 2021-2023, a simple ARIMA or exponential smoothing model could forecast IGR for 2024 and beyond, quantifying the fiscal gap if the declining trend continues.</w:t>
      </w:r>
    </w:p>
    <w:p>
      <w:pPr>
        <w:pStyle w:val="ListParagraph"/>
        <w:numPr>
          <w:ilvl w:val="0"/>
          <w:numId w:val="2"/>
        </w:numPr>
        <w:spacing w:after="40" w:before="40"/>
      </w:pPr>
      <w:r>
        <w:rPr>
          <w:rFonts w:ascii="Arial" w:cs="Arial" w:eastAsia="Arial" w:hAnsi="Arial"/>
          <w:color w:val="0F172A"/>
          <w:sz w:val="22"/>
          <w:szCs w:val="22"/>
        </w:rPr>
        <w:t xml:space="preserve">Network analysis: Mapping which MDAs share contractors, approval officers, or banks could reveal procurement concentration risk — a common fraud vector in government contracting.</w:t>
      </w:r>
    </w:p>
    <w:p>
      <w:pPr>
        <w:pStyle w:val="ListParagraph"/>
        <w:numPr>
          <w:ilvl w:val="0"/>
          <w:numId w:val="2"/>
        </w:numPr>
        <w:spacing w:after="40" w:before="40"/>
      </w:pPr>
      <w:r>
        <w:rPr>
          <w:rFonts w:ascii="Arial" w:cs="Arial" w:eastAsia="Arial" w:hAnsi="Arial"/>
          <w:color w:val="0F172A"/>
          <w:sz w:val="22"/>
          <w:szCs w:val="22"/>
        </w:rPr>
        <w:t xml:space="preserve">Natural Language Processing: If the dataset included transaction descriptions or procurement justifications, NLP techniques could flag unusual language patterns associated with queried transactions.</w:t>
      </w:r>
    </w:p>
    <w:p>
      <w:pPr>
        <w:pStyle w:val="ListParagraph"/>
        <w:numPr>
          <w:ilvl w:val="0"/>
          <w:numId w:val="2"/>
        </w:numPr>
        <w:spacing w:after="40" w:before="40"/>
      </w:pPr>
      <w:r>
        <w:rPr>
          <w:rFonts w:ascii="Arial" w:cs="Arial" w:eastAsia="Arial" w:hAnsi="Arial"/>
          <w:color w:val="0F172A"/>
          <w:sz w:val="22"/>
          <w:szCs w:val="22"/>
        </w:rPr>
        <w:t xml:space="preserve">Geographic analysis: Mapping expenditure to LGAs and overlaying with population density or poverty indices would reveal whether government spending is reaching the communities with highest need — an equity analysis.</w:t>
      </w:r>
    </w:p>
    <w:p>
      <w:pPr>
        <w:spacing w:after="0" w:before="0"/>
      </w:pPr>
      <w:r>
        <w:t xml:space="preserve"/>
      </w:r>
    </w:p>
    <w:p>
      <w:pPr>
        <w:pStyle w:val="Heading2"/>
        <w:spacing w:after="120" w:before="300"/>
      </w:pPr>
      <w:r>
        <w:rPr>
          <w:rFonts w:ascii="Arial" w:cs="Arial" w:eastAsia="Arial" w:hAnsi="Arial"/>
          <w:b/>
          <w:bCs/>
          <w:color w:val="1D4ED8"/>
          <w:sz w:val="28"/>
          <w:szCs w:val="28"/>
        </w:rPr>
        <w:t xml:space="preserve">4.8 Glossary — Government Finance Terms Used in the Project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4160"/>
      </w:tblGrid>
      <w:tr>
        <w:trPr>
          <w:tblHeader/>
        </w:trPr>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Term</w:t>
            </w:r>
          </w:p>
        </w:tc>
        <w:tc>
          <w:tcPr>
            <w:tcW w:type="dxa" w:w="3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Definition</w:t>
            </w:r>
          </w:p>
        </w:tc>
        <w:tc>
          <w:tcPr>
            <w:tcW w:type="dxa" w:w="4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Relevance in This Project</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MDA</w:t>
            </w:r>
          </w:p>
        </w:tc>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Ministry, Department or Agency — the primary operating unit of government</w:t>
            </w:r>
          </w:p>
        </w:tc>
        <w:tc>
          <w:tcPr>
            <w:tcW w:type="dxa" w:w="4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20 MDAs are the central grouping variable for all performance analysis</w:t>
            </w:r>
          </w:p>
        </w:tc>
      </w:tr>
      <w:tr>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FAAC</w:t>
            </w:r>
          </w:p>
        </w:tc>
        <w:tc>
          <w:tcPr>
            <w:tcW w:type="dxa" w:w="3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Federation Account Allocation Committee — the body that distributes oil and tax revenue from the federal government to states monthly</w:t>
            </w:r>
          </w:p>
        </w:tc>
        <w:tc>
          <w:tcPr>
            <w:tcW w:type="dxa" w:w="4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The single largest transaction type (NGN 152.84B across 3 years = 55.3% of all flows)</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IGR</w:t>
            </w:r>
          </w:p>
        </w:tc>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Internally Generated Revenue — taxes, fees, and levies collected by the state's own agencies (primarily through LIRS)</w:t>
            </w:r>
          </w:p>
        </w:tc>
        <w:tc>
          <w:tcPr>
            <w:tcW w:type="dxa" w:w="4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Declining -10.6% over 3 years — the most strategically important negative trend</w:t>
            </w:r>
          </w:p>
        </w:tc>
      </w:tr>
      <w:tr>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VAT</w:t>
            </w:r>
          </w:p>
        </w:tc>
        <w:tc>
          <w:tcPr>
            <w:tcW w:type="dxa" w:w="3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Value Added Tax — 7.5% consumption tax collected federally but shared with states</w:t>
            </w:r>
          </w:p>
        </w:tc>
        <w:tc>
          <w:tcPr>
            <w:tcW w:type="dxa" w:w="4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NGN 8.48B over 3 years = 4.1% of total revenue</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IPPIS</w:t>
            </w:r>
          </w:p>
        </w:tc>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Integrated Payroll and Personnel Information System — Federal Government platform for civil servant salary management</w:t>
            </w:r>
          </w:p>
        </w:tc>
        <w:tc>
          <w:tcPr>
            <w:tcW w:type="dxa" w:w="4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Payment mode for Personnel Cost transactions (NGN 79.37B)</w:t>
            </w:r>
          </w:p>
        </w:tc>
      </w:tr>
      <w:tr>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REMITA</w:t>
            </w:r>
          </w:p>
        </w:tc>
        <w:tc>
          <w:tcPr>
            <w:tcW w:type="dxa" w:w="3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 government payment gateway widely used for institutional transfers in Nigeria</w:t>
            </w:r>
          </w:p>
        </w:tc>
        <w:tc>
          <w:tcPr>
            <w:tcW w:type="dxa" w:w="4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Second largest payment mode by value (NGN 62.00B)</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TSA</w:t>
            </w:r>
          </w:p>
        </w:tc>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Treasury Single Account — a unified government bank account at the CBN that consolidates all government revenues</w:t>
            </w:r>
          </w:p>
        </w:tc>
        <w:tc>
          <w:tcPr>
            <w:tcW w:type="dxa" w:w="4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Payment mode for centralised disbursements (NGN 17.91B)</w:t>
            </w:r>
          </w:p>
        </w:tc>
      </w:tr>
      <w:tr>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Budget Overrun</w:t>
            </w:r>
          </w:p>
        </w:tc>
        <w:tc>
          <w:tcPr>
            <w:tcW w:type="dxa" w:w="3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When actual spending on a transaction exceeds the approved budget amount</w:t>
            </w:r>
          </w:p>
        </w:tc>
        <w:tc>
          <w:tcPr>
            <w:tcW w:type="dxa" w:w="4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51.5% of all transactions in the dataset are overruns</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Supplementary Appropriation</w:t>
            </w:r>
          </w:p>
        </w:tc>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 second budget passed mid-year to authorise spending above the original appropriation</w:t>
            </w:r>
          </w:p>
        </w:tc>
        <w:tc>
          <w:tcPr>
            <w:tcW w:type="dxa" w:w="4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Required for High Overrun transactions (variance above 20%)</w:t>
            </w:r>
          </w:p>
        </w:tc>
      </w:tr>
      <w:tr>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Queried Transaction</w:t>
            </w:r>
          </w:p>
        </w:tc>
        <w:tc>
          <w:tcPr>
            <w:tcW w:type="dxa" w:w="3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 transaction formally questioned by the Auditor General requiring a written response from the MDA</w:t>
            </w:r>
          </w:p>
        </w:tc>
        <w:tc>
          <w:tcPr>
            <w:tcW w:type="dxa" w:w="4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90 transactions worth NGN 11.01B in this dataset</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CapEx</w:t>
            </w:r>
          </w:p>
        </w:tc>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Capital Expenditure — spending on infrastructure, buildings, equipment, and long-lived assets</w:t>
            </w:r>
          </w:p>
        </w:tc>
        <w:tc>
          <w:tcPr>
            <w:tcW w:type="dxa" w:w="4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NGN 27.73B across 3 years; monitored through utilisation rate</w:t>
            </w:r>
          </w:p>
        </w:tc>
      </w:tr>
      <w:tr>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Recurrent Expenditure</w:t>
            </w:r>
          </w:p>
        </w:tc>
        <w:tc>
          <w:tcPr>
            <w:tcW w:type="dxa" w:w="3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Ongoing operational spending: salaries, utilities, supplies. Does not create long-lived assets</w:t>
            </w:r>
          </w:p>
        </w:tc>
        <w:tc>
          <w:tcPr>
            <w:tcW w:type="dxa" w:w="4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Personnel Cost, Overhead Cost, Utility Payment combined</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Utilisation Rate</w:t>
            </w:r>
          </w:p>
        </w:tc>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The percentage of an approved budget that has actually been drawn down and used</w:t>
            </w:r>
          </w:p>
        </w:tc>
        <w:tc>
          <w:tcPr>
            <w:tcW w:type="dxa" w:w="4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Average 72.0% vs 85% target — 13% utilisation gap represents significant unexecuted budgets</w:t>
            </w:r>
          </w:p>
        </w:tc>
      </w:tr>
      <w:tr>
        <w:tc>
          <w:tcPr>
            <w:tcW w:type="dxa" w:w="1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Fiscal Classification</w:t>
            </w:r>
          </w:p>
        </w:tc>
        <w:tc>
          <w:tcPr>
            <w:tcW w:type="dxa" w:w="3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The categorisation of a transaction as Revenue (incoming money) or Expenditure (outgoing money)</w:t>
            </w:r>
          </w:p>
        </w:tc>
        <w:tc>
          <w:tcPr>
            <w:tcW w:type="dxa" w:w="416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vAlign w:val="center"/>
          </w:tcPr>
          <w:p>
            <w:pPr>
              <w:jc w:val="left"/>
            </w:pPr>
            <w:r>
              <w:rPr>
                <w:rFonts w:ascii="Arial" w:cs="Arial" w:eastAsia="Arial" w:hAnsi="Arial"/>
                <w:b w:val="false"/>
                <w:bCs w:val="false"/>
                <w:color w:val="0F172A"/>
                <w:sz w:val="18"/>
                <w:szCs w:val="18"/>
              </w:rPr>
              <w:t xml:space="preserve">Foundation of the fiscal balance calculation: Revenue NGN 205.9B vs Expenditure NGN 70.4B</w:t>
            </w:r>
          </w:p>
        </w:tc>
      </w:tr>
    </w:tbl>
    <w:p>
      <w:pPr>
        <w:spacing w:after="0" w:before="0"/>
      </w:pPr>
      <w:r>
        <w:t xml:space="preserve"/>
      </w:r>
    </w:p>
    <w:p>
      <w:pPr>
        <w:spacing w:after="0" w:before="0"/>
      </w:pPr>
      <w:r>
        <w:t xml:space="preserve"/>
      </w:r>
    </w:p>
    <w:p>
      <w:pPr>
        <w:spacing w:after="100" w:before="400"/>
        <w:jc w:val="center"/>
      </w:pPr>
      <w:r>
        <w:rPr>
          <w:rFonts w:ascii="Arial" w:cs="Arial" w:eastAsia="Arial" w:hAnsi="Arial"/>
          <w:b/>
          <w:bCs/>
          <w:color w:val="374151"/>
          <w:sz w:val="22"/>
          <w:szCs w:val="22"/>
        </w:rPr>
        <w:t xml:space="preserve">--- END OF DOCUMENT ---</w:t>
      </w:r>
    </w:p>
    <w:p>
      <w:pPr>
        <w:spacing w:after="60" w:before="0"/>
        <w:jc w:val="center"/>
      </w:pPr>
      <w:r>
        <w:rPr>
          <w:rFonts w:ascii="Arial" w:cs="Arial" w:eastAsia="Arial" w:hAnsi="Arial"/>
          <w:i/>
          <w:iCs/>
          <w:color w:val="6B7280"/>
          <w:sz w:val="18"/>
          <w:szCs w:val="18"/>
        </w:rPr>
        <w:t xml:space="preserve">Lagos State Government Financial Analytics | Prodigy Training Hub | Zedcrest Capital | 2026</w:t>
      </w:r>
    </w:p>
    <w:p>
      <w:pPr>
        <w:spacing w:after="60" w:before="0"/>
        <w:jc w:val="center"/>
      </w:pPr>
      <w:r>
        <w:rPr>
          <w:rFonts w:ascii="Arial" w:cs="Arial" w:eastAsia="Arial" w:hAnsi="Arial"/>
          <w:color w:val="6B7280"/>
          <w:sz w:val="18"/>
          <w:szCs w:val="18"/>
        </w:rPr>
        <w:t xml:space="preserve">Trainer: Kajola Gbenga Adewale | prodigytraininghub.com</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D4ED8"/>
      <w:sz w:val="28"/>
      <w:szCs w:val="28"/>
    </w:rPr>
  </w:style>
  <w:style w:type="paragraph" w:styleId="Heading3">
    <w:name w:val="Heading 3"/>
    <w:basedOn w:val="Normal"/>
    <w:next w:val="Normal"/>
    <w:qFormat/>
    <w:pPr>
      <w:spacing w:after="80" w:before="2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2026-06-29T18:19:03.365Z</dcterms:created>
  <dcterms:modified xsi:type="dcterms:W3CDTF">2026-06-29T18:19:03.392Z</dcterms:modified>
</cp:coreProperties>
</file>

<file path=docProps/custom.xml><?xml version="1.0" encoding="utf-8"?>
<Properties xmlns="http://schemas.openxmlformats.org/officeDocument/2006/custom-properties" xmlns:vt="http://schemas.openxmlformats.org/officeDocument/2006/docPropsVTypes"/>
</file>