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1D3557"/>
          <w:sz w:val="56"/>
          <w:szCs w:val="56"/>
        </w:rPr>
        <w:t xml:space="preserve">LAGOS STATE GOVERNMENT</w:t>
      </w:r>
    </w:p>
    <w:p>
      <w:pPr>
        <w:spacing w:after="300"/>
        <w:jc w:val="center"/>
      </w:pPr>
      <w:r>
        <w:rPr>
          <w:b/>
          <w:bCs/>
          <w:color w:val="00704A"/>
          <w:sz w:val="40"/>
          <w:szCs w:val="40"/>
        </w:rPr>
        <w:t xml:space="preserve">FINANCIAL &amp; BUDGET ANALYTICS</w:t>
      </w:r>
    </w:p>
    <w:p>
      <w:pPr>
        <w:spacing w:after="500"/>
        <w:jc w:val="center"/>
      </w:pPr>
      <w:r>
        <w:rPr>
          <w:i/>
          <w:iCs/>
          <w:color w:val="44546A"/>
          <w:sz w:val="26"/>
          <w:szCs w:val="26"/>
        </w:rPr>
        <w:t xml:space="preserve">A Comprehensive Teaching &amp; Facilitation Guide</w:t>
      </w:r>
    </w:p>
    <w:p>
      <w:pPr>
        <w:spacing w:after="60"/>
        <w:jc w:val="center"/>
      </w:pPr>
      <w:r>
        <w:rPr>
          <w:sz w:val="20"/>
          <w:szCs w:val="20"/>
        </w:rPr>
        <w:t xml:space="preserve">Covering: The Aim of the Project · The Guiding Quote (Line-by-Line) · The Dataset ·</w:t>
      </w:r>
    </w:p>
    <w:p>
      <w:pPr>
        <w:spacing w:after="500"/>
        <w:jc w:val="center"/>
      </w:pPr>
      <w:r>
        <w:rPr>
          <w:sz w:val="20"/>
          <w:szCs w:val="20"/>
        </w:rPr>
        <w:t xml:space="preserve">Every Code Section, Its Output, and Every Chart — Fully Explained and Interpreted</w:t>
      </w:r>
    </w:p>
    <w:p>
      <w:pPr>
        <w:spacing w:before="1000"/>
      </w:pPr>
    </w:p>
    <w:p>
      <w:pPr>
        <w:spacing w:after="60"/>
        <w:jc w:val="center"/>
      </w:pPr>
      <w:r>
        <w:rPr>
          <w:b/>
          <w:bCs/>
          <w:color w:val="1D3557"/>
          <w:sz w:val="24"/>
          <w:szCs w:val="24"/>
        </w:rPr>
        <w:t xml:space="preserve">Zedcrest Capital Data Analyst Training Programme</w:t>
      </w:r>
    </w:p>
    <w:p>
      <w:pPr>
        <w:spacing w:after="60"/>
        <w:jc w:val="center"/>
      </w:pPr>
      <w:r>
        <w:rPr>
          <w:color w:val="44546A"/>
          <w:sz w:val="22"/>
          <w:szCs w:val="22"/>
        </w:rPr>
        <w:t xml:space="preserve">in partnership with Prodigy Training Hub</w:t>
      </w:r>
    </w:p>
    <w:p>
      <w:pPr>
        <w:spacing w:before="800"/>
      </w:pPr>
    </w:p>
    <w:p>
      <w:pPr>
        <w:spacing w:after="20"/>
        <w:jc w:val="center"/>
      </w:pPr>
      <w:r>
        <w:rPr>
          <w:b/>
          <w:bCs/>
          <w:color w:val="00704A"/>
          <w:sz w:val="24"/>
          <w:szCs w:val="24"/>
        </w:rPr>
        <w:t xml:space="preserve">Trainer: Kajola Gbenga Adewale | Data Expert</w:t>
      </w:r>
    </w:p>
    <w:p>
      <w:pPr>
        <w:jc w:val="center"/>
      </w:pPr>
      <w:r>
        <w:rPr>
          <w:color w:val="44546A"/>
          <w:sz w:val="18"/>
          <w:szCs w:val="18"/>
        </w:rPr>
        <w:t xml:space="preserve">Dataset: lagos_finance_data.csv — 1,451 transactions · 22 columns · Fiscal Years 2021–2023</w:t>
      </w:r>
    </w:p>
    <w:p>
      <w:r>
        <w:br w:type="page"/>
      </w:r>
    </w:p>
    <w:p>
      <w:pPr>
        <w:pStyle w:val="Heading1"/>
        <w:pBdr>
          <w:bottom w:val="single" w:color="1D3557" w:sz="6" w:space="4"/>
        </w:pBdr>
        <w:spacing w:after="200" w:before="400"/>
      </w:pPr>
      <w:r>
        <w:rPr>
          <w:b/>
          <w:bCs/>
          <w:color w:val="1D3557"/>
          <w:sz w:val="32"/>
          <w:szCs w:val="32"/>
        </w:rPr>
        <w:t xml:space="preserve">Part One — Foundations of the Project</w:t>
      </w:r>
    </w:p>
    <w:p>
      <w:pPr>
        <w:pStyle w:val="Heading2"/>
        <w:spacing w:after="160" w:before="320"/>
      </w:pPr>
      <w:r>
        <w:rPr>
          <w:b/>
          <w:bCs/>
          <w:color w:val="00704A"/>
          <w:sz w:val="26"/>
          <w:szCs w:val="26"/>
        </w:rPr>
        <w:t xml:space="preserve">1. Purpose of This Guide</w:t>
      </w:r>
    </w:p>
    <w:p>
      <w:pPr>
        <w:spacing w:after="160" w:line="300"/>
      </w:pPr>
      <w:r>
        <w:rPr>
          <w:sz w:val="21"/>
          <w:szCs w:val="21"/>
        </w:rPr>
        <w:t xml:space="preserve">This document is a complete facilitation companion to the Lagos State Government Financial &amp; Budget Analytics notebook (Lagos_Finance_Analytics_final.ipynb), built for the Zedcrest Capital Data Analyst Training Programme. It is written for you, the trainer, to teach from directly — every idea in the notebook is unpacked here in plain language, every line of code is explained, every printed result is interpreted, and every chart is broken down panel by panel. Nothing in this guide assumes the reader has seen the notebook before; each section stands on its own so you can present it slide-by-slide or read it aloud sentence-by-sentence to a cohort.</w:t>
      </w:r>
    </w:p>
    <w:p>
      <w:pPr>
        <w:spacing w:after="160" w:line="300"/>
      </w:pPr>
      <w:r>
        <w:rPr>
          <w:sz w:val="21"/>
          <w:szCs w:val="21"/>
        </w:rPr>
        <w:t xml:space="preserve">The guide is organised into three parts. Part One explains WHY this project exists — the aim, the guiding quote that frames the entire exercise, and the dataset itself. Part Two walks through the notebook exactly as it is structured — Section 0 through Section 9 — explaining the code in annotated tabular form and interpreting every output and chart. Part Three closes with the project's real-world impact and the five policy recommendations the analysis produces.</w:t>
      </w:r>
    </w:p>
    <w:p>
      <w:pPr>
        <w:pStyle w:val="Heading2"/>
        <w:spacing w:after="160" w:before="320"/>
      </w:pPr>
      <w:r>
        <w:rPr>
          <w:b/>
          <w:bCs/>
          <w:color w:val="00704A"/>
          <w:sz w:val="26"/>
          <w:szCs w:val="26"/>
        </w:rPr>
        <w:t xml:space="preserve">2. The Aim of This Project</w:t>
      </w:r>
    </w:p>
    <w:p>
      <w:pPr>
        <w:spacing w:after="160" w:line="300"/>
      </w:pPr>
      <w:r>
        <w:rPr>
          <w:sz w:val="21"/>
          <w:szCs w:val="21"/>
        </w:rPr>
        <w:t xml:space="preserve">Every government in the world faces the same basic accountability problem the moment it starts spending public money: it approves a budget, releases funds against that budget, and then has to prove — to auditors, to citizens, to the legislature — that the money was spent as intended. Lagos State Government moves over ₦275 billion through its books every year across 20 Ministries, Departments and Agencies (MDAs). At that scale, no human being can manually trace every transaction, compare it against its budget line, and flag the ones that need attention. This project exists to solve exactly that problem using data analytics.</w:t>
      </w:r>
    </w:p>
    <w:p>
      <w:pPr>
        <w:spacing w:after="160" w:line="300"/>
      </w:pPr>
      <w:r>
        <w:rPr>
          <w:sz w:val="21"/>
          <w:szCs w:val="21"/>
        </w:rPr>
        <w:t xml:space="preserve">In concrete terms, the notebook takes 1,451 real-looking government financial transactions spanning three fiscal years (2021, 2022, 2023) and puts them through a full analytics pipeline — from raw, messy data all the way to an executive-ready financial intelligence dashboard and a set of data-backed policy recommendations. The purpose is not only to produce that dashboard, but to teach the trainee data analyst every pandas, statistics, and visualisation technique needed to build one, using a domain — public sector finance — that is realistic, high-stakes, and directly relevant to a Nigerian audience.</w:t>
      </w:r>
    </w:p>
    <w:p>
      <w:pPr>
        <w:pStyle w:val="Heading3"/>
        <w:spacing w:after="120" w:before="240"/>
      </w:pPr>
      <w:r>
        <w:rPr>
          <w:b/>
          <w:bCs/>
          <w:color w:val="1D4ED8"/>
          <w:sz w:val="22"/>
          <w:szCs w:val="22"/>
        </w:rPr>
        <w:t xml:space="preserve">What the trainee is being taught to do</w:t>
      </w:r>
    </w:p>
    <w:p>
      <w:pPr>
        <w:pStyle w:val="ListParagraph"/>
        <w:numPr>
          <w:ilvl w:val="0"/>
          <w:numId w:val="1"/>
        </w:numPr>
        <w:spacing w:after="90" w:line="290"/>
      </w:pPr>
      <w:r>
        <w:rPr>
          <w:sz w:val="21"/>
          <w:szCs w:val="21"/>
        </w:rPr>
        <w:t xml:space="preserve">Detect fraud and mismanagement — surface transactions that overspent their approved budget, took unusually long to process, or are already flagged for audit.</w:t>
      </w:r>
    </w:p>
    <w:p>
      <w:pPr>
        <w:pStyle w:val="ListParagraph"/>
        <w:numPr>
          <w:ilvl w:val="0"/>
          <w:numId w:val="1"/>
        </w:numPr>
        <w:spacing w:after="90" w:line="290"/>
      </w:pPr>
      <w:r>
        <w:rPr>
          <w:sz w:val="21"/>
          <w:szCs w:val="21"/>
        </w:rPr>
        <w:t xml:space="preserve">Track fiscal performance — compare revenue collected (FAAC allocations, Internally Generated Revenue, VAT refunds) against expenditure (salaries, capital projects, contracts) across three fiscal years.</w:t>
      </w:r>
    </w:p>
    <w:p>
      <w:pPr>
        <w:pStyle w:val="ListParagraph"/>
        <w:numPr>
          <w:ilvl w:val="0"/>
          <w:numId w:val="1"/>
        </w:numPr>
        <w:spacing w:after="90" w:line="290"/>
      </w:pPr>
      <w:r>
        <w:rPr>
          <w:sz w:val="21"/>
          <w:szCs w:val="21"/>
        </w:rPr>
        <w:t xml:space="preserve">Benchmark MDAs against one another — rank all 20 agencies by budget discipline, utilisation of approved funds, and audit compliance.</w:t>
      </w:r>
    </w:p>
    <w:p>
      <w:pPr>
        <w:pStyle w:val="ListParagraph"/>
        <w:numPr>
          <w:ilvl w:val="0"/>
          <w:numId w:val="1"/>
        </w:numPr>
        <w:spacing w:after="90" w:line="290"/>
      </w:pPr>
      <w:r>
        <w:rPr>
          <w:sz w:val="21"/>
          <w:szCs w:val="21"/>
        </w:rPr>
        <w:t xml:space="preserve">Produce boardroom-grade intelligence — build the kind of multi-panel financial dashboard the Commissioner for Finance would present to the Governor every quarter.</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Why it matters for you as a trainer:  </w:t>
      </w:r>
      <w:r>
        <w:rPr>
          <w:sz w:val="20"/>
          <w:szCs w:val="20"/>
        </w:rPr>
        <w:t xml:space="preserve">This project is deliberately built around a real institutional workflow, not a toy dataset. When you teach it, you are not just teaching pandas syntax — you are teaching your students how a data analyst becomes useful inside a finance ministry, an audit unit, or a state planning commission. Every technique is anchored to a decision a real government officer needs to make.</w:t>
      </w:r>
    </w:p>
    <w:p>
      <w:pPr>
        <w:pStyle w:val="Heading2"/>
        <w:spacing w:after="160" w:before="320"/>
      </w:pPr>
      <w:r>
        <w:rPr>
          <w:b/>
          <w:bCs/>
          <w:color w:val="00704A"/>
          <w:sz w:val="26"/>
          <w:szCs w:val="26"/>
        </w:rPr>
        <w:t xml:space="preserve">3. The Guiding Quote — Full Line-by-Line Explanation</w:t>
      </w:r>
    </w:p>
    <w:p>
      <w:pPr>
        <w:spacing w:after="160" w:line="300"/>
      </w:pPr>
      <w:r>
        <w:rPr>
          <w:sz w:val="21"/>
          <w:szCs w:val="21"/>
        </w:rPr>
        <w:t xml:space="preserve">The notebook opens with a single question, written as a quotation, that frames everything that follows:</w:t>
      </w:r>
    </w:p>
    <w:p>
      <w:pPr>
        <w:pBdr>
          <w:left w:val="single" w:color="00704A" w:sz="24" w:space="8"/>
        </w:pBdr>
        <w:shd w:fill="F0F4F8" w:val="clear"/>
        <w:spacing w:after="200" w:before="200"/>
        <w:ind w:left="500" w:right="500"/>
      </w:pPr>
      <w:r>
        <w:rPr>
          <w:i/>
          <w:iCs/>
          <w:color w:val="1B1B1B"/>
          <w:sz w:val="22"/>
          <w:szCs w:val="22"/>
        </w:rPr>
        <w:t xml:space="preserve">"We approved a budget — did the money go where it was supposed to go, when it was supposed to go, and achieve what it was supposed to achieve?"</w:t>
      </w:r>
    </w:p>
    <w:p>
      <w:pPr>
        <w:spacing w:after="160" w:line="300"/>
      </w:pPr>
      <w:r>
        <w:rPr>
          <w:sz w:val="21"/>
          <w:szCs w:val="21"/>
        </w:rPr>
        <w:t xml:space="preserve">This is the one sentence every learner should be able to recite by the end of the session, because it is the sentence that justifies every single line of code in the notebook. Below is a full breakdown of the quote, phrase by phrase.</w:t>
      </w:r>
    </w:p>
    <w:p>
      <w:pPr>
        <w:pStyle w:val="Heading3"/>
        <w:spacing w:after="120" w:before="240"/>
      </w:pPr>
      <w:r>
        <w:rPr>
          <w:b/>
          <w:bCs/>
          <w:color w:val="1D4ED8"/>
          <w:sz w:val="22"/>
          <w:szCs w:val="22"/>
        </w:rPr>
        <w:t xml:space="preserve">Phrase 1 — "We approved a budget"</w:t>
      </w:r>
    </w:p>
    <w:p>
      <w:pPr>
        <w:spacing w:after="160" w:line="300"/>
      </w:pPr>
      <w:r>
        <w:rPr>
          <w:sz w:val="21"/>
          <w:szCs w:val="21"/>
        </w:rPr>
        <w:t xml:space="preserve">"We" refers to the institution of government itself — the Executive Council, the State House of Assembly, and ultimately the Governor, who together go through a formal budgeting process every fiscal year. "Approved a budget" means a specific naira figure has been legislated and signed for each Ministry, Department and Agency, for each type of spending (personnel, overhead, capital projects, grants, and so on). In the dataset, this is the budget_amount column — it is the promise, made in advance, of how much money a transaction is allowed to cost. This phrase establishes the starting point of accountability: nothing can be judged as "wrong" spending unless there was first an agreed, documented plan to compare it against.</w:t>
      </w:r>
    </w:p>
    <w:p>
      <w:pPr>
        <w:pStyle w:val="Heading3"/>
        <w:spacing w:after="120" w:before="240"/>
      </w:pPr>
      <w:r>
        <w:rPr>
          <w:b/>
          <w:bCs/>
          <w:color w:val="1D4ED8"/>
          <w:sz w:val="22"/>
          <w:szCs w:val="22"/>
        </w:rPr>
        <w:t xml:space="preserve">Phrase 2 — "did the money go where it was supposed to go"</w:t>
      </w:r>
    </w:p>
    <w:p>
      <w:pPr>
        <w:spacing w:after="160" w:line="300"/>
      </w:pPr>
      <w:r>
        <w:rPr>
          <w:sz w:val="21"/>
          <w:szCs w:val="21"/>
        </w:rPr>
        <w:t xml:space="preserve">This is a question about DESTINATION and CLASSIFICATION. It asks whether funds that were budgeted for, say, the Ministry of Health actually ended up recorded against the Ministry of Health, and whether money tagged as a Capital Expenditure was genuinely spent on a capital project rather than quietly reclassified as an Overhead Cost. In the notebook this maps directly onto the mda_name, transaction_type, and classification columns, and onto the entire Section 4 (Data Manipulation) work where transactions are grouped by MDA and by transaction type to check that spending patterns make sense for each agency's mandate.</w:t>
      </w:r>
    </w:p>
    <w:p>
      <w:pPr>
        <w:pStyle w:val="Heading3"/>
        <w:spacing w:after="120" w:before="240"/>
      </w:pPr>
      <w:r>
        <w:rPr>
          <w:b/>
          <w:bCs/>
          <w:color w:val="1D4ED8"/>
          <w:sz w:val="22"/>
          <w:szCs w:val="22"/>
        </w:rPr>
        <w:t xml:space="preserve">Phrase 3 — "when it was supposed to go"</w:t>
      </w:r>
    </w:p>
    <w:p>
      <w:pPr>
        <w:spacing w:after="160" w:line="300"/>
      </w:pPr>
      <w:r>
        <w:rPr>
          <w:sz w:val="21"/>
          <w:szCs w:val="21"/>
        </w:rPr>
        <w:t xml:space="preserve">This is a question about TIMING. Government financial discipline is not only about how much is spent but when — a properly run agency should spend steadily throughout the fiscal year, not rush a wave of payments in November and December because unused budget is about to expire. This is exactly what the processing_days, transaction_date, month, quarter, and the derived is_year_end column measure. The notebook confirms this pattern directly: 262 of the 1,451 transactions fall in the November–December "year-end rush" window, at a higher monthly rate (131/month) than the rest of the year (99/month) — hard evidence of the classic year-end spending scramble that "when" is really asking about.</w:t>
      </w:r>
    </w:p>
    <w:p>
      <w:pPr>
        <w:pStyle w:val="Heading3"/>
        <w:spacing w:after="120" w:before="240"/>
      </w:pPr>
      <w:r>
        <w:rPr>
          <w:b/>
          <w:bCs/>
          <w:color w:val="1D4ED8"/>
          <w:sz w:val="22"/>
          <w:szCs w:val="22"/>
        </w:rPr>
        <w:t xml:space="preserve">Phrase 4 — "and achieve what it was supposed to achieve"</w:t>
      </w:r>
    </w:p>
    <w:p>
      <w:pPr>
        <w:spacing w:after="160" w:line="300"/>
      </w:pPr>
      <w:r>
        <w:rPr>
          <w:sz w:val="21"/>
          <w:szCs w:val="21"/>
        </w:rPr>
        <w:t xml:space="preserve">This is a question about OUTCOME and EXECUTION — the hardest of the three to measure, and the one this project addresses through the utilisation_rate_pct column and the "Underutilised" performance-classification tier built in Section 2. A ministry can spend its money on the right project, on time, and still fail this test if the utilisation rate is low — meaning the approved budget was released but never actually converted into delivered outputs (a school not built, a clinic not equipped). The KPI dashboard in Section 8 reports an average utilisation rate of only 72.0% against an 85% target — meaning, on average, 28 kobo of every naira approved for capital projects across the three years was not translated into an executed outcome by the point of measurement.</w:t>
      </w:r>
    </w:p>
    <w:p>
      <w:pPr>
        <w:pStyle w:val="Heading3"/>
        <w:spacing w:after="120" w:before="240"/>
      </w:pPr>
      <w:r>
        <w:rPr>
          <w:b/>
          <w:bCs/>
          <w:color w:val="1D4ED8"/>
          <w:sz w:val="22"/>
          <w:szCs w:val="22"/>
        </w:rPr>
        <w:t xml:space="preserve">Why the quote is phrased as three linked questions, not one</w:t>
      </w:r>
    </w:p>
    <w:p>
      <w:pPr>
        <w:spacing w:after="160" w:line="300"/>
      </w:pPr>
      <w:r>
        <w:rPr>
          <w:sz w:val="21"/>
          <w:szCs w:val="21"/>
        </w:rPr>
        <w:t xml:space="preserve">Notice that the quote does not simply ask "was the money spent correctly?" — it deliberately splits accountability into three separate, independently checkable conditions: destination, timing, and outcome. This is intentional, and it is the single most important teaching point in the whole notebook: a transaction can pass one test and fail another. A payment can go to the RIGHT ministry (destination ✓), be processed on schedule (timing ✓), and still be a failure if the money was never utilised (outcome ✗). Or it can be spent on time and fully utilised, but on the wrong classification of expenditure. Data analytics is what makes it possible to check all three conditions simultaneously across 1,451 transactions — something no manual review process could do at this scale in a reasonable time. Every section of the notebook is really just a different way of interrogating one of these three conditions using pandas, statistics, and visualisation.</w:t>
      </w:r>
    </w:p>
    <w:p>
      <w:pPr>
        <w:pStyle w:val="Heading2"/>
        <w:spacing w:after="160" w:before="320"/>
      </w:pPr>
      <w:r>
        <w:rPr>
          <w:b/>
          <w:bCs/>
          <w:color w:val="00704A"/>
          <w:sz w:val="26"/>
          <w:szCs w:val="26"/>
        </w:rPr>
        <w:t xml:space="preserve">4. Why This Project Matters — The Impact</w:t>
      </w:r>
    </w:p>
    <w:p>
      <w:pPr>
        <w:spacing w:after="160" w:line="300"/>
      </w:pPr>
      <w:r>
        <w:rPr>
          <w:sz w:val="21"/>
          <w:szCs w:val="21"/>
        </w:rPr>
        <w:t xml:space="preserve">Before diving into the code, it is worth showing your class the size of the gap that data analytics closes. The table below contrasts manual government financial review with what this notebook achieves in seconds.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Without Data Analytics</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With This Analysis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Analysts review thousands of receipts manually</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Instantly filter 90 queried transactions out of 1,451</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Overruns discovered months later, or never</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51.5% overrun rate detected in seconds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No cross-MDA comparison possible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All 20 MDAs ranked in one table</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IGR decline goes unnoticed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-10.6% IGR decline flagged automatically</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Audit exposure (Queried transactions) unknown</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₦11.01B in queried-transaction exposure quantified immediately</w:t>
            </w:r>
          </w:p>
        </w:tc>
      </w:tr>
    </w:tbl>
    <w:p>
      <w:pPr>
        <w:spacing w:after="120"/>
      </w:pPr>
    </w:p>
    <w:p>
      <w:pPr>
        <w:pStyle w:val="Heading2"/>
        <w:spacing w:after="160" w:before="320"/>
      </w:pPr>
      <w:r>
        <w:rPr>
          <w:b/>
          <w:bCs/>
          <w:color w:val="00704A"/>
          <w:sz w:val="26"/>
          <w:szCs w:val="26"/>
        </w:rPr>
        <w:t xml:space="preserve">5. The Dataset Explained — lagos_finance_data.csv</w:t>
      </w:r>
    </w:p>
    <w:p>
      <w:pPr>
        <w:spacing w:after="160" w:line="300"/>
      </w:pPr>
      <w:r>
        <w:rPr>
          <w:sz w:val="21"/>
          <w:szCs w:val="21"/>
        </w:rPr>
        <w:t xml:space="preserve">The entire notebook runs on a single CSV file: lagos_finance_data.csv. It contains 1,451 rows — each row is one financial transaction recorded by the Lagos State Government — and 22 columns describing that transaction from every angle: who spent it, on what, how much was planned versus actually spent, how long it took to process, and whether it passed audit. Understanding every column before touching the code is essential, so this section explains each one in plain terms.</w:t>
      </w:r>
    </w:p>
    <w:p>
      <w:pPr>
        <w:pStyle w:val="Heading3"/>
        <w:spacing w:after="120" w:before="240"/>
      </w:pPr>
      <w:r>
        <w:rPr>
          <w:b/>
          <w:bCs/>
          <w:color w:val="1D4ED8"/>
          <w:sz w:val="22"/>
          <w:szCs w:val="22"/>
        </w:rPr>
        <w:t xml:space="preserve">Column-by-Column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600"/>
      </w:tblGrid>
      <w:tr>
        <w:trPr>
          <w:tblHeader/>
        </w:trPr>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300"/>
            <w:shd w:fill="1D3557"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6600"/>
            <w:shd w:fill="1D3557" w:val="clear"/>
            <w:tcMar>
              <w:top w:type="dxa" w:w="80"/>
              <w:left w:type="dxa" w:w="100"/>
              <w:bottom w:type="dxa" w:w="80"/>
              <w:right w:type="dxa" w:w="100"/>
            </w:tcMar>
            <w:vAlign w:val="center"/>
          </w:tcPr>
          <w:p>
            <w:pPr>
              <w:jc w:val="left"/>
            </w:pPr>
            <w:r>
              <w:rPr>
                <w:b/>
                <w:bCs/>
                <w:color w:val="FFFFFF"/>
                <w:sz w:val="19"/>
                <w:szCs w:val="19"/>
              </w:rPr>
              <w:t xml:space="preserve">What It Means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transaction_id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Unique identifier for the transaction, formatted LGS-YYYY-XXXXXX (LGS = Lagos State). Acts as the primary key — no two transactions share one.</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fiscal_year</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government financial year the transaction belongs to: 2021, 2022, or 2023.</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quarter</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fiscal quarter (Q1–Q4) in which the transaction occurred.</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month</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calendar month name (January–December) of the transaction.</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transaction_date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Text→Date</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exact date of the transaction. Loaded as plain text and converted to a proper date type in Section 2.</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day_of_week</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day of the week the transaction was recorded (Monday–Sunday).</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mda_name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Ministry, Department or Agency that owns the transaction — e.g. Ministry of Health, LASUTH, LIRS. 20 unique MDAs appear in the data.</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lga</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Local Government Area of Lagos State associated with the transaction (e.g. Ikeja, Eti-Osa, Apapa).</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transaction_type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nature of the transaction — e.g. Capital Expenditure, Personnel Cost, Federal Allocation (FAAC), IGR Collection, Contract Payment.</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classification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high-level bucket: Revenue (money coming in) or Expenditure (money going out).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budget_amount</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amount that was formally approved/budgeted for this transaction.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actual_amount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amount that was actually received or spent.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variance_amount</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actual_amount minus budget_amount — the naira gap between plan and reality.</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variance_pct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variance expressed as a percentage of the budget — the standard way overruns/underspends are reported.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is_budget_overrun</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0 or 1</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A ready-made flag: 1 if the transaction spent more than budgeted, 0 if it did not.</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utilisation_rate_pct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How much of the allocated budget was actually utilised/executed by the time of measurement — key for capital projects.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payment_mode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How the payment was made — REMITA, IPPIS Transfer, Direct Bank Transfer, Cheque, Cash, TSA Transfer, Online Portal.</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bank_name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bank through which the transaction was processed (Zenith, GTBank, Access, UBA, First Bank, etc.).</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processing_days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How many days the transaction took from initiation to completion.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approval_level</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seniority level that signed off — Director, Permanent Secretary, Commissioner, Accountant General, Governor.</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audit_status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Where the transaction stands with the Auditor General — Cleared, Pending Audit, Flagged For Review, or Queried.</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fiscal_classification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repeat/summary tag confirming Revenue or Expenditure, used for double-checking classification integrity.</w:t>
            </w:r>
          </w:p>
        </w:tc>
      </w:tr>
    </w:tbl>
    <w:p>
      <w:pPr>
        <w:pStyle w:val="Heading3"/>
        <w:spacing w:after="120" w:before="240"/>
      </w:pPr>
      <w:r>
        <w:rPr>
          <w:b/>
          <w:bCs/>
          <w:color w:val="1D4ED8"/>
          <w:sz w:val="22"/>
          <w:szCs w:val="22"/>
        </w:rPr>
        <w:t xml:space="preserve">Dataset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transactions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1,451</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columns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22 (grows to 26 after Section 2 feature engineering)</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Fiscal years covered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2021, 2022, 2023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of MDAs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budgeted amount (3 years)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₦275,980,919,256</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actual amount (3 years)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₦276,267,782,248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revenue (3 years)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₦205,858,913,473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expenditure (3 years)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₦70,408,868,775</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Teaching tip:  </w:t>
      </w:r>
      <w:r>
        <w:rPr>
          <w:sz w:val="20"/>
          <w:szCs w:val="20"/>
        </w:rPr>
        <w:t xml:space="preserve">Have the class open the CSV first and scroll through a handful of rows before any code runs. Point out the transaction_date column is plain text, and that a few cells in bank_name, processing_days, approval_level, and utilisation_rate_pct are blank. These two observations — wrong data type and missing values — are exactly the two problems Sections 1 and 2 of the notebook are built to fix. Seeing the problem with your own eyes before seeing the fix makes the code feel necessary rather than arbitrary.</w:t>
      </w:r>
    </w:p>
    <w:p>
      <w:r>
        <w:br w:type="page"/>
      </w:r>
    </w:p>
    <w:p>
      <w:pPr>
        <w:pStyle w:val="Heading1"/>
        <w:pBdr>
          <w:bottom w:val="single" w:color="1D3557" w:sz="6" w:space="4"/>
        </w:pBdr>
        <w:spacing w:after="200" w:before="400"/>
      </w:pPr>
      <w:r>
        <w:rPr>
          <w:b/>
          <w:bCs/>
          <w:color w:val="1D3557"/>
          <w:sz w:val="32"/>
          <w:szCs w:val="32"/>
        </w:rPr>
        <w:t xml:space="preserve">Part Two — The Analysis, Section by Section</w:t>
      </w:r>
    </w:p>
    <w:p>
      <w:pPr>
        <w:spacing w:after="160" w:line="300"/>
      </w:pPr>
      <w:r>
        <w:rPr>
          <w:sz w:val="21"/>
          <w:szCs w:val="21"/>
        </w:rPr>
        <w:t xml:space="preserve">This part walks through the notebook exactly in the order a student experiences it — ten sections, Section 0 through Section 9. For every section you will find: (1) why the section exists, (2) an annotated, tabular explanation of the code, (3) the actual output the code produces and what it means, and (4) for sections with charts, a panel-by-panel explanation of what the chart shows and why it was designed that way.</w:t>
      </w:r>
    </w:p>
    <w:p>
      <w:pPr>
        <w:pStyle w:val="Heading2"/>
        <w:spacing w:after="160" w:before="320"/>
      </w:pPr>
      <w:r>
        <w:rPr>
          <w:b/>
          <w:bCs/>
          <w:color w:val="00704A"/>
          <w:sz w:val="26"/>
          <w:szCs w:val="26"/>
        </w:rPr>
        <w:t xml:space="preserve">Section 0 — Load &amp; Inspect the Dataset</w:t>
      </w:r>
    </w:p>
    <w:p>
      <w:pPr>
        <w:spacing w:after="160" w:line="300"/>
      </w:pPr>
      <w:r>
        <w:rPr>
          <w:sz w:val="21"/>
          <w:szCs w:val="21"/>
        </w:rPr>
        <w:t xml:space="preserve">First principle of financial analytics: understand the data structure completely before doing any analysis. Government financial data has unique characteristics — very large monetary values, a hierarchy of ministries and agencies, and strict audit requirements — so this section is dedicated purely to loading the file and looking at it honestly before touching anything.</w:t>
      </w:r>
    </w:p>
    <w:p>
      <w:pPr>
        <w:pStyle w:val="Heading3"/>
        <w:spacing w:after="120" w:before="240"/>
      </w:pPr>
      <w:r>
        <w:rPr>
          <w:b/>
          <w:bCs/>
          <w:color w:val="1D4ED8"/>
          <w:sz w:val="22"/>
          <w:szCs w:val="22"/>
        </w:rPr>
        <w:t xml:space="preserve">Code Explanation — Imports &amp; Setup</w:t>
      </w:r>
    </w:p>
    <w:p>
      <w:pPr>
        <w:pBdr>
          <w:top w:val="single" w:color="0B1F2A" w:sz="4" w:space="4"/>
          <w:bottom w:val="single" w:color="0B1F2A" w:sz="4" w:space="4"/>
          <w:left w:val="single" w:color="0B1F2A" w:sz="4" w:space="4"/>
          <w:right w:val="single" w:color="0B1F2A" w:sz="4" w:space="4"/>
        </w:pBdr>
        <w:shd w:fill="0B1F2A" w:val="clear"/>
        <w:spacing w:after="200" w:before="100"/>
      </w:pPr>
      <w:r>
        <w:rPr>
          <w:rFonts w:ascii="Consolas" w:cs="Consolas" w:eastAsia="Consolas" w:hAnsi="Consolas"/>
          <w:color w:val="D7F9E9"/>
          <w:sz w:val="18"/>
          <w:szCs w:val="18"/>
        </w:rPr>
        <w:t xml:space="preserve">import pandas as pd, numpy as np</w:t>
      </w:r>
      <w:r>
        <w:rPr>
          <w:rFonts w:ascii="Consolas" w:cs="Consolas" w:eastAsia="Consolas" w:hAnsi="Consolas"/>
          <w:color w:val="D7F9E9"/>
          <w:sz w:val="18"/>
          <w:szCs w:val="18"/>
        </w:rPr>
        <w:br/>
        <w:t xml:space="preserve">import matplotlib.pyplot as plt, matplotlib.ticker as mticker</w:t>
      </w:r>
      <w:r>
        <w:rPr>
          <w:rFonts w:ascii="Consolas" w:cs="Consolas" w:eastAsia="Consolas" w:hAnsi="Consolas"/>
          <w:color w:val="D7F9E9"/>
          <w:sz w:val="18"/>
          <w:szCs w:val="18"/>
        </w:rPr>
        <w:br/>
        <w:t xml:space="preserve">import seaborn as sns</w:t>
      </w:r>
      <w:r>
        <w:rPr>
          <w:rFonts w:ascii="Consolas" w:cs="Consolas" w:eastAsia="Consolas" w:hAnsi="Consolas"/>
          <w:color w:val="D7F9E9"/>
          <w:sz w:val="18"/>
          <w:szCs w:val="18"/>
        </w:rPr>
        <w:br/>
        <w:t xml:space="preserve">warnings.filterwarnings('ignore')</w:t>
      </w:r>
      <w:r>
        <w:rPr>
          <w:rFonts w:ascii="Consolas" w:cs="Consolas" w:eastAsia="Consolas" w:hAnsi="Consolas"/>
          <w:color w:val="D7F9E9"/>
          <w:sz w:val="18"/>
          <w:szCs w:val="18"/>
        </w:rPr>
        <w:br/>
        <w:t xml:space="preserve">LAGOS_GREEN, DANGER_RED, SAFE_GREEN, ALERT_AMBER, NAIRA_BLUE = '#00704A', ...</w:t>
      </w:r>
      <w:r>
        <w:rPr>
          <w:rFonts w:ascii="Consolas" w:cs="Consolas" w:eastAsia="Consolas" w:hAnsi="Consolas"/>
          <w:color w:val="D7F9E9"/>
          <w:sz w:val="18"/>
          <w:szCs w:val="18"/>
        </w:rPr>
        <w:br/>
        <w:t xml:space="preserve">def fmt_naira(val): # converts 276267782248 -&gt; '₦276.3B'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350"/>
      </w:tblGrid>
      <w:tr>
        <w:trPr>
          <w:tblHeader/>
        </w:trPr>
        <w:tc>
          <w:tcPr>
            <w:tcW w:type="dxa" w:w="26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3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350"/>
            <w:shd w:fill="1D3557" w:val="clear"/>
            <w:tcMar>
              <w:top w:type="dxa" w:w="80"/>
              <w:left w:type="dxa" w:w="100"/>
              <w:bottom w:type="dxa" w:w="80"/>
              <w:right w:type="dxa" w:w="100"/>
            </w:tcMar>
            <w:vAlign w:val="center"/>
          </w:tcPr>
          <w:p>
            <w:pPr>
              <w:jc w:val="left"/>
            </w:pPr>
            <w:r>
              <w:rPr>
                <w:b/>
                <w:bCs/>
                <w:color w:val="FFFFFF"/>
                <w:sz w:val="19"/>
                <w:szCs w:val="19"/>
              </w:rPr>
              <w:t xml:space="preserve">Why It Is Written This Way</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import pandas as pd</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Loads Pandas, the core library for loading, cleaning, and transforming tabular data.</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Every government table is rows-and-columns; pandas is the industry-standard tool for exactly this shape of data.</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import numpy as np</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Loads NumPy for numerical operations.</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Used later for percentile math and the correlation-heatmap mask.</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import matplotlib / seaborn</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Loads the charting engines.</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Matplotlib draws every chart; seaborn's heatmap() replaces what would otherwise be 50+ lines of raw matplotlib.</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warnings.filterwarnings('ignore')</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Suppresses non-critical warnings.</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Keeps training output clean of deprecation notices that are not real errors.</w:t>
            </w:r>
          </w:p>
        </w:tc>
      </w:tr>
      <w:tr>
        <w:trPr>
          <w:tblHeader w:val="false"/>
        </w:trPr>
        <w:tc>
          <w:tcPr>
            <w:tcW w:type="dxa" w:w="2600"/>
            <w:tcMar>
              <w:top w:type="dxa" w:w="80"/>
              <w:left w:type="dxa" w:w="100"/>
              <w:bottom w:type="dxa" w:w="80"/>
              <w:right w:type="dxa" w:w="100"/>
            </w:tcMar>
            <w:vAlign w:val="center"/>
          </w:tcPr>
          <w:p>
            <w:pPr>
              <w:jc w:val="left"/>
            </w:pPr>
            <w:r>
              <w:rPr>
                <w:b/>
                <w:bCs/>
                <w:color w:val="1B1B1B"/>
                <w:sz w:val="19"/>
                <w:szCs w:val="19"/>
              </w:rPr>
              <w:t xml:space="preserve">LAGOS_GREEN = '#00704A' etc.</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Stores official Lagos State colours as named constants.</w:t>
            </w:r>
          </w:p>
        </w:tc>
        <w:tc>
          <w:tcPr>
            <w:tcW w:type="dxa" w:w="3350"/>
            <w:tcMar>
              <w:top w:type="dxa" w:w="80"/>
              <w:left w:type="dxa" w:w="100"/>
              <w:bottom w:type="dxa" w:w="80"/>
              <w:right w:type="dxa" w:w="100"/>
            </w:tcMar>
            <w:vAlign w:val="center"/>
          </w:tcPr>
          <w:p>
            <w:pPr>
              <w:jc w:val="left"/>
            </w:pPr>
            <w:r>
              <w:rPr>
                <w:b w:val="false"/>
                <w:bCs w:val="false"/>
                <w:color w:val="1B1B1B"/>
                <w:sz w:val="19"/>
                <w:szCs w:val="19"/>
              </w:rPr>
              <w:t xml:space="preserve">Government reports must use institutional brand colours; naming them once means every later chart is automatically on-brand.</w:t>
            </w:r>
          </w:p>
        </w:tc>
      </w:tr>
      <w:tr>
        <w:trPr>
          <w:tblHeader w:val="false"/>
        </w:trPr>
        <w:tc>
          <w:tcPr>
            <w:tcW w:type="dxa" w:w="2600"/>
            <w:shd w:fill="EAF1F8" w:val="clear"/>
            <w:tcMar>
              <w:top w:type="dxa" w:w="80"/>
              <w:left w:type="dxa" w:w="100"/>
              <w:bottom w:type="dxa" w:w="80"/>
              <w:right w:type="dxa" w:w="100"/>
            </w:tcMar>
            <w:vAlign w:val="center"/>
          </w:tcPr>
          <w:p>
            <w:pPr>
              <w:jc w:val="left"/>
            </w:pPr>
            <w:r>
              <w:rPr>
                <w:b/>
                <w:bCs/>
                <w:color w:val="1B1B1B"/>
                <w:sz w:val="19"/>
                <w:szCs w:val="19"/>
              </w:rPr>
              <w:t xml:space="preserve">def fmt_naira(val)</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Helper that turns a raw number into a readable ₦ figure (e.g. ₦276.3B).</w:t>
            </w:r>
          </w:p>
        </w:tc>
        <w:tc>
          <w:tcPr>
            <w:tcW w:type="dxa" w:w="33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₦276,267,782,248 is unreadable at a glance; ₦276.3B is instantly understood by a non-technical audience.</w:t>
            </w:r>
          </w:p>
        </w:tc>
      </w:tr>
    </w:tbl>
    <w:p>
      <w:pPr>
        <w:pStyle w:val="Heading3"/>
        <w:spacing w:after="120" w:before="240"/>
      </w:pPr>
      <w:r>
        <w:rPr>
          <w:b/>
          <w:bCs/>
          <w:color w:val="1D4ED8"/>
          <w:sz w:val="22"/>
          <w:szCs w:val="22"/>
        </w:rPr>
        <w:t xml:space="preserve">Output — What the Import Cell Produces</w:t>
      </w:r>
    </w:p>
    <w:p>
      <w:pPr>
        <w:pBdr>
          <w:top w:val="single" w:color="0B1F2A" w:sz="4" w:space="4"/>
          <w:bottom w:val="single" w:color="0B1F2A" w:sz="4" w:space="4"/>
          <w:left w:val="single" w:color="0B1F2A" w:sz="4" w:space="4"/>
          <w:right w:val="single" w:color="0B1F2A" w:sz="4" w:space="4"/>
        </w:pBdr>
        <w:shd w:fill="0B1F2A" w:val="clear"/>
        <w:spacing w:after="200" w:before="100"/>
      </w:pPr>
      <w:r>
        <w:rPr>
          <w:rFonts w:ascii="Consolas" w:cs="Consolas" w:eastAsia="Consolas" w:hAnsi="Consolas"/>
          <w:color w:val="D7F9E9"/>
          <w:sz w:val="18"/>
          <w:szCs w:val="18"/>
        </w:rPr>
        <w:t xml:space="preserve">✅ All libraries imported successfully</w:t>
      </w:r>
      <w:r>
        <w:rPr>
          <w:rFonts w:ascii="Consolas" w:cs="Consolas" w:eastAsia="Consolas" w:hAnsi="Consolas"/>
          <w:color w:val="D7F9E9"/>
          <w:sz w:val="18"/>
          <w:szCs w:val="18"/>
        </w:rPr>
        <w:br/>
        <w:t xml:space="preserve">   Pandas version : 3.0.2   NumPy version : 2.4.4   Seaborn version : 0.13.x</w:t>
      </w:r>
      <w:r>
        <w:rPr>
          <w:rFonts w:ascii="Consolas" w:cs="Consolas" w:eastAsia="Consolas" w:hAnsi="Consolas"/>
          <w:color w:val="D7F9E9"/>
          <w:sz w:val="18"/>
          <w:szCs w:val="18"/>
        </w:rPr>
        <w:br/>
        <w:t xml:space="preserve">   Context: Lagos State Government Financial Analytics</w:t>
      </w:r>
      <w:r>
        <w:rPr>
          <w:rFonts w:ascii="Consolas" w:cs="Consolas" w:eastAsia="Consolas" w:hAnsi="Consolas"/>
          <w:color w:val="D7F9E9"/>
          <w:sz w:val="18"/>
          <w:szCs w:val="18"/>
        </w:rPr>
        <w:br/>
        <w:t xml:space="preserve">   Dataset covers: Fiscal Years 2021, 2022, 2023</w:t>
      </w:r>
    </w:p>
    <w:p>
      <w:pPr>
        <w:spacing w:after="160" w:line="300"/>
      </w:pPr>
      <w:r>
        <w:rPr>
          <w:sz w:val="21"/>
          <w:szCs w:val="21"/>
        </w:rPr>
        <w:t xml:space="preserve">Interpretation: this confirms every dependency loaded without conflict and shows the exact library versions used — important for reproducibility if another analyst reruns the notebook later.</w:t>
      </w:r>
    </w:p>
    <w:p>
      <w:pPr>
        <w:pStyle w:val="Heading3"/>
        <w:spacing w:after="120" w:before="240"/>
      </w:pPr>
      <w:r>
        <w:rPr>
          <w:b/>
          <w:bCs/>
          <w:color w:val="1D4ED8"/>
          <w:sz w:val="22"/>
          <w:szCs w:val="22"/>
        </w:rPr>
        <w:t xml:space="preserve">Code Explanation — Loading &amp; Inspecting the File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 &amp; What It Prevents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 = pd.read_csv('lagos_finance_data.csv')</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Reads the CSV into a DataFrame. Every row becomes one transaction, every column one attribute.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Without this line nothing else is possible. read_csv auto-detects the header row and handles special characters in MDA names.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df.shape[0] / df.shape[1]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Returns row count (1,451) and column count (22).</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quick sanity check — if only 500 rows loaded, or 21 columns instead of 22, you would catch a broken file immediately.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df.memory_usage(deep=True).sum()/1024</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RAM usage in KB.</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deep=True measures actual string memory — more accurate for text-heavy government data, and useful once the dataset scales to millions of rows.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for i, col in enumerate(df.columns, 1): print(...)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Prints every column name, numbered.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Establishes a shared vocabulary — 'column 15' can now be referenced unambiguously in class discussion.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df.head()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Shows the first 5 rows in full.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single most important first step in any analysis: you must SEE the data before writing a formula against it.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df.dtypes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Lists the data type pandas assigned to every column.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Wrong types cause silent wrong results — e.g. a currency column stored as text would concatenate instead of sum.</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df.describe()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count, mean, std, min, 25/50/75th percentile, and max for every numeric column in one call.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Replaces calling .mean(), .min(), .max(), .std() separately — one line gives the full statistical shape at once.</w:t>
            </w:r>
          </w:p>
        </w:tc>
      </w:tr>
    </w:tbl>
    <w:p>
      <w:pPr>
        <w:pStyle w:val="Heading3"/>
        <w:spacing w:after="120" w:before="240"/>
      </w:pPr>
      <w:r>
        <w:rPr>
          <w:b/>
          <w:bCs/>
          <w:color w:val="1D4ED8"/>
          <w:sz w:val="22"/>
          <w:szCs w:val="22"/>
        </w:rPr>
        <w:t xml:space="preserve">Output Interpretation — Section 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Shape: 1,451 rows × 22 columns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full file loaded correctly.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1,451 transactions over 3 years ≈ 484 events per year across 20 MDAs — a realistic, compressed slice of government activity.</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df.head() preview</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first 5 real transactions, all 22 columns.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Reveals transaction_date is stored as plain text (a problem to fix), that some cells are blank (missing values to fix), and that is_budget_overrun is already a ready-made 0/1 flag — our main analytical target.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df.dtypes result</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14 text columns, 6 decimal-number columns, 2 whole-number columns.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transaction_date shows as text and must be converted to a real date before any date arithmetic works — this is fixed in Section 2.</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df.describe() table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budget_amount mean ≈ ₦190.2M vs actual_amount mean ≈ ₦190.4M; both have very large standard deviations relative to the mean.</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huge gap between the mean and the standard deviation is an early warning sign of a right-skewed distribution — a small number of very large transactions (federal allocations) are pulling the numbers up. This is investigated properly with skewness statistics in Section 5.</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Everything downstream depends on this first honest look. Loading successfully, seeing the real column names, spotting the text date and the missing values gives the whole class a shared, correct mental model of the data before a single chart or statistic is produced.</w:t>
      </w:r>
    </w:p>
    <w:p>
      <w:r>
        <w:br w:type="page"/>
      </w:r>
    </w:p>
    <w:p>
      <w:pPr>
        <w:pStyle w:val="Heading2"/>
        <w:spacing w:after="160" w:before="320"/>
      </w:pPr>
      <w:r>
        <w:rPr>
          <w:b/>
          <w:bCs/>
          <w:color w:val="00704A"/>
          <w:sz w:val="26"/>
          <w:szCs w:val="26"/>
        </w:rPr>
        <w:t xml:space="preserve">Section 1 — Handling Missing Values</w:t>
      </w:r>
    </w:p>
    <w:p>
      <w:pPr>
        <w:spacing w:after="160" w:line="300"/>
      </w:pPr>
      <w:r>
        <w:rPr>
          <w:sz w:val="21"/>
          <w:szCs w:val="21"/>
        </w:rPr>
        <w:t xml:space="preserve">In government financial data, a missing value is rarely random — it usually signals a procedural gap: an approval that has not yet been assigned to a named officer, a bank account not yet linked to a payment, or a utilisation figure not yet reported back from the field. Each type of gap needs its own treatment to preserve audit integrity; this section is about diagnosing and then carefully repairing those gaps.</w:t>
      </w:r>
    </w:p>
    <w:p>
      <w:pPr>
        <w:pStyle w:val="Heading3"/>
        <w:spacing w:after="120" w:before="240"/>
      </w:pPr>
      <w:r>
        <w:rPr>
          <w:b/>
          <w:bCs/>
          <w:color w:val="1D4ED8"/>
          <w:sz w:val="22"/>
          <w:szCs w:val="22"/>
        </w:rPr>
        <w:t xml:space="preserve">Code Explanation — Finding and Fixing Missing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missing = df.isnull().sum()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isnull() marks every empty cell True; .sum() counts the True values per column.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Gives an exact count of how many gaps exist in each of the 22 columns in one line.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missing_cols = missing[missing &gt; 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Keeps only the columns that actually have at least one gap.</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out the 18 columns that are already complete, so attention goes only where it is needed.</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fig, axes = plt.subplots(1, 2,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Builds a two-panel chart: one showing the % missing per column, one showing where the gaps sit.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Two different views of the same problem — scale (how much is missing) and pattern (which rows/columns) — are both needed before deciding a repair strategy.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 = df.copy()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Creates a fully independent copy of the DataFrame.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Golden rule: never edit the original raw data. df stays untouched as the audit trail; df_clean is where all repairs happen.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df_clean['approval_level'].fillna('Pending Assignment')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Fills blank approval levels with the label 'Pending Assignment'.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missing approval level is not an error to erase — it is itself a meaningful status (the sign-off has not happened yet), so it is labelled, not deleted.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df_clean['bank_name'].fillna('Unknown Bank')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Fills blank bank names with 'Unknown Bank'.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Keeps the row in the dataset for financial-total purposes while flagging that the payment channel is unverified.</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df_clean.groupby('transaction_type')['processing_days'].transform('median')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each transaction type's own median processing time and fills gaps with that group-specific value.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transform() (unlike agg()) returns one value per ROW, correctly aligned to fillna() — and a type-specific median is more honest than a single global median, because Capital Expenditure genuinely takes longer than Federal Allocation.</w:t>
            </w:r>
          </w:p>
        </w:tc>
      </w:tr>
    </w:tbl>
    <w:p>
      <w:pPr>
        <w:pStyle w:val="Heading3"/>
        <w:spacing w:after="120" w:before="240"/>
      </w:pPr>
      <w:r>
        <w:rPr>
          <w:b/>
          <w:bCs/>
          <w:color w:val="1D4ED8"/>
          <w:sz w:val="22"/>
          <w:szCs w:val="22"/>
        </w:rPr>
        <w:t xml:space="preserve">Output Interpretation —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Missing values audit: utilisation_rate_pct 59 (4.1%), bank_name 37 (2.5%), processing_days 45 (3.1%), approval_level 37 (2.5%)</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Four columns have gaps; 18 columns are completely clean.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The gaps are modest (2.5%–4.1%) and concentrated in fields that depend on a later administrative step (bank linkage, sign-off, reporting) rather than the core transaction facts — consistent with real-world procedural delay, not data corruption.</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Two-panel missing-value chart</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Left panel: bar length = % missing per column. Right panel: pattern of where the gaps physically sit in the file.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the gaps are scattered, not concentrated in one MDA or one time period — meaning it is safe to fill them statistically rather than needing to discard a whole block of records.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After treatment: '✅ Dataset complete — zero missing values.'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All four gapped columns are now fully populated using status labels ('Pending Assignment', 'Unknown Bank') or type-specific medians.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By repairing rather than deleting, all 1,451 rows are retained — including 171 rows that a lazy dropna() approach would have silently discarded, among them 15 Capital Expenditure projects and 12 Contract Payments that must not disappear from an MDA performance review.</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decision to impute intelligently rather than delete is one of the most important judgement calls in the whole notebook, and worth pausing on with your class: in public finance, a missing value is data too — throwing away the row throws away the fact that a gap exists.</w:t>
      </w:r>
    </w:p>
    <w:p>
      <w:r>
        <w:br w:type="page"/>
      </w:r>
    </w:p>
    <w:p>
      <w:pPr>
        <w:pStyle w:val="Heading2"/>
        <w:spacing w:after="160" w:before="320"/>
      </w:pPr>
      <w:r>
        <w:rPr>
          <w:b/>
          <w:bCs/>
          <w:color w:val="00704A"/>
          <w:sz w:val="26"/>
          <w:szCs w:val="26"/>
        </w:rPr>
        <w:t xml:space="preserve">Section 2 — Data Cleaning &amp; Type Conversion</w:t>
      </w:r>
    </w:p>
    <w:p>
      <w:pPr>
        <w:spacing w:after="160" w:line="300"/>
      </w:pPr>
      <w:r>
        <w:rPr>
          <w:sz w:val="21"/>
          <w:szCs w:val="21"/>
        </w:rPr>
        <w:t xml:space="preserve">This section turns raw, inconsistent data into analysis-ready data. Three separate problems are solved: dates stored as plain text, inconsistent capitalisation/spacing in text categories, and the need to convert continuous naira amounts into meaningful, discrete groups a human can reason about.</w:t>
      </w:r>
    </w:p>
    <w:p>
      <w:pPr>
        <w:pStyle w:val="Heading3"/>
        <w:spacing w:after="120" w:before="240"/>
      </w:pPr>
      <w:r>
        <w:rPr>
          <w:b/>
          <w:bCs/>
          <w:color w:val="1D4ED8"/>
          <w:sz w:val="22"/>
          <w:szCs w:val="22"/>
        </w:rPr>
        <w:t xml:space="preserve">Code Explanation — Dates, Strings, Bands, and Classification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df_clean['transaction_date'] = pd.to_datetime(df_clean['transaction_date'])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Converts the text '2021-01-15' into a real Timestamp object.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Python cannot do date arithmetic on plain text. Only after this conversion can quarters, month numbers, and week-of-year be computed.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.dt.month / .dt.isocalendar().week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Extracts the month number (1–12) and ISO week number (1–52) from every date.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.dt accessor is only available after the datetime conversion; it unlocks every subsequent time-based groupby in the notebook.</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df_clean['is_year_end'] = df_clean['month_num'].isin([11,12]).astype(int)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Flags November/December transactions as 1, all others as 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a simple binary indicator of the government fiscal year-end spending rush, used to test the 'when' question from the guiding quote.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df_clean[col].astype(str).str.strip().str.title()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For 9 text columns: forces string type, trims stray whitespace, and standardises capitalisation.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Without this, ' Lagos' and 'Lagos' would be silently treated as two different groups in every groupby — a common and very hard-to-detect bug.</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bins = [0, 10_000_000, 100_000_000, 500_000_000, inf]; pd.cut(...)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Splits actual_amount into 4 labelled bands: Micro, Small, Medium, Large.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boundaries mirror real Nigerian government approval thresholds (₦10M Director limit, ₦100M Commissioner, ₦500M Governor/FEC) — turning an unmanageable continuous scale into four meaningful groups.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def classify_financial_performance(row): ... df_clean.apply(func, axis=1)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custom function checks audit status, overrun percentage, and utilisation rate together and returns one of six performance labels per transaction.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Some decisions need more than one column at once (multi-condition logic) — .apply(axis=1) runs the function row-by-row across the whole table.</w:t>
            </w:r>
          </w:p>
        </w:tc>
      </w:tr>
    </w:tbl>
    <w:p>
      <w:pPr>
        <w:pStyle w:val="Heading3"/>
        <w:spacing w:after="120" w:before="240"/>
      </w:pPr>
      <w:r>
        <w:rPr>
          <w:b/>
          <w:bCs/>
          <w:color w:val="1D4ED8"/>
          <w:sz w:val="22"/>
          <w:szCs w:val="22"/>
        </w:rPr>
        <w:t xml:space="preserve">Output Interpretation — Section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Date range: 2021-01-01 to 2023-12-28; is_year_end: {0: 1189, 1: 262}</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All 12 months are present for all 3 years; 262 transactions fall in Nov–Dec.</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No missing months confirms a clean full-year extract. The Nov–Dec period averages 131 transactions/month vs 99/month the rest of the year — direct evidence of the year-end budget rush the guiding quote's 'when' clause is testing for.</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12 clean transaction types, 4 audit statuses, 7 payment modes, 6 approval levels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 cleaning reveals the true, de-duplicated set of categories.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Notably, 6 approval levels appear (not the 5 originally expected) — Accountant General was present in the raw data but undocumented. String cleaning did not just tidy text, it revealed a real finding.</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Size bands: Micro 347 (23.9%), Small 617 (42.5%), Medium 334 (23.0%), Large 153 (10.5%)</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Most transactions by COUNT are Small or Micro.</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Government spending is not evenly distributed: the 10.5% of transactions in the Large band (FAAC transfers, IGR, major infrastructure) represent a disproportionate share of total naira value — meaning audit resources should focus there first, even though they are the fewest in number.</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Performance classes: Compliant 550 (37.9%), Moderate Overrun 424 (29.2%), High Overrun 193 (13.3%), Under Review 173 (11.9%), Non-Compliant 90 (6.2%), Underutilised 21 (1.4%)</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transaction now carries a single, ready-to-use performance verdict.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283 transactions (High Overrun + Non-Compliant) require immediate attention — a number that becomes the backbone of every later 'who needs an audit' filter in Sections 3, 4 and 8.</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String cleaning prevents the most common silent error in groupby-based analysis — phantom duplicate groups. If even one MDA name kept a trailing space, the MDA performance table in Section 4 would split that ministry's data across two rows without any error message ever appearing.</w:t>
      </w:r>
    </w:p>
    <w:p>
      <w:r>
        <w:br w:type="page"/>
      </w:r>
    </w:p>
    <w:p>
      <w:pPr>
        <w:pStyle w:val="Heading2"/>
        <w:spacing w:after="160" w:before="320"/>
      </w:pPr>
      <w:r>
        <w:rPr>
          <w:b/>
          <w:bCs/>
          <w:color w:val="00704A"/>
          <w:sz w:val="26"/>
          <w:szCs w:val="26"/>
        </w:rPr>
        <w:t xml:space="preserve">Section 3 — Data Extraction &amp; Filtering</w:t>
      </w:r>
    </w:p>
    <w:p>
      <w:pPr>
        <w:spacing w:after="160" w:line="300"/>
      </w:pPr>
      <w:r>
        <w:rPr>
          <w:sz w:val="21"/>
          <w:szCs w:val="21"/>
        </w:rPr>
        <w:t xml:space="preserve">Targeted filtering is essential in government financial analysis. Auditors, the Public Accounts Committee, and the Accountant General all need specific subsets of the data on demand — queried transactions, budget overruns, one MDA's records, one fiscal year's activity. This section teaches the four core pandas tools for retrieving exactly the rows you need: boolean indexing, .loc/.iloc, .query(), and nlargest/nsmallest.</w:t>
      </w:r>
    </w:p>
    <w:p>
      <w:pPr>
        <w:pStyle w:val="Heading3"/>
        <w:spacing w:after="120" w:before="240"/>
      </w:pPr>
      <w:r>
        <w:rPr>
          <w:b/>
          <w:bCs/>
          <w:color w:val="1D4ED8"/>
          <w:sz w:val="22"/>
          <w:szCs w:val="22"/>
        </w:rPr>
        <w:t xml:space="preserve">Code Explanation — Filters, Label/Position Access, and Ranking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queried_txns = df_clean[df_clean['audit_status'] == 'Queried']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Boolean indexing: keeps only rows where the condition is True.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most basic and most-used filtering pattern — a plain-language condition inside square brackets returns exactly the matching subset.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df_clean.loc[0:4, ['transaction_id','mda_name',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.loc selects rows and columns by their LABEL/NAME.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Used whenever you know the column names — the most common real-world case, e.g. 'show me these six fields for these transactions'.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df_clean.loc[df_clean['actual_amount'].idxmax()]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idxmax() finds the row label of the maximum value; .loc then retrieves that entire row.</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one-line pattern answers 'show me everything about the single biggest transaction' — a constant question in audit work.</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df_clean.nlargest(10, 'actual_amount')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Returns the 10 rows with the highest actual_amount, using an efficient partial sort.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Faster than sort_values().head(10) on large data, and reads as self-documenting code.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df_clean.query("audit_status == 'Flagged For Review' and variance_pct &gt; 10")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SQL-like string filter combining two conditions with a plain-English 'and'.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.query() is easier to read at a glance than the equivalent boolean-indexing expression, especially once more than one condition is involved.</w:t>
            </w:r>
          </w:p>
        </w:tc>
      </w:tr>
    </w:tbl>
    <w:p>
      <w:pPr>
        <w:pStyle w:val="Heading3"/>
        <w:spacing w:after="120" w:before="240"/>
      </w:pPr>
      <w:r>
        <w:rPr>
          <w:b/>
          <w:bCs/>
          <w:color w:val="1D4ED8"/>
          <w:sz w:val="22"/>
          <w:szCs w:val="22"/>
        </w:rPr>
        <w:t xml:space="preserve">Output Interpretation — Section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Queried transactions: 90 — exposure ₦11.01B</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90 transactions are actively under Auditor General query.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headline audit-risk number quoted throughout the project — ₦11.01B of spending that has not yet been cleared.</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High overruns (&gt;20%): 228 — total excess ₦18,036.5M</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228 transactions exceeded budget by more than a fifth.</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budget overruns are not rare edge cases; they are a systemic pattern worth ₦18B+ in excess spend.</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Largest single transaction: LGS-2023-011163, Ministry of Finance, Federal Allocation, ₦2,513,248,763, +36.9% variance, Pending Audit</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single biggest transaction in the whole dataset is a FAAC receipt, currently unaudited.</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A positive variance here means the Federal Government transferred MORE than Lagos budgeted for — a good problem to have, but still unverified pending audit.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10 largest transactions — ALL are Federal Allocation (FAAC)</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transaction above ₦2B in the dataset is a federal disbursement, not state-generated income or spending.</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just how dominant FAAC transfers are in Lagos State's largest cash movements, and that 1 of the top 10 (₦2.08B) is Flagged For Review — the single largest audit risk item in the data.</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Flagged + &gt;10% overrun: 43 transactions — excess ₦3,069.8M; avg processing 24.2 days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combined filter of two risk conditions.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24.2 days average processing is close to the dataset-wide average of 23.7 days — showing that slow processing is NOT what is driving these particular overruns, a finding confirmed statistically later in Section 5's correlation analysis.</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In five or six lines of code, this section produces exactly the kind of ad-hoc, on-demand answer an Accountant General asks for daily: 'what are our biggest transactions and are they clean?' A manual analyst compiling the same answer from paper transaction registers would need the better part of a day.</w:t>
      </w:r>
    </w:p>
    <w:p>
      <w:r>
        <w:br w:type="page"/>
      </w:r>
    </w:p>
    <w:p>
      <w:pPr>
        <w:pStyle w:val="Heading2"/>
        <w:spacing w:after="160" w:before="320"/>
      </w:pPr>
      <w:r>
        <w:rPr>
          <w:b/>
          <w:bCs/>
          <w:color w:val="00704A"/>
          <w:sz w:val="26"/>
          <w:szCs w:val="26"/>
        </w:rPr>
        <w:t xml:space="preserve">Section 4 — Data Manipulation</w:t>
      </w:r>
    </w:p>
    <w:p>
      <w:pPr>
        <w:spacing w:after="160" w:line="300"/>
      </w:pPr>
      <w:r>
        <w:rPr>
          <w:sz w:val="21"/>
          <w:szCs w:val="21"/>
        </w:rPr>
        <w:t xml:space="preserve">Government financial reporting requires aggregation at multiple levels at once: by MDA, by transaction type, by fiscal year, and by compliance status. This section introduces the three workhorse tools of financial reporting in pandas — groupby + agg, pivot_table, and a second, more advanced use of apply() to build a composite audit-priority score.</w:t>
      </w:r>
    </w:p>
    <w:p>
      <w:pPr>
        <w:pStyle w:val="Heading3"/>
        <w:spacing w:after="120" w:before="240"/>
      </w:pPr>
      <w:r>
        <w:rPr>
          <w:b/>
          <w:bCs/>
          <w:color w:val="1D4ED8"/>
          <w:sz w:val="22"/>
          <w:szCs w:val="22"/>
        </w:rPr>
        <w:t xml:space="preserve">Code Explanation — Group Aggregation, Pivoting, and Scoring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df_clean.groupby('mda_name').agg(txn_count=('transaction_id','count'), total_budget=('budget_amount','sum'),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Splits 1,451 transactions into 20 MDA groups, then computes several named summary statistics per group in one call.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Named aggregation (new_name = (source_column, function)) is cleaner than chaining separate .agg() calls, and produces the single most important table in public finance: how is every ministry performing against its budget?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lambda x: (x=='Flagged For Review').sum()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custom aggregation counting rows with a specific status, inside the same .agg() call.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Not every aggregation has a built-in name; a lambda handles bespoke logic like 'count how many were flagged' within the same summary table.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.sort_values('total_actual', ascending=False)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Orders the MDA table by total spend, highest first.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Where the money is, is where audit attention should start — sorting by spend puts the highest-stakes ministries at the top of the report.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df_clean.pivot_table(values='actual_amount', index='transaction_type', columns='fiscal_year', aggfunc='sum')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Cross-tabulates total spend by transaction type (rows) against fiscal year (columns).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pivot table answers 'how has each category of spending trended year over year?' in one line — the same question a Finance Committee asks every budget cycle.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(spend_pivot_b[2023]-spend_pivot_b[2021])/spend_pivot_b[2021]*100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percentage growth from 2021 to 2023 for every transaction type.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Standard growth-rate formula: (New − Old) / Old × 100; converts absolute naira changes into a comparable percentage across very different transaction types.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def audit_priority_score(row): score += 40 if Queried, +25 if Flagged, +bonus if variance_pct &gt; 30,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weighted scoring function combining several risk signals into one 0–100 priority number per transaction.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Real audit teams cannot review every flagged item with equal urgency — a composite score lets them triage: which transactions deserve attention FIRST.</w:t>
            </w:r>
          </w:p>
        </w:tc>
      </w:tr>
    </w:tbl>
    <w:p>
      <w:pPr>
        <w:pStyle w:val="Heading3"/>
        <w:spacing w:after="120" w:before="240"/>
      </w:pPr>
      <w:r>
        <w:rPr>
          <w:b/>
          <w:bCs/>
          <w:color w:val="1D4ED8"/>
          <w:sz w:val="22"/>
          <w:szCs w:val="22"/>
        </w:rPr>
        <w:t xml:space="preserve">Output Interpretation — Section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MDA table, top 3 by spend: LSETF ₦21.32B (50.6% overrun), LIRS ₦20.57B (59.1% overrun), Ministry of Finance ₦17.81B (61.0% overrun)</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three highest-spending agencies also carry high overrun rates.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Ministry of Finance posting the WORST overrun rate of any MDA (61.0%) is the single most striking governance finding in the whole notebook — the ministry that is supposed to enforce budget discipline across government has the least discipline itself.</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Ministry of Education: 41.2% overrun — the lowest of any MDA</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Education has comparatively strong budget adherence.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Suggests either a stronger internal budgeting culture, or a more predictable, salary-dominated expenditure profile that is inherently easier to forecast.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Ministry of Housing: 78.3% utilisation rate — the highest of any MDA</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Housing converts its approved budget into delivered output better than any other agency.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The best-performing MDA on the 'achieve what it was supposed to achieve' clause of the guiding quote — a useful positive benchmark to hold up alongside the negative findings.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Spend-by-type pivot: Federal Allocation ₦48.00B → ₦54.06B → ₦50.79B (2021→2023, +5.8%); IGR ₦16.57B → ₦13.15B → ₦14.82B (-10.6%)</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FAAC is growing modestly; IGR (Lagos State's own-source revenue) is shrinking.</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data behind the project's central fiscal-independence warning: the revenue Lagos State can control is declining while the revenue it cannot control (federal transfers) is growing — increasing dependency, not reducing it.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Audit priority scores: Low 1,036 (71.4%), Medium 339 (23.4%), High 57 (3.9%), Critical 19 (1.3%)</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Only a small fraction of transactions carry genuinely critical composite risk.</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exactly the triage effect the score is designed to produce: instead of 1,451 equally-weighted flags, the Auditor General gets a short, prioritised list of 19 transactions that need attention first.</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MDA performance table alone replaces 20 separate ministry financial reports that would normally be compiled from 20 different Excel workbooks over 3–5 days. Python produces the same table in under a second, and it re-runs automatically the moment new transactions are added.</w:t>
      </w:r>
    </w:p>
    <w:p>
      <w:r>
        <w:br w:type="page"/>
      </w:r>
    </w:p>
    <w:p>
      <w:pPr>
        <w:pStyle w:val="Heading2"/>
        <w:spacing w:after="160" w:before="320"/>
      </w:pPr>
      <w:r>
        <w:rPr>
          <w:b/>
          <w:bCs/>
          <w:color w:val="00704A"/>
          <w:sz w:val="26"/>
          <w:szCs w:val="26"/>
        </w:rPr>
        <w:t xml:space="preserve">Section 5 — Descriptive Statistics</w:t>
      </w:r>
    </w:p>
    <w:p>
      <w:pPr>
        <w:spacing w:after="160" w:line="300"/>
      </w:pPr>
      <w:r>
        <w:rPr>
          <w:sz w:val="21"/>
          <w:szCs w:val="21"/>
        </w:rPr>
        <w:t xml:space="preserve">Financial statistics for government data need careful interpretation, because the scale spans from thousands to billions of naira and the distribution is heavily skewed by a handful of very large federal transfers. This section teaches central tendency (mean, median, mode), spread (standard deviation, percentiles, IQR, outliers), and correlation — and, crucially, teaches WHEN the mean is the wrong number to quote.</w:t>
      </w:r>
    </w:p>
    <w:p>
      <w:pPr>
        <w:pStyle w:val="Heading3"/>
        <w:spacing w:after="120" w:before="240"/>
      </w:pPr>
      <w:r>
        <w:rPr>
          <w:b/>
          <w:bCs/>
          <w:color w:val="1D4ED8"/>
          <w:sz w:val="22"/>
          <w:szCs w:val="22"/>
        </w:rPr>
        <w:t xml:space="preserve">Code Explanation — Centre, Spread, and Relationships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data.mean() / data.median() / data.mode()[0]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arithmetic average, the middle value, and the most frequent value of a column.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Mean is sensitive to extreme values; median is robust to them; mode reveals the single most repeated exact figure. Comparing all three exposes skew immediately.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data.skew()</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Pearson's skewness coefficient — a single number describing distribution asymmetry.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Positive = long right tail, negative = long left tail, near zero = symmetric. This number tells you, mathematically, whether to trust the mean or the median as the 'typical' figure.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q1, q3 = act.quantile(0.25), act.quantile(0.75); iqr = q3-q1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25th and 75th percentile and the Interquartile Range (the width of the middle 50% of the data).</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IQR is the outlier-resistant alternative to standard deviation — unaffected by the handful of multi-billion-naira FAAC transfers.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upper_fence = q3 + 1.5*iqr; outliers = df_clean[act &gt; upper_fence]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Tukey's rule: anything beyond 1.5×IQR above Q3 is statistically an outlier.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same rule that draws the whiskers on a box plot — it gives an objective, repeatable definition of 'unusually large transaction' instead of an arbitrary cut-off.</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df_clean[num_cols].corr()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every pairwise Pearson correlation between the numeric columns in a single matrix.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One call computes all 28 pairwise relationships among 8 variables at once — instead of writing 28 separate two-variable comparisons.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.sort_values(key=abs, ascending=False)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Sorts correlations by their absolute value, strongest first, regardless of sign.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correlation of −0.9 is just as strong a relationship as +0.9 — sorting by magnitude ranks by real strength, not by direction.</w:t>
            </w:r>
          </w:p>
        </w:tc>
      </w:tr>
    </w:tbl>
    <w:p>
      <w:pPr>
        <w:pStyle w:val="Heading3"/>
        <w:spacing w:after="120" w:before="240"/>
      </w:pPr>
      <w:r>
        <w:rPr>
          <w:b/>
          <w:bCs/>
          <w:color w:val="1D4ED8"/>
          <w:sz w:val="22"/>
          <w:szCs w:val="22"/>
        </w:rPr>
        <w:t xml:space="preserve">Output Interpretation — Section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actual_amount: Mean ₦190.4M vs Median ₦42.3M (mean is 4.5× the median); skew +3.114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strongly right-skewed distribution.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Reporting 'the average transaction is ₦190M' to the Governor is technically true but practically misleading — the honest 'typical' transaction is ₦42.3M; a small number of FAAC mega-transfers are pulling the mean far above where most transactions actually sit.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utilisation_rate_pct: mode = 100.00%, mean = 72.0%, left-skewed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Most projects cluster at either full (100%) utilisation or in the 70–85% range, with a tail of very low performers.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single average of 72% hides a two-group reality: some projects are fully executed while others are dragging the number down — exactly the kind of nuance an average alone cannot show.</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Percentile ladder for actual_amount: P10 ₦4M, Median ₦42M, Q3 ₦162M, P90 ₦554M, P99 ₦1.8B</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full map of where any given transaction sits relative to all others.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Gives the Auditor General statistically grounded, defensible thresholds: e.g. 'require additional review above ₦554M (P90)' instead of an arbitrary round number.</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195 outliers (13.4%) above the ₦388M Tukey fence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meaningful share of transactions are statistical outliers by size.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Crucially, these are legitimate large government transactions (FAAC, IGR, major capital projects) — not data errors. Never delete outliers in public finance without first investigating what they represent.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Correlation: budget_amount ↔ actual_amount = +0.970 (very strong); processing_days ↔ is_budget_overrun ≈ 0 (near zero)</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Budgets predict actual spend very accurately overall; but how long a payment takes has almost no relationship with whether it overruns.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disproves a very common assumption in government finance — that slow processing causes overruns. The data says otherwise: the true causes of overruns must be poor initial estimation, scope creep, or cost escalation, not processing speed.</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Understanding skewness prevents the single costliest reporting mistake in government finance — quoting the mean when the median tells the truer story. And the correlation finding on processing speed protects the government from an expensive, ineffective policy fix: spending millions on a faster e-approval system would NOT reduce the 51.5% overrun rate, because speed was never the cause.</w:t>
      </w:r>
    </w:p>
    <w:p>
      <w:r>
        <w:br w:type="page"/>
      </w:r>
    </w:p>
    <w:p>
      <w:pPr>
        <w:pStyle w:val="Heading2"/>
        <w:spacing w:after="160" w:before="320"/>
      </w:pPr>
      <w:r>
        <w:rPr>
          <w:b/>
          <w:bCs/>
          <w:color w:val="00704A"/>
          <w:sz w:val="26"/>
          <w:szCs w:val="26"/>
        </w:rPr>
        <w:t xml:space="preserve">Section 6 — Exploratory Data Analysis (EDA)</w:t>
      </w:r>
    </w:p>
    <w:p>
      <w:pPr>
        <w:spacing w:after="160" w:line="300"/>
      </w:pPr>
      <w:r>
        <w:rPr>
          <w:sz w:val="21"/>
          <w:szCs w:val="21"/>
        </w:rPr>
        <w:t xml:space="preserve">Where Section 5 produced numbers, Section 6 produces pictures of those same numbers — because a shape is often easier to teach and to remember than a statistic. Two charts are built here: six distribution histograms, and one correlation heatmap.</w:t>
      </w:r>
    </w:p>
    <w:p>
      <w:pPr>
        <w:pStyle w:val="Heading3"/>
        <w:spacing w:after="120" w:before="240"/>
      </w:pPr>
      <w:r>
        <w:rPr>
          <w:b/>
          <w:bCs/>
          <w:color w:val="1D4ED8"/>
          <w:sz w:val="22"/>
          <w:szCs w:val="22"/>
        </w:rPr>
        <w:t xml:space="preserve">Chart 1 — Six Distribution Histograms (2×3 grid)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plt.subplots(2, 3, figsize=(16,10))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a 2-row-by-3-column grid of six charts on one figure.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Six key financial metrics each need their own distribution view; a grid uses page space efficiently and allows side-by-side comparison.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ax.hist(data, bins=30,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Draws a histogram with 30 bins for the metric.</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30 bins is enough granularity to see the true shape of the distribution without the chart becoming noisy.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ax.axvline(data.mean(), color='red', linestyle='--')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a dashed red vertical line at the mean.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Lets the eye instantly compare mean position against the peak of the distribution.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ax.axvline(data.median(), color='navy', linestyle='-')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Draws a solid navy line at the median.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When the red line sits far to the right of the navy line, that is the visual signature of right-skew.</w:t>
            </w:r>
          </w:p>
        </w:tc>
      </w:tr>
    </w:tbl>
    <w:p>
      <w:pPr>
        <w:pStyle w:val="Heading3"/>
        <w:spacing w:after="120" w:before="240"/>
      </w:pPr>
      <w:r>
        <w:rPr>
          <w:b/>
          <w:bCs/>
          <w:color w:val="1D4ED8"/>
          <w:sz w:val="22"/>
          <w:szCs w:val="22"/>
        </w:rPr>
        <w:t xml:space="preserve">Chart 1 — Panel-by-Panel Interpretation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Shape</w:t>
            </w:r>
          </w:p>
        </w:tc>
        <w:tc>
          <w:tcPr>
            <w:tcW w:type="dxa" w:w="4700"/>
            <w:shd w:fill="1D3557" w:val="clear"/>
            <w:tcMar>
              <w:top w:type="dxa" w:w="80"/>
              <w:left w:type="dxa" w:w="100"/>
              <w:bottom w:type="dxa" w:w="80"/>
              <w:right w:type="dxa" w:w="100"/>
            </w:tcMar>
            <w:vAlign w:val="center"/>
          </w:tcPr>
          <w:p>
            <w:pPr>
              <w:jc w:val="left"/>
            </w:pPr>
            <w:r>
              <w:rPr>
                <w:b/>
                <w:bCs/>
                <w:color w:val="FFFFFF"/>
                <w:sz w:val="19"/>
                <w:szCs w:val="19"/>
              </w:rPr>
              <w:t xml:space="preserve">Government Meaning</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actual_amount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Strong right-skew</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Mean (₦190M) sits far to the right of the median (₦42M) — a few massive FAAC transfers dominate the tail; most transactions are small routine payments.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variance_pct</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Symmetric bell</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Mean (+0.37%) and median (+0.44%) are close together — overruns and underspends roughly balance out overall, with no systemic directional bias.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utilisation_rate_pct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Left-skewed</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Mean (72%) sits below the mode (100%) — most projects are either fully utilised or badly stalled, with few in between.</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processing_days / audit_priority_score / budget_amount</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See Section 5 statistics for detail</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Each histogram gives the visual counterpart to the numeric skew/percentile findings already discussed — useful for a class that grasps shapes faster than numbers.</w:t>
            </w:r>
          </w:p>
        </w:tc>
      </w:tr>
    </w:tbl>
    <w:p>
      <w:pPr>
        <w:pStyle w:val="Heading3"/>
        <w:spacing w:after="120" w:before="240"/>
      </w:pPr>
      <w:r>
        <w:rPr>
          <w:b/>
          <w:bCs/>
          <w:color w:val="1D4ED8"/>
          <w:sz w:val="22"/>
          <w:szCs w:val="22"/>
        </w:rPr>
        <w:t xml:space="preserve">Chart 2 — Correlation Heatmap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np.triu(np.ones_like(corr, dtype=bool))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Builds a True/False mask that is True across the upper-triangle of the matrix.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correlation matrix is symmetric (corr[A,B] = corr[B,A]); masking the duplicate upper half avoids showing the same information twice.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sns.heatmap(corr, mask=mask, cmap='RdYlGn', center=0, vmin=-1, vmax=1)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Colours every cell from red (strong negative) through yellow (near zero) to green (strong positive).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For government finance: a strongly positive budget-vs-actual correlation signals good planning; a strong overrun-vs-audit correlation signals a healthy detection system catching real problems.</w:t>
            </w:r>
          </w:p>
        </w:tc>
      </w:tr>
    </w:tbl>
    <w:p>
      <w:pPr>
        <w:spacing w:after="160" w:line="300"/>
      </w:pPr>
      <w:r>
        <w:rPr>
          <w:sz w:val="21"/>
          <w:szCs w:val="21"/>
        </w:rPr>
        <w:t xml:space="preserve">Interpretation of the heatmap: the budget_amount / actual_amount cell is the darkest green on the whole map (+0.970) — visually confirming, at a glance, that Lagos State's budgeting process is highly accurate overall. Cells involving processing_days are pale, near-white — visually confirming the earlier finding that processing speed barely relates to any other financial outcome.</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A histogram or heatmap communicates a statistical finding to a non-technical audience — a Governor or Commissioner — far faster than a table of numbers. Teaching students to pair every statistic with its visual counterpart is one of the most transferable skills in this notebook.</w:t>
      </w:r>
    </w:p>
    <w:p>
      <w:r>
        <w:br w:type="page"/>
      </w:r>
    </w:p>
    <w:p>
      <w:pPr>
        <w:pStyle w:val="Heading2"/>
        <w:spacing w:after="160" w:before="320"/>
      </w:pPr>
      <w:r>
        <w:rPr>
          <w:b/>
          <w:bCs/>
          <w:color w:val="00704A"/>
          <w:sz w:val="26"/>
          <w:szCs w:val="26"/>
        </w:rPr>
        <w:t xml:space="preserve">Section 7 — Data Visualisation</w:t>
      </w:r>
    </w:p>
    <w:p>
      <w:pPr>
        <w:spacing w:after="160" w:line="300"/>
      </w:pPr>
      <w:r>
        <w:rPr>
          <w:sz w:val="21"/>
          <w:szCs w:val="21"/>
        </w:rPr>
        <w:t xml:space="preserve">Government financial charts must be clear, accurate, and directly actionable — built so that the Commissioner for Finance, the Auditor General, and the Public Accounts Committee could use them directly in their own reports. This section builds four chart types: bar charts, a line chart, a donut + bar combination, and box plots.</w:t>
      </w:r>
    </w:p>
    <w:p>
      <w:pPr>
        <w:pStyle w:val="Heading3"/>
        <w:spacing w:after="120" w:before="240"/>
      </w:pPr>
      <w:r>
        <w:rPr>
          <w:b/>
          <w:bCs/>
          <w:color w:val="1D4ED8"/>
          <w:sz w:val="22"/>
          <w:szCs w:val="22"/>
        </w:rPr>
        <w:t xml:space="preserve">Chart 1 — Bar Charts: Transaction Type Volume + Overrun Rates</w:t>
      </w:r>
    </w:p>
    <w:p>
      <w:pPr>
        <w:spacing w:after="160" w:line="300"/>
      </w:pPr>
      <w:r>
        <w:rPr>
          <w:sz w:val="21"/>
          <w:szCs w:val="21"/>
        </w:rPr>
        <w:t xml:space="preserve">Two horizontal bar charts side by side: total actual spend by transaction type, and the overrun rate for each type, using the same sort order so the two charts can be read together.</w:t>
      </w:r>
    </w:p>
    <w:p>
      <w:pPr>
        <w:spacing w:after="160" w:line="300"/>
      </w:pPr>
      <w:r>
        <w:rPr>
          <w:sz w:val="21"/>
          <w:szCs w:val="21"/>
        </w:rPr>
        <w:t xml:space="preserve">Interpretation: transaction types with the largest total spend are not necessarily the ones with the highest overrun rates — this pairing lets the class see immediately whether 'big' and 'risky' are the same thing (they are not) for any given category.</w:t>
      </w:r>
    </w:p>
    <w:p>
      <w:pPr>
        <w:pStyle w:val="Heading3"/>
        <w:spacing w:after="120" w:before="240"/>
      </w:pPr>
      <w:r>
        <w:rPr>
          <w:b/>
          <w:bCs/>
          <w:color w:val="1D4ED8"/>
          <w:sz w:val="22"/>
          <w:szCs w:val="22"/>
        </w:rPr>
        <w:t xml:space="preserve">Chart 2 — Line Chart: Quarterly Revenue vs Expenditure Trend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df_clean.groupby(['fiscal_year','quarter']).agg(revenue=..., expenditure=...)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Groups by TWO columns at once, producing 12 quarterly data points (4 quarters × 3 years).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Multi-level groupby is how you get quarterly granularity out of year-and-quarter columns that are separate fields.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lambda x: x[df_clean.loc[x.index,'classification']=='Revenue'].sum()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Inside each quarterly group, sums only the rows classified as Revenue (a second lambda sums only Expenditure).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and Expenditure transactions are mixed together in the raw data; the lambda separates them within each quarterly bucket.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ax.fill_between(x, values, alpha=0.15)</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Shades the area under each line.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Makes the surplus gap between the revenue line and the expenditure line visually obvious, not just inferable from two separate lines.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bar_colors = [SAFE_GREEN if v&gt;0 else DANGER_RED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Colours the net-balance bars green for surplus quarters, red for deficit quarters.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Immediate visual encoding — green means fiscally healthy, red means fiscal danger — without needing to read the axis values.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tblHeader/>
        </w:trPr>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Year</w:t>
            </w:r>
          </w:p>
        </w:tc>
        <w:tc>
          <w:tcPr>
            <w:tcW w:type="dxa" w:w="1900"/>
            <w:shd w:fill="1D3557" w:val="clear"/>
            <w:tcMar>
              <w:top w:type="dxa" w:w="80"/>
              <w:left w:type="dxa" w:w="100"/>
              <w:bottom w:type="dxa" w:w="80"/>
              <w:right w:type="dxa" w:w="100"/>
            </w:tcMar>
            <w:vAlign w:val="center"/>
          </w:tcPr>
          <w:p>
            <w:pPr>
              <w:jc w:val="left"/>
            </w:pPr>
            <w:r>
              <w:rPr>
                <w:b/>
                <w:bCs/>
                <w:color w:val="FFFFFF"/>
                <w:sz w:val="19"/>
                <w:szCs w:val="19"/>
              </w:rPr>
              <w:t xml:space="preserve">Q1</w:t>
            </w:r>
          </w:p>
        </w:tc>
        <w:tc>
          <w:tcPr>
            <w:tcW w:type="dxa" w:w="1900"/>
            <w:shd w:fill="1D3557" w:val="clear"/>
            <w:tcMar>
              <w:top w:type="dxa" w:w="80"/>
              <w:left w:type="dxa" w:w="100"/>
              <w:bottom w:type="dxa" w:w="80"/>
              <w:right w:type="dxa" w:w="100"/>
            </w:tcMar>
            <w:vAlign w:val="center"/>
          </w:tcPr>
          <w:p>
            <w:pPr>
              <w:jc w:val="left"/>
            </w:pPr>
            <w:r>
              <w:rPr>
                <w:b/>
                <w:bCs/>
                <w:color w:val="FFFFFF"/>
                <w:sz w:val="19"/>
                <w:szCs w:val="19"/>
              </w:rPr>
              <w:t xml:space="preserve">Q2</w:t>
            </w:r>
          </w:p>
        </w:tc>
        <w:tc>
          <w:tcPr>
            <w:tcW w:type="dxa" w:w="1900"/>
            <w:shd w:fill="1D3557" w:val="clear"/>
            <w:tcMar>
              <w:top w:type="dxa" w:w="80"/>
              <w:left w:type="dxa" w:w="100"/>
              <w:bottom w:type="dxa" w:w="80"/>
              <w:right w:type="dxa" w:w="100"/>
            </w:tcMar>
            <w:vAlign w:val="center"/>
          </w:tcPr>
          <w:p>
            <w:pPr>
              <w:jc w:val="left"/>
            </w:pPr>
            <w:r>
              <w:rPr>
                <w:b/>
                <w:bCs/>
                <w:color w:val="FFFFFF"/>
                <w:sz w:val="19"/>
                <w:szCs w:val="19"/>
              </w:rPr>
              <w:t xml:space="preserve">Q3</w:t>
            </w:r>
          </w:p>
        </w:tc>
        <w:tc>
          <w:tcPr>
            <w:tcW w:type="dxa" w:w="1900"/>
            <w:shd w:fill="1D3557" w:val="clear"/>
            <w:tcMar>
              <w:top w:type="dxa" w:w="80"/>
              <w:left w:type="dxa" w:w="100"/>
              <w:bottom w:type="dxa" w:w="80"/>
              <w:right w:type="dxa" w:w="100"/>
            </w:tcMar>
            <w:vAlign w:val="center"/>
          </w:tcPr>
          <w:p>
            <w:pPr>
              <w:jc w:val="left"/>
            </w:pPr>
            <w:r>
              <w:rPr>
                <w:b/>
                <w:bCs/>
                <w:color w:val="FFFFFF"/>
                <w:sz w:val="19"/>
                <w:szCs w:val="19"/>
              </w:rPr>
              <w:t xml:space="preserve">Q4</w:t>
            </w:r>
          </w:p>
        </w:tc>
      </w:tr>
      <w:tr>
        <w:trPr>
          <w:tblHeader w:val="false"/>
        </w:trPr>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2021</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₦22.19B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₦27.60B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₦19.32B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₦23.58B</w:t>
            </w:r>
          </w:p>
        </w:tc>
      </w:tr>
      <w:tr>
        <w:trPr>
          <w:tblHeader w:val="false"/>
        </w:trPr>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2022</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₦23.91B</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₦29.29B</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₦24.53B</w:t>
            </w:r>
          </w:p>
        </w:tc>
        <w:tc>
          <w:tcPr>
            <w:tcW w:type="dxa" w:w="1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₦13.60B</w:t>
            </w:r>
          </w:p>
        </w:tc>
      </w:tr>
      <w:tr>
        <w:trPr>
          <w:tblHeader w:val="false"/>
        </w:trPr>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2023</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₦18.56B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₦21.91B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₦19.49B</w:t>
            </w:r>
          </w:p>
        </w:tc>
        <w:tc>
          <w:tcPr>
            <w:tcW w:type="dxa" w:w="1900"/>
            <w:tcMar>
              <w:top w:type="dxa" w:w="80"/>
              <w:left w:type="dxa" w:w="100"/>
              <w:bottom w:type="dxa" w:w="80"/>
              <w:right w:type="dxa" w:w="100"/>
            </w:tcMar>
            <w:vAlign w:val="center"/>
          </w:tcPr>
          <w:p>
            <w:pPr>
              <w:jc w:val="left"/>
            </w:pPr>
            <w:r>
              <w:rPr>
                <w:b w:val="false"/>
                <w:bCs w:val="false"/>
                <w:color w:val="1B1B1B"/>
                <w:sz w:val="19"/>
                <w:szCs w:val="19"/>
              </w:rPr>
              <w:t xml:space="preserve">₦32.29B</w:t>
            </w:r>
          </w:p>
        </w:tc>
      </w:tr>
    </w:tbl>
    <w:p>
      <w:pPr>
        <w:spacing w:after="160" w:line="300"/>
      </w:pPr>
      <w:r>
        <w:rPr>
          <w:sz w:val="21"/>
          <w:szCs w:val="21"/>
        </w:rPr>
        <w:t xml:space="preserve">Interpretation: every single quarter across all three years is a surplus — Lagos State never ran a quarterly deficit in this dataset. Q2 is consistently the strongest revenue quarter (federal allocations peak here); 2022 Q4 was the weakest quarter of the whole series at ₦13.60B, pulling that year's total down. Total: 2021 net +₦43.09B, 2022 net +₦48.67B, 2023 net +₦43.69B — a 2.92× revenue-to-expenditure ratio overall, but one that depends heavily on federal allocations that can vary unpredictably from quarter to quarter.</w:t>
      </w:r>
    </w:p>
    <w:p>
      <w:pPr>
        <w:pStyle w:val="Heading3"/>
        <w:spacing w:after="120" w:before="240"/>
      </w:pPr>
      <w:r>
        <w:rPr>
          <w:b/>
          <w:bCs/>
          <w:color w:val="1D4ED8"/>
          <w:sz w:val="22"/>
          <w:szCs w:val="22"/>
        </w:rPr>
        <w:t xml:space="preserve">Chart 3 — Revenue Sources Donut + Payment Modes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1D3557" w:val="clear"/>
            <w:tcMar>
              <w:top w:type="dxa" w:w="80"/>
              <w:left w:type="dxa" w:w="100"/>
              <w:bottom w:type="dxa" w:w="80"/>
              <w:right w:type="dxa" w:w="100"/>
            </w:tcMar>
            <w:vAlign w:val="center"/>
          </w:tcPr>
          <w:p>
            <w:pPr>
              <w:jc w:val="left"/>
            </w:pPr>
            <w:r>
              <w:rPr>
                <w:b/>
                <w:bCs/>
                <w:color w:val="FFFFFF"/>
                <w:sz w:val="19"/>
                <w:szCs w:val="19"/>
              </w:rPr>
              <w:t xml:space="preserve">Revenue Source</w:t>
            </w:r>
          </w:p>
        </w:tc>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Share</w:t>
            </w:r>
          </w:p>
        </w:tc>
        <w:tc>
          <w:tcPr>
            <w:tcW w:type="dxa" w:w="4200"/>
            <w:shd w:fill="1D3557" w:val="clear"/>
            <w:tcMar>
              <w:top w:type="dxa" w:w="80"/>
              <w:left w:type="dxa" w:w="100"/>
              <w:bottom w:type="dxa" w:w="80"/>
              <w:right w:type="dxa" w:w="100"/>
            </w:tcMar>
            <w:vAlign w:val="center"/>
          </w:tcPr>
          <w:p>
            <w:pPr>
              <w:jc w:val="left"/>
            </w:pPr>
            <w:r>
              <w:rPr>
                <w:b/>
                <w:bCs/>
                <w:color w:val="FFFFFF"/>
                <w:sz w:val="19"/>
                <w:szCs w:val="19"/>
              </w:rPr>
              <w:t xml:space="preserve">Who Controls It</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FAAC (Federal Allocation)</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74.2% (₦152.84B)</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Decided in Abuja — outside Lagos State's control</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IGR Collection</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21.6% (₦44.54B)</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Fully within Lagos State's own control</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VAT Refund</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4.1% (₦8.48B)</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Decided federally</w:t>
            </w:r>
          </w:p>
        </w:tc>
      </w:tr>
    </w:tbl>
    <w:p>
      <w:pPr>
        <w:spacing w:after="160" w:line="300"/>
      </w:pPr>
      <w:r>
        <w:rPr>
          <w:sz w:val="21"/>
          <w:szCs w:val="21"/>
        </w:rPr>
        <w:t xml:space="preserve">Interpretation: Lagos State directly controls only 21.6% of its own revenue; the remaining 78.4% is decided in Abuja. This is the single most important fiscal-independence number in the whole project, and the direct data source for the notebook's revenue-independence policy recommendation. The companion bar chart shows Cash as the least-used payment mode (₦4.87B) — the right direction for good governance, since cash is the hardest payment method to audit.</w:t>
      </w:r>
    </w:p>
    <w:p>
      <w:pPr>
        <w:pStyle w:val="Heading3"/>
        <w:spacing w:after="120" w:before="240"/>
      </w:pPr>
      <w:r>
        <w:rPr>
          <w:b/>
          <w:bCs/>
          <w:color w:val="1D4ED8"/>
          <w:sz w:val="22"/>
          <w:szCs w:val="22"/>
        </w:rPr>
        <w:t xml:space="preserve">Chart 4 — Box Plots: Processing Days &amp; Variance % by Transaction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df_clean.boxplot(column='processing_days', by='transaction_type', vert=False)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one horizontal box (median, quartiles, whiskers, outlier dots) per transaction type on shared axes.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'by' parameter is boxplot's built-in equivalent of a groupby, visualised instead of tabulated.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medianprops=dict(color='red', linewidth=2.5)</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Makes the median line thick and bright red inside every box.</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median is the single most important number in a box plot; making it visually dominant ensures it is read first.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axes[1].axvline(x=0, linestyle='--')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a reference line at 0% variance on the second box plot.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0% is the budget target; boxes sitting to the right of this line indicate systematic overspending for that transaction type.</w:t>
            </w:r>
          </w:p>
        </w:tc>
      </w:tr>
    </w:tbl>
    <w:p>
      <w:pPr>
        <w:spacing w:after="160" w:line="300"/>
      </w:pPr>
      <w:r>
        <w:rPr>
          <w:sz w:val="21"/>
          <w:szCs w:val="21"/>
        </w:rPr>
        <w:t xml:space="preserve">Interpretation: Federal Allocation and Personnel Cost both show narrow boxes around 18–20 days — highly predictable, scheduled payments. Capital Expenditure shows a wide box spanning roughly 1 to 45 days — procurement complexity creates real unpredictability, which is exactly the kind of variation an average alone would hide. This is the key teaching point of a box plot: the mean processing time for Capital Expenditure might be an acceptable 24 days, but some projects take 44 days — the RANGE, not just the average, is what tells the Procurement Director that standardisation is needed.</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These seven chart types form the visual toolkit any Nigerian government data analyst needs: bar charts for category comparison, line charts for time trends, donut charts for composition, and box plots for consistency/spread. Every chart in this section is designed to be dropped directly into an Executive Council slide deck.</w:t>
      </w:r>
    </w:p>
    <w:p>
      <w:r>
        <w:br w:type="page"/>
      </w:r>
    </w:p>
    <w:p>
      <w:pPr>
        <w:pStyle w:val="Heading2"/>
        <w:spacing w:after="160" w:before="320"/>
      </w:pPr>
      <w:r>
        <w:rPr>
          <w:b/>
          <w:bCs/>
          <w:color w:val="00704A"/>
          <w:sz w:val="26"/>
          <w:szCs w:val="26"/>
        </w:rPr>
        <w:t xml:space="preserve">Section 8 — Financial KPIs &amp; Governance Dashboard</w:t>
      </w:r>
    </w:p>
    <w:p>
      <w:pPr>
        <w:spacing w:after="160" w:line="300"/>
      </w:pPr>
      <w:r>
        <w:rPr>
          <w:sz w:val="21"/>
          <w:szCs w:val="21"/>
        </w:rPr>
        <w:t xml:space="preserve">KPIs for government finance go beyond simple revenue and expenditure totals — they must measure fiscal discipline, audit compliance, service-delivery efficiency, and revenue independence together. This section builds the single KPI dashboard the Commissioner for Finance would present to the Governor, plus four MDA benchmarking panels.</w:t>
      </w:r>
    </w:p>
    <w:p>
      <w:pPr>
        <w:pStyle w:val="Heading3"/>
        <w:spacing w:after="120" w:before="240"/>
      </w:pPr>
      <w:r>
        <w:rPr>
          <w:b/>
          <w:bCs/>
          <w:color w:val="1D4ED8"/>
          <w:sz w:val="22"/>
          <w:szCs w:val="22"/>
        </w:rPr>
        <w:t xml:space="preserve">Code Explanation — The KPI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revenue_txns = df_clean[df_clean['classification']=='Revenue']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Filters to only revenue rows (a second line filters to only expenditure rows).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Income and spending must be separated before any fiscal-balance calculation can be made.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igr_total / total_revenue * 100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IGR as a percentage of total revenue.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core revenue-independence metric — higher means less dependence on federal transfers.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total_revenue / total_expenditure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revenue-to-expenditure ratio.</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fiscal sustainability ratio: if this ever falls below 1.0, the government is spending more than it earns.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f'₦{total_budget:&gt;20,.0f}'</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Formats large numbers with comma separators and right alignment.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₦275,980,919,256 is legible; the raw unformatted number is not.</w:t>
            </w:r>
          </w:p>
        </w:tc>
      </w:tr>
    </w:tbl>
    <w:p>
      <w:pPr>
        <w:pStyle w:val="Heading3"/>
        <w:spacing w:after="120" w:before="240"/>
      </w:pPr>
      <w:r>
        <w:rPr>
          <w:b/>
          <w:bCs/>
          <w:color w:val="1D4ED8"/>
          <w:sz w:val="22"/>
          <w:szCs w:val="22"/>
        </w:rPr>
        <w:t xml:space="preserve">Output — The Full KPI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transactions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1,451</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budgeted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₦275,980,919,256</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actual</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₦276,267,782,248</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Overall budget variance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+₦286,862,991 (+0.1%)</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revenue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₦205,858,913,473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expenditure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₦70,408,868,775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Net fiscal balance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+₦135,450,044,698 (SURPLUS)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Budget overrun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51.5%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Audit flagged count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173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Audit queried count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Average processing days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23.7 days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Average budget utilisation</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72.0%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IGR dependency ratio</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21.6%</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FAAC dependency ratio</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74.2%</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Revenue : expenditure ratio</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2.92×</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Unique MDAs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w:t>
            </w:r>
          </w:p>
        </w:tc>
      </w:tr>
    </w:tbl>
    <w:p>
      <w:pPr>
        <w:pStyle w:val="Heading3"/>
        <w:spacing w:after="120" w:before="240"/>
      </w:pPr>
      <w:r>
        <w:rPr>
          <w:b/>
          <w:bCs/>
          <w:color w:val="1D4ED8"/>
          <w:sz w:val="22"/>
          <w:szCs w:val="22"/>
        </w:rPr>
        <w:t xml:space="preserve">KPI Benchmark Interpretation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39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15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900"/>
            <w:shd w:fill="1D3557" w:val="clear"/>
            <w:tcMar>
              <w:top w:type="dxa" w:w="80"/>
              <w:left w:type="dxa" w:w="100"/>
              <w:bottom w:type="dxa" w:w="80"/>
              <w:right w:type="dxa" w:w="100"/>
            </w:tcMar>
            <w:vAlign w:val="center"/>
          </w:tcPr>
          <w:p>
            <w:pPr>
              <w:jc w:val="left"/>
            </w:pPr>
            <w:r>
              <w:rPr>
                <w:b/>
                <w:bCs/>
                <w:color w:val="FFFFFF"/>
                <w:sz w:val="19"/>
                <w:szCs w:val="19"/>
              </w:rPr>
              <w:t xml:space="preserve">Recommended Action</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Budget overrun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51.5% (target &lt;25%)</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CRITICAL</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Mandatory mid-year budget reviews; performance bonds for repeat offenders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Avg utilisation</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72.0% (target ≥85%)</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BELOW TARGET</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Reform procurement timelines; penalise late project starts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FAAC dependency</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74.2% (target &lt;50%)</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HIGH RISK</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Grow IGR through tax digitisation to reduce federal reliance</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IGR growth</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-10.6% (target ≥+10%/yr)</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DECLINING</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Digitise property tax; expand the Land Use Charge base</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Queried transactions</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90, ₦11.01B (target &lt;2%)</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CRITICAL</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90-day resolution mandate; special audit for repeat MDAs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Processing days</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23.7 (target &lt;21 days)</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NEAR TARGET</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An e-approval system would close most of this gap</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Net fiscal balance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+₦135.45B</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STRONG</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Maintain discipline; consider channelling surplus into infrastructure bonds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 expenditure</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2.92× (target ≥2.0×)</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STRONG</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Lagos generates ₦2.92 for every ₦1 it spends — a healthy structural position</w:t>
            </w:r>
          </w:p>
        </w:tc>
      </w:tr>
    </w:tbl>
    <w:p>
      <w:pPr>
        <w:pStyle w:val="Heading3"/>
        <w:spacing w:after="120" w:before="240"/>
      </w:pPr>
      <w:r>
        <w:rPr>
          <w:b/>
          <w:bCs/>
          <w:color w:val="1D4ED8"/>
          <w:sz w:val="22"/>
          <w:szCs w:val="22"/>
        </w:rPr>
        <w:t xml:space="preserve">MDA Benchmark Panels — Four-Panel Chart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69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Top 10 MDAs by actual spend</w:t>
            </w:r>
          </w:p>
        </w:tc>
        <w:tc>
          <w:tcPr>
            <w:tcW w:type="dxa" w:w="6900"/>
            <w:tcMar>
              <w:top w:type="dxa" w:w="80"/>
              <w:left w:type="dxa" w:w="100"/>
              <w:bottom w:type="dxa" w:w="80"/>
              <w:right w:type="dxa" w:w="100"/>
            </w:tcMar>
            <w:vAlign w:val="center"/>
          </w:tcPr>
          <w:p>
            <w:pPr>
              <w:jc w:val="left"/>
            </w:pPr>
            <w:r>
              <w:rPr>
                <w:b w:val="false"/>
                <w:bCs w:val="false"/>
                <w:color w:val="1B1B1B"/>
                <w:sz w:val="19"/>
                <w:szCs w:val="19"/>
              </w:rPr>
              <w:t xml:space="preserve">LSETF (₦21.32B) and LIRS (₦20.57B) lead — their books carry the FAAC/IGR mega-transactions. Ministry of Finance (₦17.81B) is third, coordinating all government financial flows.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10 MDAs by overrun rate</w:t>
            </w:r>
          </w:p>
        </w:tc>
        <w:tc>
          <w:tcPr>
            <w:tcW w:type="dxa" w:w="6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Ministry of Finance tops this list too, at 61.0% — the governance paradox: the ministry responsible for enforcing budget discipline has the worst discipline of any agency. Works &amp; Infrastructure (59.2%) and LIRS (59.1%) follow closely.</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Budget utilisation by MDA</w:t>
            </w:r>
          </w:p>
        </w:tc>
        <w:tc>
          <w:tcPr>
            <w:tcW w:type="dxa" w:w="6900"/>
            <w:tcMar>
              <w:top w:type="dxa" w:w="80"/>
              <w:left w:type="dxa" w:w="100"/>
              <w:bottom w:type="dxa" w:w="80"/>
              <w:right w:type="dxa" w:w="100"/>
            </w:tcMar>
            <w:vAlign w:val="center"/>
          </w:tcPr>
          <w:p>
            <w:pPr>
              <w:jc w:val="left"/>
            </w:pPr>
            <w:r>
              <w:rPr>
                <w:b w:val="false"/>
                <w:bCs w:val="false"/>
                <w:color w:val="1B1B1B"/>
                <w:sz w:val="19"/>
                <w:szCs w:val="19"/>
              </w:rPr>
              <w:t xml:space="preserve">Ministry of Housing leads at 78.3%; LASBCA trails at 68.7%. 13 of the 20 MDAs sit below the 70% reference line drawn on the chart.</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Audit issues by MDA (Flagged + Queried)</w:t>
            </w:r>
          </w:p>
        </w:tc>
        <w:tc>
          <w:tcPr>
            <w:tcW w:type="dxa" w:w="6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Office of the Governor has the most audit issues of any MDA (17 flagged + 7 queried = 24) — a striking finding, since this office should model the financial discipline it expects of others.</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These four panels together function as a complete MDA performance scorecard — equivalent to a 20-page ministry-by-ministry review document, generated instantly and updated automatically whenever new data arrives.</w:t>
      </w:r>
    </w:p>
    <w:p>
      <w:r>
        <w:br w:type="page"/>
      </w:r>
    </w:p>
    <w:p>
      <w:pPr>
        <w:pStyle w:val="Heading2"/>
        <w:spacing w:after="160" w:before="320"/>
      </w:pPr>
      <w:r>
        <w:rPr>
          <w:b/>
          <w:bCs/>
          <w:color w:val="00704A"/>
          <w:sz w:val="26"/>
          <w:szCs w:val="26"/>
        </w:rPr>
        <w:t xml:space="preserve">Section 9 — Capstone: Full Financial Intelligence Dashboard</w:t>
      </w:r>
    </w:p>
    <w:p>
      <w:pPr>
        <w:spacing w:after="160" w:line="300"/>
      </w:pPr>
      <w:r>
        <w:rPr>
          <w:sz w:val="21"/>
          <w:szCs w:val="21"/>
        </w:rPr>
        <w:t xml:space="preserve">The final section assembles everything into one nine-panel dashboard — the kind of single-page intelligence report presented at a Lagos State Executive Council meeting or shared with the Federal Ministry of Finance — and closes with five concrete, data-justified policy recommendations.</w:t>
      </w:r>
    </w:p>
    <w:p>
      <w:pPr>
        <w:pStyle w:val="Heading3"/>
        <w:spacing w:after="120" w:before="240"/>
      </w:pPr>
      <w:r>
        <w:rPr>
          <w:b/>
          <w:bCs/>
          <w:color w:val="1D4ED8"/>
          <w:sz w:val="22"/>
          <w:szCs w:val="22"/>
        </w:rPr>
        <w:t xml:space="preserve">The Nine-Panel Dashboard — What Each Panel Shows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500"/>
      </w:tblGrid>
      <w:tr>
        <w:trPr>
          <w:tblHeader/>
        </w:trPr>
        <w:tc>
          <w:tcPr>
            <w:tcW w:type="dxa" w:w="14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Chart Type</w:t>
            </w:r>
          </w:p>
        </w:tc>
        <w:tc>
          <w:tcPr>
            <w:tcW w:type="dxa" w:w="55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1</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Grouped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Quarterly spend by fiscal year, one bar cluster per year, colour-coded by quarter</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Donut</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vs. Expenditure composition — visually reinforcing the 2.92× surplus ratio</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3</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Line + area</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Monthly transaction volume across all three years combined, showing seasonal rhythm</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Pie</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Audit status distribution — Cleared, Pending Audit, Flagged For Review, Queried</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5–9</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Bar / box / heatmap combinations</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Repeat and reinforce the MDA performance, overrun, utilisation and correlation findings from Sections 4–8 in a single consolidated view</w:t>
            </w:r>
          </w:p>
        </w:tc>
      </w:tr>
    </w:tbl>
    <w:p>
      <w:pPr>
        <w:pStyle w:val="Heading3"/>
        <w:spacing w:after="120" w:before="240"/>
      </w:pPr>
      <w:r>
        <w:rPr>
          <w:b/>
          <w:bCs/>
          <w:color w:val="1D4ED8"/>
          <w:sz w:val="22"/>
          <w:szCs w:val="22"/>
        </w:rPr>
        <w:t xml:space="preserve">The Five Final Policy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D3557" w:val="clear"/>
            <w:tcMar>
              <w:top w:type="dxa" w:w="80"/>
              <w:left w:type="dxa" w:w="100"/>
              <w:bottom w:type="dxa" w:w="80"/>
              <w:right w:type="dxa" w:w="100"/>
            </w:tcMar>
            <w:vAlign w:val="center"/>
          </w:tcPr>
          <w:p>
            <w:pPr>
              <w:jc w:val="left"/>
            </w:pPr>
            <w:r>
              <w:rPr>
                <w:b/>
                <w:bCs/>
                <w:color w:val="FFFFFF"/>
                <w:sz w:val="19"/>
                <w:szCs w:val="19"/>
              </w:rPr>
              <w:t xml:space="preserve">Recommendation</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The Data That Justifies It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Action Proposed</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1. Mandatory mid-year budget reviews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51.5% overall overrun rate; Ministry of Finance at 61.0%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Introduce performance bonds for MDAs with a repeated &gt;50% overrun history</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 IGR digitisation drive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IGR fell from ₦16.57B (2021) to ₦14.82B (2023), a -10.6% decline, while FAAC dependency sits at 74.2%</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Digitise property tax, enforce consumption tax collection, and expand the Land Use Charge base</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3. 90-day audit resolution mandate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90 Queried transactions worth ₦11.01B in unresolved exposure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MDAs with more than 5 queried transactions face a special audit from the Auditor General's office</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 Procurement timeline reform</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72.0% average utilisation vs an 85% target; 193 High Overrun transactions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Reform procurement timelines; penalise MDAs that fail to initiate capital projects within Q1 of the fiscal year</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5. Enhanced oversight of the Governor's Office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17 Flagged + 7 Queried = 24 audit issues, the highest of any MDA</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Apply the same audit scrutiny to the Governor's Office that is expected of every other MDA</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From 1,451 raw rows of transaction data to five concrete, defensible government policy recommendations — this is the complete value chain a data analyst is expected to deliver, and it is what your students should be able to explain, unaided, at the end of this training session.</w:t>
      </w:r>
    </w:p>
    <w:p>
      <w:r>
        <w:br w:type="page"/>
      </w:r>
    </w:p>
    <w:p>
      <w:pPr>
        <w:pStyle w:val="Heading1"/>
        <w:pBdr>
          <w:bottom w:val="single" w:color="1D3557" w:sz="6" w:space="4"/>
        </w:pBdr>
        <w:spacing w:after="200" w:before="400"/>
      </w:pPr>
      <w:r>
        <w:rPr>
          <w:b/>
          <w:bCs/>
          <w:color w:val="1D3557"/>
          <w:sz w:val="32"/>
          <w:szCs w:val="32"/>
        </w:rPr>
        <w:t xml:space="preserve">Part Three — The Complete Project Journey</w:t>
      </w:r>
    </w:p>
    <w:p>
      <w:pPr>
        <w:spacing w:after="160" w:line="300"/>
      </w:pPr>
      <w:r>
        <w:rPr>
          <w:sz w:val="21"/>
          <w:szCs w:val="21"/>
        </w:rPr>
        <w:t xml:space="preserve">A useful way to close the session is to walk the class back through the entire pipeline in one breath, from raw data to policy: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D3557"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5800"/>
            <w:shd w:fill="1D3557" w:val="clear"/>
            <w:tcMar>
              <w:top w:type="dxa" w:w="80"/>
              <w:left w:type="dxa" w:w="100"/>
              <w:bottom w:type="dxa" w:w="80"/>
              <w:right w:type="dxa" w:w="100"/>
            </w:tcMar>
            <w:vAlign w:val="center"/>
          </w:tcPr>
          <w:p>
            <w:pPr>
              <w:jc w:val="left"/>
            </w:pPr>
            <w:r>
              <w:rPr>
                <w:b/>
                <w:bCs/>
                <w:color w:val="FFFFFF"/>
                <w:sz w:val="19"/>
                <w:szCs w:val="19"/>
              </w:rPr>
              <w:t xml:space="preserve">What Happened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Raw data (1,451 rows)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single CSV of individual government transactions, dates as text, some fields blank</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0 — Load &amp; Inspect</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Confirmed the file loaded correctly; identified the two problems (text dates, missing values) that Sections 1–2 exist to fix</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1 — Missing Values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178 gaps across 4 columns repaired using status labels and type-specific medians, with zero rows lost</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2 — Clean &amp; Classify</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Dates converted to real dates; text standardised; 4 new engineered columns added (transaction band, performance class, month number, year-end flag)</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3 — Extraction &amp; Filtering</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Five targeted filters built — queried transactions, high overruns, top-10 by size, and more</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4 — Data Manipulation</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 MDAs ranked by spend, overrun, and utilisation; a composite 0–100 audit priority score created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5 — Descriptive Statistics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Distributions quantified; the mean-vs-median trap and the processing-speed-does-not-cause-overruns finding both established</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6 — EDA</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Distributions and correlations turned into visual evidence — histograms and a heatmap</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7 — Visualisation</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Seven chart types built: bar, line, donut, box plot — each dashboard-ready</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8 — Financial KPIs</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16 governance metrics compiled into one KPI dashboard, benchmarked against targets</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9 — Capstone</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nine-panel intelligence dashboard and five policy recommendations delivered</w:t>
            </w:r>
          </w:p>
        </w:tc>
      </w:tr>
    </w:tbl>
    <w:p>
      <w:pPr>
        <w:pStyle w:val="Heading2"/>
        <w:spacing w:after="160" w:before="320"/>
      </w:pPr>
      <w:r>
        <w:rPr>
          <w:b/>
          <w:bCs/>
          <w:color w:val="00704A"/>
          <w:sz w:val="26"/>
          <w:szCs w:val="26"/>
        </w:rPr>
        <w:t xml:space="preserve">What This Project Demonstrates</w:t>
      </w:r>
    </w:p>
    <w:p>
      <w:pPr>
        <w:pStyle w:val="ListParagraph"/>
        <w:numPr>
          <w:ilvl w:val="0"/>
          <w:numId w:val="1"/>
        </w:numPr>
        <w:spacing w:after="90" w:line="290"/>
      </w:pPr>
      <w:r>
        <w:rPr>
          <w:sz w:val="21"/>
          <w:szCs w:val="21"/>
        </w:rPr>
        <w:t xml:space="preserve">In 73 notebook cells and under two hours of runtime, this analysis produces work that would take a team of ten government accountants roughly three months to compile manually.</w:t>
      </w:r>
    </w:p>
    <w:p>
      <w:pPr>
        <w:pStyle w:val="ListParagraph"/>
        <w:numPr>
          <w:ilvl w:val="0"/>
          <w:numId w:val="1"/>
        </w:numPr>
        <w:spacing w:after="90" w:line="290"/>
      </w:pPr>
      <w:r>
        <w:rPr>
          <w:sz w:val="21"/>
          <w:szCs w:val="21"/>
        </w:rPr>
        <w:t xml:space="preserve">It converts raw, unglamorous transaction records into audit-ready, policy-actionable intelligence.</w:t>
      </w:r>
    </w:p>
    <w:p>
      <w:pPr>
        <w:pStyle w:val="ListParagraph"/>
        <w:numPr>
          <w:ilvl w:val="0"/>
          <w:numId w:val="1"/>
        </w:numPr>
        <w:spacing w:after="90" w:line="290"/>
      </w:pPr>
      <w:r>
        <w:rPr>
          <w:sz w:val="21"/>
          <w:szCs w:val="21"/>
        </w:rPr>
        <w:t xml:space="preserve">It identifies ₦11.01B in queried transactions and ₦18.04B in high-overrun spending that a manual review process would very likely miss.</w:t>
      </w:r>
    </w:p>
    <w:p>
      <w:pPr>
        <w:pStyle w:val="ListParagraph"/>
        <w:numPr>
          <w:ilvl w:val="0"/>
          <w:numId w:val="1"/>
        </w:numPr>
        <w:spacing w:after="90" w:line="290"/>
      </w:pPr>
      <w:r>
        <w:rPr>
          <w:sz w:val="21"/>
          <w:szCs w:val="21"/>
        </w:rPr>
        <w:t xml:space="preserve">It gives the Governor a complete fiscal health picture — not just totals, but trends, MDA-level benchmarks, and root causes.</w:t>
      </w:r>
    </w:p>
    <w:p>
      <w:pPr>
        <w:pStyle w:val="Heading2"/>
        <w:spacing w:after="160" w:before="320"/>
      </w:pPr>
      <w:r>
        <w:rPr>
          <w:b/>
          <w:bCs/>
          <w:color w:val="00704A"/>
          <w:sz w:val="26"/>
          <w:szCs w:val="26"/>
        </w:rPr>
        <w:t xml:space="preserve">Closing the Loop — Back to the Guiding Quote</w:t>
      </w:r>
    </w:p>
    <w:p>
      <w:pPr>
        <w:pBdr>
          <w:left w:val="single" w:color="00704A" w:sz="24" w:space="8"/>
        </w:pBdr>
        <w:shd w:fill="F0F4F8" w:val="clear"/>
        <w:spacing w:after="200" w:before="200"/>
        <w:ind w:left="500" w:right="500"/>
      </w:pPr>
      <w:r>
        <w:rPr>
          <w:i/>
          <w:iCs/>
          <w:color w:val="1B1B1B"/>
          <w:sz w:val="22"/>
          <w:szCs w:val="22"/>
        </w:rPr>
        <w:t xml:space="preserve">"We approved a budget — did the money go where it was supposed to go, when it was supposed to go, and achieve what it was supposed to achieve?"</w:t>
      </w:r>
    </w:p>
    <w:p>
      <w:pPr>
        <w:spacing w:after="160" w:line="300"/>
      </w:pPr>
      <w:r>
        <w:rPr>
          <w:sz w:val="21"/>
          <w:szCs w:val="21"/>
        </w:rPr>
        <w:t xml:space="preserve">By the end of the notebook, all three clauses of the opening quote have been answered with real evidence from the data. DID IT GO WHERE IT WAS SUPPOSED TO GO — mostly yes, with 90 queried and 173 flagged transactions requiring further scrutiny. DID IT GO WHEN IT WAS SUPPOSED TO GO — largely yes, though a clear year-end spending rush is visible in November and December. DID IT ACHIEVE WHAT IT WAS SUPPOSED TO ACHIEVE — only partially, with a 72.0% average utilisation rate against an 85% target, and a 51.5% budget overrun rate that shows discipline remains the state's single biggest governance challenge. This is the story you are teaching: not just how to write pandas code, but how to use it to hold a ₦275 billion government financial system honestly accountable to the promise it made when the budget was first approved.</w:t>
      </w:r>
    </w:p>
    <w:p>
      <w:pPr>
        <w:spacing w:after="300"/>
      </w:pPr>
    </w:p>
    <w:p>
      <w:pPr>
        <w:jc w:val="center"/>
      </w:pPr>
      <w:r>
        <w:rPr>
          <w:b/>
          <w:bCs/>
          <w:color w:val="1D3557"/>
          <w:sz w:val="20"/>
          <w:szCs w:val="20"/>
        </w:rPr>
        <w:t xml:space="preserve">Prepared for: Zedcrest Capital Data Analyst Training Programme</w:t>
      </w:r>
    </w:p>
    <w:p>
      <w:pPr>
        <w:jc w:val="center"/>
      </w:pPr>
      <w:r>
        <w:rPr>
          <w:color w:val="00704A"/>
          <w:sz w:val="20"/>
          <w:szCs w:val="20"/>
        </w:rPr>
        <w:t xml:space="preserve">Trainer: Kajola Gbenga Adewale | Data Expert | 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Lagos State Financial Analytics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Lagos State Government Financial &amp; Budget Analytics — Teaching Guide</dc:title>
  <dc:creator>Kajola Gbenga Adewale</dc:creator>
  <cp:lastModifiedBy>Un-named</cp:lastModifiedBy>
  <cp:revision>1</cp:revision>
  <dcterms:created xsi:type="dcterms:W3CDTF">2026-07-06T23:03:28.556Z</dcterms:created>
  <dcterms:modified xsi:type="dcterms:W3CDTF">2026-07-06T23:03:28.568Z</dcterms:modified>
</cp:coreProperties>
</file>

<file path=docProps/custom.xml><?xml version="1.0" encoding="utf-8"?>
<Properties xmlns="http://schemas.openxmlformats.org/officeDocument/2006/custom-properties" xmlns:vt="http://schemas.openxmlformats.org/officeDocument/2006/docPropsVTypes"/>
</file>