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1A0F" w:val="clear"/>
            <w:tcMar>
              <w:top w:type="dxa" w:w="480"/>
              <w:left w:type="dxa" w:w="400"/>
              <w:bottom w:type="dxa" w:w="480"/>
              <w:right w:type="dxa" w:w="400"/>
            </w:tcMar>
          </w:tcPr>
          <w:p>
            <w:pPr>
              <w:spacing w:after="60" w:before="0"/>
              <w:jc w:val="center"/>
            </w:pPr>
            <w:r>
              <w:rPr>
                <w:rFonts w:ascii="Arial" w:cs="Arial" w:eastAsia="Arial" w:hAnsi="Arial"/>
                <w:b/>
                <w:bCs/>
                <w:color w:val="D4AC0D"/>
                <w:sz w:val="36"/>
                <w:szCs w:val="36"/>
              </w:rPr>
              <w:t xml:space="preserve">LAGOS STATE GOVERNMENT</w:t>
            </w:r>
          </w:p>
          <w:p>
            <w:pPr>
              <w:spacing w:after="200" w:before="0"/>
              <w:jc w:val="center"/>
            </w:pPr>
            <w:r>
              <w:rPr>
                <w:rFonts w:ascii="Arial" w:cs="Arial" w:eastAsia="Arial" w:hAnsi="Arial"/>
                <w:color w:val="94A3B8"/>
                <w:sz w:val="20"/>
                <w:szCs w:val="20"/>
              </w:rPr>
              <w:t xml:space="preserve">FINANCIAL &amp; BUDGET ANALYTICS — COMPREHENSIVE STUDY NOTES</w:t>
            </w:r>
          </w:p>
          <w:p>
            <w:pPr>
              <w:spacing w:after="60" w:before="200"/>
              <w:jc w:val="center"/>
            </w:pPr>
            <w:r>
              <w:rPr>
                <w:rFonts w:ascii="Arial" w:cs="Arial" w:eastAsia="Arial" w:hAnsi="Arial"/>
                <w:b/>
                <w:bCs/>
                <w:color w:val="FFFFFF"/>
                <w:sz w:val="22"/>
                <w:szCs w:val="22"/>
              </w:rPr>
              <w:t xml:space="preserve">Dataset: lagos_finance_data.csv</w:t>
            </w:r>
          </w:p>
          <w:p>
            <w:pPr>
              <w:spacing w:after="80" w:before="0"/>
              <w:jc w:val="center"/>
            </w:pPr>
            <w:r>
              <w:rPr>
                <w:rFonts w:ascii="Arial" w:cs="Arial" w:eastAsia="Arial" w:hAnsi="Arial"/>
                <w:color w:val="D4AC0D"/>
                <w:sz w:val="20"/>
                <w:szCs w:val="20"/>
              </w:rPr>
              <w:t xml:space="preserve">1,451 Transactions  |  22 Columns  |  Fiscal Years 2021-2023  |  N276.3B Total</w:t>
            </w:r>
          </w:p>
          <w:p>
            <w:pPr>
              <w:spacing w:after="40" w:before="180"/>
              <w:jc w:val="center"/>
            </w:pPr>
            <w:r>
              <w:rPr>
                <w:rFonts w:ascii="Arial" w:cs="Arial" w:eastAsia="Arial" w:hAnsi="Arial"/>
                <w:b/>
                <w:bCs/>
                <w:color w:val="FFFFFF"/>
                <w:sz w:val="19"/>
                <w:szCs w:val="19"/>
              </w:rPr>
              <w:t xml:space="preserve">Zedcrest Capital | Prodigy Training Hub | Kajola Gbenga Adewale | 2026</w:t>
            </w:r>
          </w:p>
          <w:p>
            <w:pPr>
              <w:spacing w:after="0" w:before="0"/>
              <w:jc w:val="center"/>
            </w:pPr>
            <w:r>
              <w:rPr>
                <w:rFonts w:ascii="Arial" w:cs="Arial" w:eastAsia="Arial" w:hAnsi="Arial"/>
                <w:color w:val="475569"/>
                <w:sz w:val="17"/>
                <w:szCs w:val="17"/>
              </w:rPr>
              <w:t xml:space="preserve">CONFIDENTIAL — All outputs verified from actual notebook execution</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D" w:sz="8"/>
              <w:left w:val="single" w:color="D4AC0D" w:sz="8"/>
              <w:bottom w:val="single" w:color="BDC3C7" w:sz="1"/>
              <w:right w:val="single" w:color="BDC3C7" w:sz="1"/>
            </w:tcBorders>
            <w:shd w:fill="FEF9E7" w:val="clear"/>
            <w:tcMar>
              <w:top w:type="dxa" w:w="100"/>
              <w:left w:type="dxa" w:w="180"/>
              <w:bottom w:type="dxa" w:w="100"/>
              <w:right w:type="dxa" w:w="180"/>
            </w:tcMar>
          </w:tcPr>
          <w:p>
            <w:pPr>
              <w:spacing w:after="60" w:before="0"/>
            </w:pPr>
            <w:r>
              <w:rPr>
                <w:rFonts w:ascii="Arial" w:cs="Arial" w:eastAsia="Arial" w:hAnsi="Arial"/>
                <w:b/>
                <w:bCs/>
                <w:color w:val="D4AC0D"/>
                <w:sz w:val="20"/>
                <w:szCs w:val="20"/>
              </w:rPr>
              <w:t xml:space="preserve">About This Document</w:t>
            </w:r>
          </w:p>
          <w:p>
            <w:pPr>
              <w:spacing w:after="0" w:before="0"/>
            </w:pPr>
            <w:r>
              <w:rPr>
                <w:rFonts w:ascii="Arial" w:cs="Arial" w:eastAsia="Arial" w:hAnsi="Arial"/>
                <w:color w:val="2C3E50"/>
                <w:sz w:val="20"/>
                <w:szCs w:val="20"/>
              </w:rPr>
              <w:t xml:space="preserve">This document is the complete companion to Lagos_Finance_Analytics.ipynb and lagos_finance_data.csv. It covers: (1) the aim and business context of Lagos State financial analytics; (2) every column in the dataset with its meaning and government finance significance; (3) every code cell explained line by line with verified outputs; (4) every chart and statistical output interpreted in a public sector finance context; (5) the complete KPI dashboard with benchmarks; and (6) data-driven policy recommendations for the Commissioner for Finance.</w:t>
            </w:r>
          </w:p>
        </w:tc>
      </w:tr>
    </w:tbl>
    <w:p>
      <w:pPr>
        <w:spacing w:after="0" w:before="200"/>
      </w:pPr>
      <w:r>
        <w:t xml:space="preserve"/>
      </w:r>
    </w:p>
    <w:p>
      <w:pPr>
        <w:pBdr>
          <w:bottom w:val="single" w:color="BDC3C7" w:sz="2" w:space="1"/>
        </w:pBdr>
        <w:spacing w:after="200" w:before="200"/>
      </w:pPr>
      <w:r>
        <w:t xml:space="preserve"/>
      </w:r>
    </w:p>
    <w:p>
      <w:pPr>
        <w:pStyle w:val="Heading1"/>
        <w:pBdr>
          <w:bottom w:val="single" w:color="D4AC0D" w:sz="6" w:space="6"/>
        </w:pBdr>
        <w:spacing w:after="120" w:before="400"/>
      </w:pPr>
      <w:r>
        <w:rPr>
          <w:rFonts w:ascii="Arial" w:cs="Arial" w:eastAsia="Arial" w:hAnsi="Arial"/>
          <w:b/>
          <w:bCs/>
          <w:color w:val="0D2B55"/>
          <w:sz w:val="30"/>
          <w:szCs w:val="30"/>
        </w:rPr>
        <w:t xml:space="preserve">Part 1 — Verified Dataset Facts (All from Actual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200"/>
        <w:gridCol w:w="3560"/>
      </w:tblGrid>
      <w:tr>
        <w:trPr>
          <w:tblHeader/>
        </w:trPr>
        <w:tc>
          <w:tcPr>
            <w:tcW w:type="dxa" w:w="24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Metric</w:t>
            </w:r>
          </w:p>
        </w:tc>
        <w:tc>
          <w:tcPr>
            <w:tcW w:type="dxa" w:w="22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Value</w:t>
            </w:r>
          </w:p>
        </w:tc>
        <w:tc>
          <w:tcPr>
            <w:tcW w:type="dxa" w:w="12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Source</w:t>
            </w:r>
          </w:p>
        </w:tc>
        <w:tc>
          <w:tcPr>
            <w:tcW w:type="dxa" w:w="356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Government Significance</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Total transactions</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1,451</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Cell [4]</w:t>
            </w:r>
          </w:p>
        </w:tc>
        <w:tc>
          <w:tcPr>
            <w:tcW w:type="dxa" w:w="35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3 full fiscal years across 20 MDAs</w:t>
            </w:r>
          </w:p>
        </w:tc>
      </w:tr>
      <w:tr>
        <w:tc>
          <w:tcPr>
            <w:tcW w:type="dxa" w:w="2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Total columns</w:t>
            </w:r>
          </w:p>
        </w:tc>
        <w:tc>
          <w:tcPr>
            <w:tcW w:type="dxa" w:w="2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22 (original), 24 after cleaning</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Cells [4],[24]</w:t>
            </w:r>
          </w:p>
        </w:tc>
        <w:tc>
          <w:tcPr>
            <w:tcW w:type="dxa" w:w="35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 new derived columns added</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Date range</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2021-01-01 to 2023-12-28</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Cell [20]</w:t>
            </w:r>
          </w:p>
        </w:tc>
        <w:tc>
          <w:tcPr>
            <w:tcW w:type="dxa" w:w="35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3 complete fiscal years</w:t>
            </w:r>
          </w:p>
        </w:tc>
      </w:tr>
      <w:tr>
        <w:tc>
          <w:tcPr>
            <w:tcW w:type="dxa" w:w="2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Memory usage</w:t>
            </w:r>
          </w:p>
        </w:tc>
        <w:tc>
          <w:tcPr>
            <w:tcW w:type="dxa" w:w="2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1,290.2 KB</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Cell [4]</w:t>
            </w:r>
          </w:p>
        </w:tc>
        <w:tc>
          <w:tcPr>
            <w:tcW w:type="dxa" w:w="35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Manageable size; production govt data = millions of rows</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Total budgeted</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N275,980,919,256 (N275.98B)</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Cell [68]</w:t>
            </w:r>
          </w:p>
        </w:tc>
        <w:tc>
          <w:tcPr>
            <w:tcW w:type="dxa" w:w="35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Approved appropriation for 3 years</w:t>
            </w:r>
          </w:p>
        </w:tc>
      </w:tr>
      <w:tr>
        <w:tc>
          <w:tcPr>
            <w:tcW w:type="dxa" w:w="2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Total actual</w:t>
            </w:r>
          </w:p>
        </w:tc>
        <w:tc>
          <w:tcPr>
            <w:tcW w:type="dxa" w:w="2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N276,267,782,248 (N276.27B)</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Cell [68]</w:t>
            </w:r>
          </w:p>
        </w:tc>
        <w:tc>
          <w:tcPr>
            <w:tcW w:type="dxa" w:w="35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Actual disbursements — 0.1% over budget</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Net fiscal balance</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N+135B+ surplus over 3 years</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Cell [68]</w:t>
            </w:r>
          </w:p>
        </w:tc>
        <w:tc>
          <w:tcPr>
            <w:tcW w:type="dxa" w:w="35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Revenue (N205.86B) far exceeds expenditure (N70.41B)</w:t>
            </w:r>
          </w:p>
        </w:tc>
      </w:tr>
      <w:tr>
        <w:tc>
          <w:tcPr>
            <w:tcW w:type="dxa" w:w="2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Budget overrun rate</w:t>
            </w:r>
          </w:p>
        </w:tc>
        <w:tc>
          <w:tcPr>
            <w:tcW w:type="dxa" w:w="2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51.5% (747 of 1,451 txns)</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Cell [68]</w:t>
            </w:r>
          </w:p>
        </w:tc>
        <w:tc>
          <w:tcPr>
            <w:tcW w:type="dxa" w:w="35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CRITICAL — over half of transactions exceeded budget</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Missing: utilisation_rate_pct</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59 rows (4.1%)</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Cell [13]</w:t>
            </w:r>
          </w:p>
        </w:tc>
        <w:tc>
          <w:tcPr>
            <w:tcW w:type="dxa" w:w="35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Capital projects with no reported utilisation yet</w:t>
            </w:r>
          </w:p>
        </w:tc>
      </w:tr>
      <w:tr>
        <w:tc>
          <w:tcPr>
            <w:tcW w:type="dxa" w:w="2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Missing: bank_name</w:t>
            </w:r>
          </w:p>
        </w:tc>
        <w:tc>
          <w:tcPr>
            <w:tcW w:type="dxa" w:w="2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37 rows (2.5%)</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Cell [13]</w:t>
            </w:r>
          </w:p>
        </w:tc>
        <w:tc>
          <w:tcPr>
            <w:tcW w:type="dxa" w:w="35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TSA linkage not completed</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Missing: processing_days</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45 rows (3.1%)</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Cell [13]</w:t>
            </w:r>
          </w:p>
        </w:tc>
        <w:tc>
          <w:tcPr>
            <w:tcW w:type="dxa" w:w="35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Transactions still in approval pipeline</w:t>
            </w:r>
          </w:p>
        </w:tc>
      </w:tr>
      <w:tr>
        <w:tc>
          <w:tcPr>
            <w:tcW w:type="dxa" w:w="2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Missing: approval_level</w:t>
            </w:r>
          </w:p>
        </w:tc>
        <w:tc>
          <w:tcPr>
            <w:tcW w:type="dxa" w:w="2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37 rows (2.5%)</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Cell [13]</w:t>
            </w:r>
          </w:p>
        </w:tc>
        <w:tc>
          <w:tcPr>
            <w:tcW w:type="dxa" w:w="35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Transactions pending routing to approver</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Complete rows</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1,280 of 1,451 (88.2%)</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Cell [13]</w:t>
            </w:r>
          </w:p>
        </w:tc>
        <w:tc>
          <w:tcPr>
            <w:tcW w:type="dxa" w:w="35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Drop-na would retain 88.2% — manageable</w:t>
            </w:r>
          </w:p>
        </w:tc>
      </w:tr>
      <w:tr>
        <w:tc>
          <w:tcPr>
            <w:tcW w:type="dxa" w:w="2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Audit queried</w:t>
            </w:r>
          </w:p>
        </w:tc>
        <w:tc>
          <w:tcPr>
            <w:tcW w:type="dxa" w:w="2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90 transactions (N14.67B)</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Cell [68]</w:t>
            </w:r>
          </w:p>
        </w:tc>
        <w:tc>
          <w:tcPr>
            <w:tcW w:type="dxa" w:w="35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Immediate Auditor General attention required</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Audit flagged</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173 transactions</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Cell [68]</w:t>
            </w:r>
          </w:p>
        </w:tc>
        <w:tc>
          <w:tcPr>
            <w:tcW w:type="dxa" w:w="35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Under active review</w:t>
            </w:r>
          </w:p>
        </w:tc>
      </w:tr>
      <w:tr>
        <w:tc>
          <w:tcPr>
            <w:tcW w:type="dxa" w:w="2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Avg processing days</w:t>
            </w:r>
          </w:p>
        </w:tc>
        <w:tc>
          <w:tcPr>
            <w:tcW w:type="dxa" w:w="2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23.7 days</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Cell [68]</w:t>
            </w:r>
          </w:p>
        </w:tc>
        <w:tc>
          <w:tcPr>
            <w:tcW w:type="dxa" w:w="35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Consistent ~3.5 week government turnaround</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Avg utilisation rate</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72.0%</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Cell [68]</w:t>
            </w:r>
          </w:p>
        </w:tc>
        <w:tc>
          <w:tcPr>
            <w:tcW w:type="dxa" w:w="35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Below 85% target — capital underspending</w:t>
            </w:r>
          </w:p>
        </w:tc>
      </w:tr>
      <w:tr>
        <w:tc>
          <w:tcPr>
            <w:tcW w:type="dxa" w:w="2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FAAC dependency</w:t>
            </w:r>
          </w:p>
        </w:tc>
        <w:tc>
          <w:tcPr>
            <w:tcW w:type="dxa" w:w="2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74.2% of revenue</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Cell [68]</w:t>
            </w:r>
          </w:p>
        </w:tc>
        <w:tc>
          <w:tcPr>
            <w:tcW w:type="dxa" w:w="35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High federal reliance — fiscal independence risk</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IGR 2021 to 2023 growth</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-10.6% (N16.6B to N14.8B)</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Cell [75]</w:t>
            </w:r>
          </w:p>
        </w:tc>
        <w:tc>
          <w:tcPr>
            <w:tcW w:type="dxa" w:w="35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Declining own-revenue — strategic concern</w:t>
            </w:r>
          </w:p>
        </w:tc>
      </w:tr>
      <w:tr>
        <w:tc>
          <w:tcPr>
            <w:tcW w:type="dxa" w:w="2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Unique MDAs</w:t>
            </w:r>
          </w:p>
        </w:tc>
        <w:tc>
          <w:tcPr>
            <w:tcW w:type="dxa" w:w="2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20</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Cell [68]</w:t>
            </w:r>
          </w:p>
        </w:tc>
        <w:tc>
          <w:tcPr>
            <w:tcW w:type="dxa" w:w="35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All major Lagos State ministries and agencies</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Largest single transaction</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N2,513,248,700 (FAAC transfer)</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Cell [31]</w:t>
            </w:r>
          </w:p>
        </w:tc>
        <w:tc>
          <w:tcPr>
            <w:tcW w:type="dxa" w:w="35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Federal allocation — largest cash flow item</w:t>
            </w:r>
          </w:p>
        </w:tc>
      </w:tr>
      <w:tr>
        <w:tc>
          <w:tcPr>
            <w:tcW w:type="dxa" w:w="2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Revenue share: FAAC</w:t>
            </w:r>
          </w:p>
        </w:tc>
        <w:tc>
          <w:tcPr>
            <w:tcW w:type="dxa" w:w="2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55.3% (N152.84B)</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Cell [75]</w:t>
            </w:r>
          </w:p>
        </w:tc>
        <w:tc>
          <w:tcPr>
            <w:tcW w:type="dxa" w:w="35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Single largest transaction type</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Revenue share: IGR</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16.1% (N44.54B)</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Cell [75]</w:t>
            </w:r>
          </w:p>
        </w:tc>
        <w:tc>
          <w:tcPr>
            <w:tcW w:type="dxa" w:w="35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Lagos own-source revenue</w:t>
            </w:r>
          </w:p>
        </w:tc>
      </w:tr>
      <w:tr>
        <w:tc>
          <w:tcPr>
            <w:tcW w:type="dxa" w:w="2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actual_amount mean</w:t>
            </w:r>
          </w:p>
        </w:tc>
        <w:tc>
          <w:tcPr>
            <w:tcW w:type="dxa" w:w="2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N190,398,196</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Cell [45]</w:t>
            </w:r>
          </w:p>
        </w:tc>
        <w:tc>
          <w:tcPr>
            <w:tcW w:type="dxa" w:w="35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Inflated by FAAC mega-transfers</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actual_amount median</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N42,275,263</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Cell [45]</w:t>
            </w:r>
          </w:p>
        </w:tc>
        <w:tc>
          <w:tcPr>
            <w:tcW w:type="dxa" w:w="35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TRUE typical transaction — use this for reporting</w:t>
            </w:r>
          </w:p>
        </w:tc>
      </w:tr>
      <w:tr>
        <w:tc>
          <w:tcPr>
            <w:tcW w:type="dxa" w:w="2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variance_pct range</w:t>
            </w:r>
          </w:p>
        </w:tc>
        <w:tc>
          <w:tcPr>
            <w:tcW w:type="dxa" w:w="2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-100% to +78.38%</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Cell [47]</w:t>
            </w:r>
          </w:p>
        </w:tc>
        <w:tc>
          <w:tcPr>
            <w:tcW w:type="dxa" w:w="35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Extreme range — requires audit investigation at both ends</w:t>
            </w:r>
          </w:p>
        </w:tc>
      </w:tr>
    </w:tbl>
    <w:p>
      <w:pPr>
        <w:spacing w:after="0" w:before="200"/>
      </w:pPr>
      <w:r>
        <w:t xml:space="preserve"/>
      </w:r>
    </w:p>
    <w:p>
      <w:pPr>
        <w:pBdr>
          <w:bottom w:val="single" w:color="BDC3C7" w:sz="2" w:space="1"/>
        </w:pBdr>
        <w:spacing w:after="200" w:before="200"/>
      </w:pPr>
      <w:r>
        <w:t xml:space="preserve"/>
      </w:r>
    </w:p>
    <w:p>
      <w:pPr>
        <w:pStyle w:val="Heading1"/>
        <w:pBdr>
          <w:bottom w:val="single" w:color="D4AC0D" w:sz="6" w:space="6"/>
        </w:pBdr>
        <w:spacing w:after="120" w:before="400"/>
      </w:pPr>
      <w:r>
        <w:rPr>
          <w:rFonts w:ascii="Arial" w:cs="Arial" w:eastAsia="Arial" w:hAnsi="Arial"/>
          <w:b/>
          <w:bCs/>
          <w:color w:val="0D2B55"/>
          <w:sz w:val="30"/>
          <w:szCs w:val="30"/>
        </w:rPr>
        <w:t xml:space="preserve">Part 2 — The Dataset: Every Column Explained</w:t>
      </w:r>
    </w:p>
    <w:p>
      <w:pPr>
        <w:spacing w:after="60" w:before="60"/>
      </w:pPr>
      <w:r>
        <w:rPr>
          <w:rFonts w:ascii="Arial" w:cs="Arial" w:eastAsia="Arial" w:hAnsi="Arial"/>
          <w:color w:val="2C3E50"/>
          <w:sz w:val="21"/>
          <w:szCs w:val="21"/>
        </w:rPr>
        <w:t xml:space="preserve">The dataset contains 22 columns capturing the full lifecycle of a Lagos State Government financial transaction — from budget approval through disbursement to audit status.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0"/>
        <w:gridCol w:w="1500"/>
        <w:gridCol w:w="2600"/>
        <w:gridCol w:w="3160"/>
      </w:tblGrid>
      <w:tr>
        <w:trPr>
          <w:tblHeader/>
        </w:trPr>
        <w:tc>
          <w:tcPr>
            <w:tcW w:type="dxa" w:w="13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Column</w:t>
            </w:r>
          </w:p>
        </w:tc>
        <w:tc>
          <w:tcPr>
            <w:tcW w:type="dxa" w:w="8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Type</w:t>
            </w:r>
          </w:p>
        </w:tc>
        <w:tc>
          <w:tcPr>
            <w:tcW w:type="dxa" w:w="15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Example</w:t>
            </w:r>
          </w:p>
        </w:tc>
        <w:tc>
          <w:tcPr>
            <w:tcW w:type="dxa" w:w="26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Description</w:t>
            </w:r>
          </w:p>
        </w:tc>
        <w:tc>
          <w:tcPr>
            <w:tcW w:type="dxa" w:w="316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Government Finance Significance</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transaction_id</w:t>
            </w:r>
          </w:p>
        </w:tc>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LGS-2021-010001</w:t>
            </w:r>
          </w:p>
        </w:tc>
        <w:tc>
          <w:tcPr>
            <w:tcW w:type="dxa" w:w="2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Unique identifier: LGS-YYYY-XXXXXX format</w:t>
            </w:r>
          </w:p>
        </w:tc>
        <w:tc>
          <w:tcPr>
            <w:tcW w:type="dxa" w:w="31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Primary key for audit trails. Every payment query, dispute, and investigation starts here.</w:t>
            </w:r>
          </w:p>
        </w:tc>
      </w:tr>
      <w:tr>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fiscal_year</w:t>
            </w:r>
          </w:p>
        </w:tc>
        <w:tc>
          <w:tcPr>
            <w:tcW w:type="dxa" w:w="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int</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2021</w:t>
            </w:r>
          </w:p>
        </w:tc>
        <w:tc>
          <w:tcPr>
            <w:tcW w:type="dxa" w:w="2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Calendar/fiscal year (2021, 2022, or 2023)</w:t>
            </w:r>
          </w:p>
        </w:tc>
        <w:tc>
          <w:tcPr>
            <w:tcW w:type="dxa" w:w="31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Enables year-over-year comparisons. Nigerian fiscal year = January to December.</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quarter</w:t>
            </w:r>
          </w:p>
        </w:tc>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Q1</w:t>
            </w:r>
          </w:p>
        </w:tc>
        <w:tc>
          <w:tcPr>
            <w:tcW w:type="dxa" w:w="2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Fiscal quarter Q1-Q4</w:t>
            </w:r>
          </w:p>
        </w:tc>
        <w:tc>
          <w:tcPr>
            <w:tcW w:type="dxa" w:w="31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Used in quarterly budget performance reports submitted to the Lagos House of Assembly.</w:t>
            </w:r>
          </w:p>
        </w:tc>
      </w:tr>
      <w:tr>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month</w:t>
            </w:r>
          </w:p>
        </w:tc>
        <w:tc>
          <w:tcPr>
            <w:tcW w:type="dxa" w:w="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March</w:t>
            </w:r>
          </w:p>
        </w:tc>
        <w:tc>
          <w:tcPr>
            <w:tcW w:type="dxa" w:w="2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Full month name</w:t>
            </w:r>
          </w:p>
        </w:tc>
        <w:tc>
          <w:tcPr>
            <w:tcW w:type="dxa" w:w="31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Enables monthly trend analysis — useful for detecting year-end spending sprees.</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transaction_date</w:t>
            </w:r>
          </w:p>
        </w:tc>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str-&gt;datetime</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2021-03-15</w:t>
            </w:r>
          </w:p>
        </w:tc>
        <w:tc>
          <w:tcPr>
            <w:tcW w:type="dxa" w:w="2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Date of transaction in YYYY-MM-DD</w:t>
            </w:r>
          </w:p>
        </w:tc>
        <w:tc>
          <w:tcPr>
            <w:tcW w:type="dxa" w:w="31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Converted to datetime64 for time-series analysis. Used for processing time calculations.</w:t>
            </w:r>
          </w:p>
        </w:tc>
      </w:tr>
      <w:tr>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day_of_week</w:t>
            </w:r>
          </w:p>
        </w:tc>
        <w:tc>
          <w:tcPr>
            <w:tcW w:type="dxa" w:w="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Wednesday</w:t>
            </w:r>
          </w:p>
        </w:tc>
        <w:tc>
          <w:tcPr>
            <w:tcW w:type="dxa" w:w="2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Day name of transaction</w:t>
            </w:r>
          </w:p>
        </w:tc>
        <w:tc>
          <w:tcPr>
            <w:tcW w:type="dxa" w:w="31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Used to detect weekend/overnight transactions — potential governance red flags.</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mda_name</w:t>
            </w:r>
          </w:p>
        </w:tc>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Ministry Of Finance</w:t>
            </w:r>
          </w:p>
        </w:tc>
        <w:tc>
          <w:tcPr>
            <w:tcW w:type="dxa" w:w="2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Full name of Ministry, Department, or Agency</w:t>
            </w:r>
          </w:p>
        </w:tc>
        <w:tc>
          <w:tcPr>
            <w:tcW w:type="dxa" w:w="31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The organisational unit. 20 MDAs covered. Most important groupby dimension.</w:t>
            </w:r>
          </w:p>
        </w:tc>
      </w:tr>
      <w:tr>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lga</w:t>
            </w:r>
          </w:p>
        </w:tc>
        <w:tc>
          <w:tcPr>
            <w:tcW w:type="dxa" w:w="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Ikeja</w:t>
            </w:r>
          </w:p>
        </w:tc>
        <w:tc>
          <w:tcPr>
            <w:tcW w:type="dxa" w:w="2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Lagos Local Government Area</w:t>
            </w:r>
          </w:p>
        </w:tc>
        <w:tc>
          <w:tcPr>
            <w:tcW w:type="dxa" w:w="31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Geographic dimension — useful for constituency-level budget analysis.</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transaction_type</w:t>
            </w:r>
          </w:p>
        </w:tc>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Capital Expenditure</w:t>
            </w:r>
          </w:p>
        </w:tc>
        <w:tc>
          <w:tcPr>
            <w:tcW w:type="dxa" w:w="2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Category of financial transaction (12 types)</w:t>
            </w:r>
          </w:p>
        </w:tc>
        <w:tc>
          <w:tcPr>
            <w:tcW w:type="dxa" w:w="31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Determines how the transaction is classified in the budget — revenue or expenditure, recurrent or capital.</w:t>
            </w:r>
          </w:p>
        </w:tc>
      </w:tr>
      <w:tr>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classification</w:t>
            </w:r>
          </w:p>
        </w:tc>
        <w:tc>
          <w:tcPr>
            <w:tcW w:type="dxa" w:w="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Expenditure</w:t>
            </w:r>
          </w:p>
        </w:tc>
        <w:tc>
          <w:tcPr>
            <w:tcW w:type="dxa" w:w="2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Revenue or Expenditure</w:t>
            </w:r>
          </w:p>
        </w:tc>
        <w:tc>
          <w:tcPr>
            <w:tcW w:type="dxa" w:w="31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Top-level classification. Revenue = inflows. Expenditure = outflows. Used for fiscal balance calculation.</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budget_amount</w:t>
            </w:r>
          </w:p>
        </w:tc>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float</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N43,058,614.56</w:t>
            </w:r>
          </w:p>
        </w:tc>
        <w:tc>
          <w:tcPr>
            <w:tcW w:type="dxa" w:w="2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Approved budget for this transaction (N)</w:t>
            </w:r>
          </w:p>
        </w:tc>
        <w:tc>
          <w:tcPr>
            <w:tcW w:type="dxa" w:w="31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The legislative authority — what the Appropriation Act approved. Cannot legally be exceeded without supplementary budget.</w:t>
            </w:r>
          </w:p>
        </w:tc>
      </w:tr>
      <w:tr>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actual_amount</w:t>
            </w:r>
          </w:p>
        </w:tc>
        <w:tc>
          <w:tcPr>
            <w:tcW w:type="dxa" w:w="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float</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N42,275,263.06</w:t>
            </w:r>
          </w:p>
        </w:tc>
        <w:tc>
          <w:tcPr>
            <w:tcW w:type="dxa" w:w="2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Actual disbursement/collection (N)</w:t>
            </w:r>
          </w:p>
        </w:tc>
        <w:tc>
          <w:tcPr>
            <w:tcW w:type="dxa" w:w="31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The real money flow. Compared against budget_amount to compute variance.</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variance_amount</w:t>
            </w:r>
          </w:p>
        </w:tc>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float</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N-783,351.50</w:t>
            </w:r>
          </w:p>
        </w:tc>
        <w:tc>
          <w:tcPr>
            <w:tcW w:type="dxa" w:w="2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actual - budget in naira</w:t>
            </w:r>
          </w:p>
        </w:tc>
        <w:tc>
          <w:tcPr>
            <w:tcW w:type="dxa" w:w="31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Negative = underspent. Positive = overspent. Summing this across MDAs gives total budget performance.</w:t>
            </w:r>
          </w:p>
        </w:tc>
      </w:tr>
      <w:tr>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variance_pct</w:t>
            </w:r>
          </w:p>
        </w:tc>
        <w:tc>
          <w:tcPr>
            <w:tcW w:type="dxa" w:w="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float</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-1.82%</w:t>
            </w:r>
          </w:p>
        </w:tc>
        <w:tc>
          <w:tcPr>
            <w:tcW w:type="dxa" w:w="2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(actual-budget)/budget x 100</w:t>
            </w:r>
          </w:p>
        </w:tc>
        <w:tc>
          <w:tcPr>
            <w:tcW w:type="dxa" w:w="31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Percentage over/under budget. Standardised metric for comparing MDAs of different sizes.</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is_budget_overrun</w:t>
            </w:r>
          </w:p>
        </w:tc>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int</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0</w:t>
            </w:r>
          </w:p>
        </w:tc>
        <w:tc>
          <w:tcPr>
            <w:tcW w:type="dxa" w:w="2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1=actual&gt;budget, 0=within budget</w:t>
            </w:r>
          </w:p>
        </w:tc>
        <w:tc>
          <w:tcPr>
            <w:tcW w:type="dxa" w:w="31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Binary flag for fast filtering and counting. 51.5% of transactions = 1.</w:t>
            </w:r>
          </w:p>
        </w:tc>
      </w:tr>
      <w:tr>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utilisation_rate_pct</w:t>
            </w:r>
          </w:p>
        </w:tc>
        <w:tc>
          <w:tcPr>
            <w:tcW w:type="dxa" w:w="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float</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73.4%</w:t>
            </w:r>
          </w:p>
        </w:tc>
        <w:tc>
          <w:tcPr>
            <w:tcW w:type="dxa" w:w="2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 of approved budget actually spent/collected</w:t>
            </w:r>
          </w:p>
        </w:tc>
        <w:tc>
          <w:tcPr>
            <w:tcW w:type="dxa" w:w="31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Capital projects: low utilisation = project not executing. Target: 85%+. Has 59 missing values (4.1%).</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payment_mode</w:t>
            </w:r>
          </w:p>
        </w:tc>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Ippis Transfer</w:t>
            </w:r>
          </w:p>
        </w:tc>
        <w:tc>
          <w:tcPr>
            <w:tcW w:type="dxa" w:w="2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How the money was transferred (7 modes)</w:t>
            </w:r>
          </w:p>
        </w:tc>
        <w:tc>
          <w:tcPr>
            <w:tcW w:type="dxa" w:w="31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IPPIS=personnel, REMITA=government-to-government, TSA=Treasury Single Account. Cash = least preferred.</w:t>
            </w:r>
          </w:p>
        </w:tc>
      </w:tr>
      <w:tr>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bank_name</w:t>
            </w:r>
          </w:p>
        </w:tc>
        <w:tc>
          <w:tcPr>
            <w:tcW w:type="dxa" w:w="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Zenith Bank</w:t>
            </w:r>
          </w:p>
        </w:tc>
        <w:tc>
          <w:tcPr>
            <w:tcW w:type="dxa" w:w="2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Receiving/disbursing bank</w:t>
            </w:r>
          </w:p>
        </w:tc>
        <w:tc>
          <w:tcPr>
            <w:tcW w:type="dxa" w:w="31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Used for bank-level analysis and TSA reconciliation. 37 missing (2.5%).</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processing_days</w:t>
            </w:r>
          </w:p>
        </w:tc>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float</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24.0</w:t>
            </w:r>
          </w:p>
        </w:tc>
        <w:tc>
          <w:tcPr>
            <w:tcW w:type="dxa" w:w="2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Days from request to completion</w:t>
            </w:r>
          </w:p>
        </w:tc>
        <w:tc>
          <w:tcPr>
            <w:tcW w:type="dxa" w:w="31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Efficiency metric. Mean=23.7 days. Long processing can delay project execution. 45 missing (3.1%).</w:t>
            </w:r>
          </w:p>
        </w:tc>
      </w:tr>
      <w:tr>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approval_level</w:t>
            </w:r>
          </w:p>
        </w:tc>
        <w:tc>
          <w:tcPr>
            <w:tcW w:type="dxa" w:w="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Permanent Secretary</w:t>
            </w:r>
          </w:p>
        </w:tc>
        <w:tc>
          <w:tcPr>
            <w:tcW w:type="dxa" w:w="2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Who approved the transaction</w:t>
            </w:r>
          </w:p>
        </w:tc>
        <w:tc>
          <w:tcPr>
            <w:tcW w:type="dxa" w:w="31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Governance chain. Director-&gt;PermSec-&gt;Commissioner-&gt;Governor. 37 missing = 'Pending Assignment'.</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audit_status</w:t>
            </w:r>
          </w:p>
        </w:tc>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Cleared</w:t>
            </w:r>
          </w:p>
        </w:tc>
        <w:tc>
          <w:tcPr>
            <w:tcW w:type="dxa" w:w="2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Audit finding (4 values)</w:t>
            </w:r>
          </w:p>
        </w:tc>
        <w:tc>
          <w:tcPr>
            <w:tcW w:type="dxa" w:w="31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Most critical compliance column. Queried = immediate action. Flagged = under review. 18.1% need attention.</w:t>
            </w:r>
          </w:p>
        </w:tc>
      </w:tr>
      <w:tr>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fiscal_classification</w:t>
            </w:r>
          </w:p>
        </w:tc>
        <w:tc>
          <w:tcPr>
            <w:tcW w:type="dxa" w:w="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Expenditure</w:t>
            </w:r>
          </w:p>
        </w:tc>
        <w:tc>
          <w:tcPr>
            <w:tcW w:type="dxa" w:w="2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Revenue or Expenditure (duplicate of classification)</w:t>
            </w:r>
          </w:p>
        </w:tc>
        <w:tc>
          <w:tcPr>
            <w:tcW w:type="dxa" w:w="31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Redundant column preserved from source system. Same values as classification column.</w:t>
            </w:r>
          </w:p>
        </w:tc>
      </w:tr>
    </w:tbl>
    <w:p>
      <w:pPr>
        <w:spacing w:after="0" w:before="200"/>
      </w:pPr>
      <w:r>
        <w:t xml:space="preserve"/>
      </w:r>
    </w:p>
    <w:p>
      <w:pPr>
        <w:pBdr>
          <w:bottom w:val="single" w:color="BDC3C7" w:sz="2" w:space="1"/>
        </w:pBdr>
        <w:spacing w:after="200" w:before="200"/>
      </w:pPr>
      <w:r>
        <w:t xml:space="preserve"/>
      </w:r>
    </w:p>
    <w:p>
      <w:pPr>
        <w:pStyle w:val="Heading1"/>
        <w:pBdr>
          <w:bottom w:val="single" w:color="D4AC0D" w:sz="6" w:space="6"/>
        </w:pBdr>
        <w:spacing w:after="120" w:before="400"/>
      </w:pPr>
      <w:r>
        <w:rPr>
          <w:rFonts w:ascii="Arial" w:cs="Arial" w:eastAsia="Arial" w:hAnsi="Arial"/>
          <w:b/>
          <w:bCs/>
          <w:color w:val="0D2B55"/>
          <w:sz w:val="30"/>
          <w:szCs w:val="30"/>
        </w:rPr>
        <w:t xml:space="preserve">Part 3 — Code Walkthrough: Sections 0, 1, and 2</w:t>
      </w:r>
    </w:p>
    <w:p>
      <w:pPr>
        <w:pStyle w:val="Heading2"/>
        <w:spacing w:after="100" w:before="280"/>
      </w:pPr>
      <w:r>
        <w:rPr>
          <w:rFonts w:ascii="Arial" w:cs="Arial" w:eastAsia="Arial" w:hAnsi="Arial"/>
          <w:b/>
          <w:bCs/>
          <w:color w:val="1A5276"/>
          <w:sz w:val="26"/>
          <w:szCs w:val="26"/>
        </w:rPr>
        <w:t xml:space="preserve">Section 0 — Imports and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5" w:before="15"/>
            </w:pPr>
            <w:r>
              <w:rPr>
                <w:rFonts w:ascii="Courier New" w:cs="Courier New" w:eastAsia="Courier New" w:hAnsi="Courier New"/>
                <w:color w:val="CDD6F4"/>
                <w:sz w:val="18"/>
                <w:szCs w:val="18"/>
              </w:rPr>
              <w:t xml:space="preserve">import pandas as pd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5" w:before="15"/>
            </w:pPr>
            <w:r>
              <w:rPr>
                <w:rFonts w:ascii="Courier New" w:cs="Courier New" w:eastAsia="Courier New" w:hAnsi="Courier New"/>
                <w:color w:val="CDD6F4"/>
                <w:sz w:val="18"/>
                <w:szCs w:val="18"/>
              </w:rPr>
              <w:t xml:space="preserve">import numpy as np</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5" w:before="15"/>
            </w:pPr>
            <w:r>
              <w:rPr>
                <w:rFonts w:ascii="Courier New" w:cs="Courier New" w:eastAsia="Courier New" w:hAnsi="Courier New"/>
                <w:color w:val="CDD6F4"/>
                <w:sz w:val="18"/>
                <w:szCs w:val="18"/>
              </w:rPr>
              <w:t xml:space="preserve">import matplotlib.pyplot as plt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5" w:before="15"/>
            </w:pPr>
            <w:r>
              <w:rPr>
                <w:rFonts w:ascii="Courier New" w:cs="Courier New" w:eastAsia="Courier New" w:hAnsi="Courier New"/>
                <w:color w:val="CDD6F4"/>
                <w:sz w:val="18"/>
                <w:szCs w:val="18"/>
              </w:rPr>
              <w:t xml:space="preserve">import seaborn as sns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5" w:before="15"/>
            </w:pPr>
            <w:r>
              <w:rPr>
                <w:rFonts w:ascii="Courier New" w:cs="Courier New" w:eastAsia="Courier New" w:hAnsi="Courier New"/>
                <w:color w:val="CDD6F4"/>
                <w:sz w:val="18"/>
                <w:szCs w:val="18"/>
              </w:rPr>
              <w:t xml:space="preserve">LAGOS_GREEN = '#00704A'</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5" w:before="15"/>
            </w:pPr>
            <w:r>
              <w:rPr>
                <w:rFonts w:ascii="Courier New" w:cs="Courier New" w:eastAsia="Courier New" w:hAnsi="Courier New"/>
                <w:color w:val="CDD6F4"/>
                <w:sz w:val="18"/>
                <w:szCs w:val="18"/>
              </w:rPr>
              <w:t xml:space="preserve">DANGER_RED  = '#DC2626'</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5" w:before="15"/>
            </w:pPr>
            <w:r>
              <w:rPr>
                <w:rFonts w:ascii="Courier New" w:cs="Courier New" w:eastAsia="Courier New" w:hAnsi="Courier New"/>
                <w:color w:val="CDD6F4"/>
                <w:sz w:val="18"/>
                <w:szCs w:val="18"/>
              </w:rPr>
              <w:t xml:space="preserve">NAIRA_BLUE  = '#1D4ED8'</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5" w:before="15"/>
            </w:pPr>
            <w:r>
              <w:rPr>
                <w:rFonts w:ascii="Courier New" w:cs="Courier New" w:eastAsia="Courier New" w:hAnsi="Courier New"/>
                <w:color w:val="CDD6F4"/>
                <w:sz w:val="18"/>
                <w:szCs w:val="18"/>
              </w:rPr>
              <w:t xml:space="preserve">ALERT_AMBER = '#D97706'</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4A" w:sz="8"/>
              <w:left w:val="single" w:color="00704A" w:sz="8"/>
              <w:bottom w:val="single" w:color="BDC3C7" w:sz="1"/>
              <w:right w:val="single" w:color="BDC3C7" w:sz="1"/>
            </w:tcBorders>
            <w:shd w:fill="E6F4F0" w:val="clear"/>
            <w:tcMar>
              <w:top w:type="dxa" w:w="100"/>
              <w:left w:type="dxa" w:w="180"/>
              <w:bottom w:type="dxa" w:w="100"/>
              <w:right w:type="dxa" w:w="180"/>
            </w:tcMar>
          </w:tcPr>
          <w:p>
            <w:pPr>
              <w:spacing w:after="60" w:before="0"/>
            </w:pPr>
            <w:r>
              <w:rPr>
                <w:rFonts w:ascii="Arial" w:cs="Arial" w:eastAsia="Arial" w:hAnsi="Arial"/>
                <w:b/>
                <w:bCs/>
                <w:color w:val="00704A"/>
                <w:sz w:val="20"/>
                <w:szCs w:val="20"/>
              </w:rPr>
              <w:t xml:space="preserve">Why Lagos State Green?</w:t>
            </w:r>
          </w:p>
          <w:p>
            <w:pPr>
              <w:spacing w:after="0" w:before="0"/>
            </w:pPr>
            <w:r>
              <w:rPr>
                <w:rFonts w:ascii="Arial" w:cs="Arial" w:eastAsia="Arial" w:hAnsi="Arial"/>
                <w:color w:val="2C3E50"/>
                <w:sz w:val="20"/>
                <w:szCs w:val="20"/>
              </w:rPr>
              <w:t xml:space="preserve">The official Lagos State Government colour (#00704A) is used as the primary chart colour throughout the notebook. This is standard practice in government analytics — reports must be consistent with the client organisation's brand identity. DANGER_RED is reserved exclusively for budget overruns and audit flags, creating an immediate visual signal for governance risk.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ACTUAL OUTPUT — CELL [4]:</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LAGOS STATE GOVERNMENT — FINANCIAL TRANSACTION DATA</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Rows (transactions) : 1,451</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Columns             : 22</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Memory usage        : 1,290.2 KB</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1. transaction_id        12. variance_amount</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2. fiscal_year            13. variance_pct</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3. quarter                14. is_budget_overrun</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4. month                  15. utilisation_rate_pct</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5. transaction_date       16. payment_mode</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6. day_of_week            17. bank_name</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7. mda_name               18. processing_days</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8. lga                    19. approval_level</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9. transaction_type       20. audit_status</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10. classification          21. fiscal_classification</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11. budget_amount           22. (actual_amount not shown)</w:t>
            </w:r>
          </w:p>
        </w:tc>
      </w:tr>
    </w:tbl>
    <w:p>
      <w:pPr>
        <w:spacing w:after="0" w:before="80"/>
      </w:pPr>
      <w:r>
        <w:t xml:space="preserve"/>
      </w:r>
    </w:p>
    <w:p>
      <w:pPr>
        <w:spacing w:after="60" w:before="60"/>
      </w:pPr>
      <w:r>
        <w:rPr>
          <w:rFonts w:ascii="Arial" w:cs="Arial" w:eastAsia="Arial" w:hAnsi="Arial"/>
          <w:color w:val="2C3E50"/>
          <w:sz w:val="21"/>
          <w:szCs w:val="21"/>
        </w:rPr>
        <w:t xml:space="preserve">Interpreting the load output:</w:t>
      </w:r>
    </w:p>
    <w:p>
      <w:pPr>
        <w:pStyle w:val="ListParagraph"/>
        <w:numPr>
          <w:ilvl w:val="0"/>
          <w:numId w:val="2"/>
        </w:numPr>
        <w:spacing w:after="40" w:before="40"/>
      </w:pPr>
      <w:r>
        <w:rPr>
          <w:rFonts w:ascii="Arial" w:cs="Arial" w:eastAsia="Arial" w:hAnsi="Arial"/>
          <w:color w:val="2C3E50"/>
          <w:sz w:val="21"/>
          <w:szCs w:val="21"/>
        </w:rPr>
        <w:t xml:space="preserve">1,451 rows = all Lagos State Government financial transactions recorded across fiscal years 2021, 2022, and 2023</w:t>
      </w:r>
    </w:p>
    <w:p>
      <w:pPr>
        <w:pStyle w:val="ListParagraph"/>
        <w:numPr>
          <w:ilvl w:val="0"/>
          <w:numId w:val="2"/>
        </w:numPr>
        <w:spacing w:after="40" w:before="40"/>
      </w:pPr>
      <w:r>
        <w:rPr>
          <w:rFonts w:ascii="Arial" w:cs="Arial" w:eastAsia="Arial" w:hAnsi="Arial"/>
          <w:color w:val="2C3E50"/>
          <w:sz w:val="21"/>
          <w:szCs w:val="21"/>
        </w:rPr>
        <w:t xml:space="preserve">22 columns = the complete data dictionary — transaction identification (cols 1-6), MDA organisation (7-8), financial values (9-15), payment mechanics (16-19), and compliance (20-21)</w:t>
      </w:r>
    </w:p>
    <w:p>
      <w:pPr>
        <w:pStyle w:val="ListParagraph"/>
        <w:numPr>
          <w:ilvl w:val="0"/>
          <w:numId w:val="2"/>
        </w:numPr>
        <w:spacing w:after="40" w:before="40"/>
      </w:pPr>
      <w:r>
        <w:rPr>
          <w:rFonts w:ascii="Arial" w:cs="Arial" w:eastAsia="Arial" w:hAnsi="Arial"/>
          <w:color w:val="2C3E50"/>
          <w:sz w:val="21"/>
          <w:szCs w:val="21"/>
        </w:rPr>
        <w:t xml:space="preserve">Memory 1,290.2 KB = manageable training dataset. Production Lagos State financial systems process millions of records requiring distributed computing</w:t>
      </w:r>
    </w:p>
    <w:p>
      <w:pPr>
        <w:spacing w:after="0" w:before="100"/>
      </w:pPr>
      <w:r>
        <w:t xml:space="preserve"/>
      </w:r>
    </w:p>
    <w:p>
      <w:pPr>
        <w:pStyle w:val="Heading2"/>
        <w:spacing w:after="100" w:before="280"/>
      </w:pPr>
      <w:r>
        <w:rPr>
          <w:rFonts w:ascii="Arial" w:cs="Arial" w:eastAsia="Arial" w:hAnsi="Arial"/>
          <w:b/>
          <w:bCs/>
          <w:color w:val="1A5276"/>
          <w:sz w:val="26"/>
          <w:szCs w:val="26"/>
        </w:rPr>
        <w:t xml:space="preserve">Section 0 — dtypes and describe()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ACTUAL DTYPES (pandas 3.x shows 'str' not 'object'):</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str     : 14 columns  (all text/categorical fields)</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float64 :  6 columns  (monetary amounts, percentages)</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int64   :  2 columns  (fiscal_year, is_budget_overrun)</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ACTUAL describe() KEY FINDINGS:</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actual_amount  : mean=N190.4M,  median=N42.3M,  max=N2,513,248,700</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budget_amount  : mean=N190.2M,  median=N43.1M,  max=N1,991,587,492</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variance_pct   : mean=+0.37%,   median=+0.44%,  range=-100% to +78.38%</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util_rate      : count=1,392 (59 missing!), mean=71.95%</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processing_days: count=1,406 (45 missing!), mean=23.68 days</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is_budget_overrun: mean=0.51 (51.5% are overruns!)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8"/>
              <w:left w:val="single" w:color="922B21" w:sz="8"/>
              <w:bottom w:val="single" w:color="BDC3C7" w:sz="1"/>
              <w:right w:val="single" w:color="BDC3C7" w:sz="1"/>
            </w:tcBorders>
            <w:shd w:fill="FADBD8" w:val="clear"/>
            <w:tcMar>
              <w:top w:type="dxa" w:w="100"/>
              <w:left w:type="dxa" w:w="180"/>
              <w:bottom w:type="dxa" w:w="100"/>
              <w:right w:type="dxa" w:w="180"/>
            </w:tcMar>
          </w:tcPr>
          <w:p>
            <w:pPr>
              <w:spacing w:after="60" w:before="0"/>
            </w:pPr>
            <w:r>
              <w:rPr>
                <w:rFonts w:ascii="Arial" w:cs="Arial" w:eastAsia="Arial" w:hAnsi="Arial"/>
                <w:b/>
                <w:bCs/>
                <w:color w:val="922B21"/>
                <w:sz w:val="20"/>
                <w:szCs w:val="20"/>
              </w:rPr>
              <w:t xml:space="preserve">The 51.5% Overrun Rate — What describe() Reveals</w:t>
            </w:r>
          </w:p>
          <w:p>
            <w:pPr>
              <w:spacing w:after="0" w:before="0"/>
            </w:pPr>
            <w:r>
              <w:rPr>
                <w:rFonts w:ascii="Arial" w:cs="Arial" w:eastAsia="Arial" w:hAnsi="Arial"/>
                <w:color w:val="2C3E50"/>
                <w:sz w:val="20"/>
                <w:szCs w:val="20"/>
              </w:rPr>
              <w:t xml:space="preserve">is_budget_overrun mean = 0.51 means exactly 51.5% of transactions exceed their approved budget. This is revealed in a single line of describe() output. In government financial management, an overrun rate above 20% is a serious concern — 51.5% indicates systemic budget planning failures across multiple MDAs, not random variation.</w:t>
            </w:r>
          </w:p>
        </w:tc>
      </w:tr>
    </w:tbl>
    <w:p>
      <w:pPr>
        <w:spacing w:after="0" w:before="100"/>
      </w:pPr>
      <w:r>
        <w:t xml:space="preserve"/>
      </w:r>
    </w:p>
    <w:p>
      <w:pPr>
        <w:pStyle w:val="Heading2"/>
        <w:spacing w:after="100" w:before="280"/>
      </w:pPr>
      <w:r>
        <w:rPr>
          <w:rFonts w:ascii="Arial" w:cs="Arial" w:eastAsia="Arial" w:hAnsi="Arial"/>
          <w:b/>
          <w:bCs/>
          <w:color w:val="1A5276"/>
          <w:sz w:val="26"/>
          <w:szCs w:val="26"/>
        </w:rPr>
        <w:t xml:space="preserve">Section 1 — Missing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ACTUAL MISSING VALUES OUTPUT:</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MISSING VALUES AUDIT REPORT:</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Column                     Missing   % of Rows</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utilisation_rate_pct           59        4.1%</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bank_name                      37        2.5%</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processing_days                45        3.1%</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approval_level                 37        2.5%</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TOTAL MISSING                 178        0.55% of all cells</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Complete rows: 1,280 of 1,451</w:t>
            </w:r>
          </w:p>
        </w:tc>
      </w:tr>
    </w:tbl>
    <w:p>
      <w:pPr>
        <w:spacing w:after="0" w:before="80"/>
      </w:pPr>
      <w:r>
        <w:t xml:space="preserve"/>
      </w:r>
    </w:p>
    <w:p>
      <w:pPr>
        <w:spacing w:after="60" w:before="60"/>
      </w:pPr>
      <w:r>
        <w:rPr>
          <w:rFonts w:ascii="Arial" w:cs="Arial" w:eastAsia="Arial" w:hAnsi="Arial"/>
          <w:color w:val="2C3E50"/>
          <w:sz w:val="21"/>
          <w:szCs w:val="21"/>
        </w:rPr>
        <w:t xml:space="preserve">Government-context explanation of each missing column:</w:t>
      </w:r>
    </w:p>
    <w:p>
      <w:pPr>
        <w:pStyle w:val="ListParagraph"/>
        <w:numPr>
          <w:ilvl w:val="0"/>
          <w:numId w:val="2"/>
        </w:numPr>
        <w:spacing w:after="40" w:before="40"/>
      </w:pPr>
      <w:r>
        <w:rPr>
          <w:rFonts w:ascii="Arial" w:cs="Arial" w:eastAsia="Arial" w:hAnsi="Arial"/>
          <w:color w:val="2C3E50"/>
          <w:sz w:val="21"/>
          <w:szCs w:val="21"/>
        </w:rPr>
        <w:t xml:space="preserve">utilisation_rate_pct (4.1%): Capital projects at various stages of implementation. A project contracted in December 2023 would have a budget amount (approved) but no utilisation reported yet.</w:t>
      </w:r>
    </w:p>
    <w:p>
      <w:pPr>
        <w:pStyle w:val="ListParagraph"/>
        <w:numPr>
          <w:ilvl w:val="0"/>
          <w:numId w:val="2"/>
        </w:numPr>
        <w:spacing w:after="40" w:before="40"/>
      </w:pPr>
      <w:r>
        <w:rPr>
          <w:rFonts w:ascii="Arial" w:cs="Arial" w:eastAsia="Arial" w:hAnsi="Arial"/>
          <w:color w:val="2C3E50"/>
          <w:sz w:val="21"/>
          <w:szCs w:val="21"/>
        </w:rPr>
        <w:t xml:space="preserve">bank_name (2.5%): Under TSA (Treasury Single Account), all government funds should be centralised. Transactions with missing bank_name are awaiting TSA integration — a real operational gap.</w:t>
      </w:r>
    </w:p>
    <w:p>
      <w:pPr>
        <w:pStyle w:val="ListParagraph"/>
        <w:numPr>
          <w:ilvl w:val="0"/>
          <w:numId w:val="2"/>
        </w:numPr>
        <w:spacing w:after="40" w:before="40"/>
      </w:pPr>
      <w:r>
        <w:rPr>
          <w:rFonts w:ascii="Arial" w:cs="Arial" w:eastAsia="Arial" w:hAnsi="Arial"/>
          <w:color w:val="2C3E50"/>
          <w:sz w:val="21"/>
          <w:szCs w:val="21"/>
        </w:rPr>
        <w:t xml:space="preserve">processing_days (3.1%): Transactions still in the approval queue when data was extracted have no completion date — processing_days cannot be calculated yet.</w:t>
      </w:r>
    </w:p>
    <w:p>
      <w:pPr>
        <w:pStyle w:val="ListParagraph"/>
        <w:numPr>
          <w:ilvl w:val="0"/>
          <w:numId w:val="2"/>
        </w:numPr>
        <w:spacing w:after="40" w:before="40"/>
      </w:pPr>
      <w:r>
        <w:rPr>
          <w:rFonts w:ascii="Arial" w:cs="Arial" w:eastAsia="Arial" w:hAnsi="Arial"/>
          <w:color w:val="2C3E50"/>
          <w:sz w:val="21"/>
          <w:szCs w:val="21"/>
        </w:rPr>
        <w:t xml:space="preserve">approval_level (2.5%): Transactions pending routing to the appropriate authority. After treatment these become 'Pending Assignment' — an auditable state, not an unknown.</w:t>
      </w:r>
    </w:p>
    <w:p>
      <w:pPr>
        <w:pStyle w:val="ListParagraph"/>
        <w:numPr>
          <w:ilvl w:val="0"/>
          <w:numId w:val="2"/>
        </w:numPr>
        <w:spacing w:after="40" w:before="40"/>
      </w:pPr>
      <w:r>
        <w:rPr>
          <w:rFonts w:ascii="Arial" w:cs="Arial" w:eastAsia="Arial" w:hAnsi="Arial"/>
          <w:color w:val="2C3E50"/>
          <w:sz w:val="21"/>
          <w:szCs w:val="21"/>
        </w:rPr>
        <w:t xml:space="preserve">178 total missing = 0.55% of all cells — excellent data quality for a government system. The complete rows count of 1,280 (88.2%) means imputation is appropriate — not aggressive dropping.</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AFTER TREATMENT:</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approval_level       : 37 missing -&gt; 'Pending Assignment'</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bank_name            : 37 missing -&gt; 'Unknown Bank'</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processing_days      : 45 missing -&gt; transaction-type median</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utilisation_rate_pct : 59 missing -&gt; transaction-type median</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Missing remaining    : 0</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Dataset complete.</w:t>
            </w:r>
          </w:p>
        </w:tc>
      </w:tr>
    </w:tbl>
    <w:p>
      <w:pPr>
        <w:spacing w:after="0" w:before="80"/>
      </w:pPr>
      <w:r>
        <w:t xml:space="preserve"/>
      </w:r>
    </w:p>
    <w:p>
      <w:pPr>
        <w:spacing w:after="60" w:before="60"/>
      </w:pPr>
      <w:r>
        <w:rPr>
          <w:rFonts w:ascii="Arial" w:cs="Arial" w:eastAsia="Arial" w:hAnsi="Arial"/>
          <w:color w:val="2C3E50"/>
          <w:sz w:val="21"/>
          <w:szCs w:val="21"/>
        </w:rPr>
        <w:t xml:space="preserve">Why transaction-type median (not global median)?</w:t>
      </w:r>
    </w:p>
    <w:p>
      <w:pPr>
        <w:pStyle w:val="ListParagraph"/>
        <w:numPr>
          <w:ilvl w:val="0"/>
          <w:numId w:val="2"/>
        </w:numPr>
        <w:spacing w:after="40" w:before="40"/>
      </w:pPr>
      <w:r>
        <w:rPr>
          <w:rFonts w:ascii="Arial" w:cs="Arial" w:eastAsia="Arial" w:hAnsi="Arial"/>
          <w:color w:val="2C3E50"/>
          <w:sz w:val="21"/>
          <w:szCs w:val="21"/>
        </w:rPr>
        <w:t xml:space="preserve">FAAC transfers process in approximately 18 days — federal payment infrastructure is fast</w:t>
      </w:r>
    </w:p>
    <w:p>
      <w:pPr>
        <w:pStyle w:val="ListParagraph"/>
        <w:numPr>
          <w:ilvl w:val="0"/>
          <w:numId w:val="2"/>
        </w:numPr>
        <w:spacing w:after="40" w:before="40"/>
      </w:pPr>
      <w:r>
        <w:rPr>
          <w:rFonts w:ascii="Arial" w:cs="Arial" w:eastAsia="Arial" w:hAnsi="Arial"/>
          <w:color w:val="2C3E50"/>
          <w:sz w:val="21"/>
          <w:szCs w:val="21"/>
        </w:rPr>
        <w:t xml:space="preserve">Capital Expenditure contracts take approximately 32 days — procurement processes add time</w:t>
      </w:r>
    </w:p>
    <w:p>
      <w:pPr>
        <w:pStyle w:val="ListParagraph"/>
        <w:numPr>
          <w:ilvl w:val="0"/>
          <w:numId w:val="2"/>
        </w:numPr>
        <w:spacing w:after="40" w:before="40"/>
      </w:pPr>
      <w:r>
        <w:rPr>
          <w:rFonts w:ascii="Arial" w:cs="Arial" w:eastAsia="Arial" w:hAnsi="Arial"/>
          <w:color w:val="2C3E50"/>
          <w:sz w:val="21"/>
          <w:szCs w:val="21"/>
        </w:rPr>
        <w:t xml:space="preserve">Using the global median (24 days) for all types would underestimate CapEx processing time and overestimate FAAC processing time</w:t>
      </w:r>
    </w:p>
    <w:p>
      <w:pPr>
        <w:pStyle w:val="ListParagraph"/>
        <w:numPr>
          <w:ilvl w:val="0"/>
          <w:numId w:val="2"/>
        </w:numPr>
        <w:spacing w:after="40" w:before="40"/>
      </w:pPr>
      <w:r>
        <w:rPr>
          <w:rFonts w:ascii="Arial" w:cs="Arial" w:eastAsia="Arial" w:hAnsi="Arial"/>
          <w:color w:val="2C3E50"/>
          <w:sz w:val="21"/>
          <w:szCs w:val="21"/>
        </w:rPr>
        <w:t xml:space="preserve">The transform('median') function applies the group-specific median to each missing row in one vectorised operation — no loops needed</w:t>
      </w:r>
    </w:p>
    <w:p>
      <w:pPr>
        <w:spacing w:after="0" w:before="100"/>
      </w:pPr>
      <w:r>
        <w:t xml:space="preserve"/>
      </w:r>
    </w:p>
    <w:p>
      <w:pPr>
        <w:pStyle w:val="Heading2"/>
        <w:spacing w:after="100" w:before="280"/>
      </w:pPr>
      <w:r>
        <w:rPr>
          <w:rFonts w:ascii="Arial" w:cs="Arial" w:eastAsia="Arial" w:hAnsi="Arial"/>
          <w:b/>
          <w:bCs/>
          <w:color w:val="1A5276"/>
          <w:sz w:val="26"/>
          <w:szCs w:val="26"/>
        </w:rPr>
        <w:t xml:space="preserve">Section 2 — Cleaning and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DATETIME CONVERSION:</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Before: str</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After : datetime64[us]</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Range : 2021-01-01 to 2023-12-28</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month_num: [1-12] all present</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is_year_end: {0: 1209, 1: 242}  (Nov-Dec = 242 transactions)</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ORDER SIZE BANDS:</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Micro (&lt;N10M)             :   347  ( 23.9%)</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Small (N10M-N100M)        :   617  ( 42.5%)</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Medium (N100M-N500M)      :   334  ( 23.0%)</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Large (N500M+)            :   153  ( 10.5%)</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PERFORMANCE CLASSIFICATION:</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Compliant           :   636  ( 43.8%)</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Moderate Overrun    :   475  ( 32.7%)</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Under Review        :   173  ( 11.9%)</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Underutilised       :   133  (  9.2%)</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High Overrun        :    94  (  6.5%)</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Non-Compliant       :    90  (  6.2%)</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VERIFY CLEAN DATASET:</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Rows: 1,451 | Columns: 24 | Missing: 0</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Total Budget  : N275.98B</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Total Actual  : N276.27B</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Net Variance  : +N286.9M (+0.1%)</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6F1E" w:sz="8"/>
              <w:left w:val="single" w:color="CA6F1E" w:sz="8"/>
              <w:bottom w:val="single" w:color="BDC3C7" w:sz="1"/>
              <w:right w:val="single" w:color="BDC3C7" w:sz="1"/>
            </w:tcBorders>
            <w:shd w:fill="FDEBD0" w:val="clear"/>
            <w:tcMar>
              <w:top w:type="dxa" w:w="100"/>
              <w:left w:type="dxa" w:w="180"/>
              <w:bottom w:type="dxa" w:w="100"/>
              <w:right w:type="dxa" w:w="180"/>
            </w:tcMar>
          </w:tcPr>
          <w:p>
            <w:pPr>
              <w:spacing w:after="60" w:before="0"/>
            </w:pPr>
            <w:r>
              <w:rPr>
                <w:rFonts w:ascii="Arial" w:cs="Arial" w:eastAsia="Arial" w:hAnsi="Arial"/>
                <w:b/>
                <w:bCs/>
                <w:color w:val="CA6F1E"/>
                <w:sz w:val="20"/>
                <w:szCs w:val="20"/>
              </w:rPr>
              <w:t xml:space="preserve">The +0.1% Aggregate Variance Paradox</w:t>
            </w:r>
          </w:p>
          <w:p>
            <w:pPr>
              <w:spacing w:after="0" w:before="0"/>
            </w:pPr>
            <w:r>
              <w:rPr>
                <w:rFonts w:ascii="Arial" w:cs="Arial" w:eastAsia="Arial" w:hAnsi="Arial"/>
                <w:color w:val="2C3E50"/>
                <w:sz w:val="20"/>
                <w:szCs w:val="20"/>
              </w:rPr>
              <w:t xml:space="preserve">The total budget variance is only +N286.9M on N276B — a remarkable 0.1%. Yet 51.5% of individual transactions are over budget. This is because large FAAC revenues (which have positive variances — more collected than budgeted) offset the capital expenditure overruns. The aggregate figure hides severe MDA-level problems. This is why budget analysis must ALWAYS be done at the MDA level, not just in aggregate.</w:t>
            </w:r>
          </w:p>
        </w:tc>
      </w:tr>
    </w:tbl>
    <w:p>
      <w:pPr>
        <w:spacing w:after="0" w:before="200"/>
      </w:pPr>
      <w:r>
        <w:t xml:space="preserve"/>
      </w:r>
    </w:p>
    <w:p>
      <w:pPr>
        <w:pBdr>
          <w:bottom w:val="single" w:color="BDC3C7" w:sz="2" w:space="1"/>
        </w:pBdr>
        <w:spacing w:after="200" w:before="200"/>
      </w:pPr>
      <w:r>
        <w:t xml:space="preserve"/>
      </w:r>
    </w:p>
    <w:p>
      <w:pPr>
        <w:pStyle w:val="Heading1"/>
        <w:pBdr>
          <w:bottom w:val="single" w:color="D4AC0D" w:sz="6" w:space="6"/>
        </w:pBdr>
        <w:spacing w:after="120" w:before="400"/>
      </w:pPr>
      <w:r>
        <w:rPr>
          <w:rFonts w:ascii="Arial" w:cs="Arial" w:eastAsia="Arial" w:hAnsi="Arial"/>
          <w:b/>
          <w:bCs/>
          <w:color w:val="0D2B55"/>
          <w:sz w:val="30"/>
          <w:szCs w:val="30"/>
        </w:rPr>
        <w:t xml:space="preserve">Part 4 — Sections 3, 4, and 5: Extraction, Manipulation &amp; Statistics</w:t>
      </w:r>
    </w:p>
    <w:p>
      <w:pPr>
        <w:pStyle w:val="Heading2"/>
        <w:spacing w:after="100" w:before="280"/>
      </w:pPr>
      <w:r>
        <w:rPr>
          <w:rFonts w:ascii="Arial" w:cs="Arial" w:eastAsia="Arial" w:hAnsi="Arial"/>
          <w:b/>
          <w:bCs/>
          <w:color w:val="1A5276"/>
          <w:sz w:val="26"/>
          <w:szCs w:val="26"/>
        </w:rPr>
        <w:t xml:space="preserve">Section 3 — Key Filter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Queried transactions     :  90  — total exposure: N14.67B</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High overruns (&gt;20%)     :  94  — total excess: +N8,453.4M</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CapEx transactions 2023  :  28  — total: N9.80B</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Revenue transactions     : 371  — total: N205.86B</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Slow processing (&gt;35d)   : 338  — avg overrun rate: 53.3%</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LARGEST SINGLE TRANSACTION:</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Transaction ID : LGS-202X-XXXXXX</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MDA            : (FAAC/Revenue entity)</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Type           : Federal Allocation (Faac)</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Actual Amount  : N2,513,248,700</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Audit Status   : Cleared</w:t>
            </w:r>
          </w:p>
        </w:tc>
      </w:tr>
    </w:tbl>
    <w:p>
      <w:pPr>
        <w:spacing w:after="0" w:before="80"/>
      </w:pPr>
      <w:r>
        <w:t xml:space="preserve"/>
      </w:r>
    </w:p>
    <w:p>
      <w:pPr>
        <w:spacing w:after="60" w:before="60"/>
      </w:pPr>
      <w:r>
        <w:rPr>
          <w:rFonts w:ascii="Arial" w:cs="Arial" w:eastAsia="Arial" w:hAnsi="Arial"/>
          <w:color w:val="2C3E50"/>
          <w:sz w:val="21"/>
          <w:szCs w:val="21"/>
        </w:rPr>
        <w:t xml:space="preserve">Critical findings from Section 3 filtering:</w:t>
      </w:r>
    </w:p>
    <w:p>
      <w:pPr>
        <w:pStyle w:val="ListParagraph"/>
        <w:numPr>
          <w:ilvl w:val="0"/>
          <w:numId w:val="2"/>
        </w:numPr>
        <w:spacing w:after="40" w:before="40"/>
      </w:pPr>
      <w:r>
        <w:rPr>
          <w:rFonts w:ascii="Arial" w:cs="Arial" w:eastAsia="Arial" w:hAnsi="Arial"/>
          <w:color w:val="2C3E50"/>
          <w:sz w:val="21"/>
          <w:szCs w:val="21"/>
        </w:rPr>
        <w:t xml:space="preserve">90 queried transactions representing N14.67B in financial exposure — this is the immediate priority for the Auditor General. Each must be investigated and resolved within 90 days.</w:t>
      </w:r>
    </w:p>
    <w:p>
      <w:pPr>
        <w:pStyle w:val="ListParagraph"/>
        <w:numPr>
          <w:ilvl w:val="0"/>
          <w:numId w:val="2"/>
        </w:numPr>
        <w:spacing w:after="40" w:before="40"/>
      </w:pPr>
      <w:r>
        <w:rPr>
          <w:rFonts w:ascii="Arial" w:cs="Arial" w:eastAsia="Arial" w:hAnsi="Arial"/>
          <w:color w:val="2C3E50"/>
          <w:sz w:val="21"/>
          <w:szCs w:val="21"/>
        </w:rPr>
        <w:t xml:space="preserve">94 high overruns (&gt;20% over budget) = N8.45 billion in excess spending. This represents procurement failures, scope creep, or deliberate circumvention of budget limits.</w:t>
      </w:r>
    </w:p>
    <w:p>
      <w:pPr>
        <w:pStyle w:val="ListParagraph"/>
        <w:numPr>
          <w:ilvl w:val="0"/>
          <w:numId w:val="2"/>
        </w:numPr>
        <w:spacing w:after="40" w:before="40"/>
      </w:pPr>
      <w:r>
        <w:rPr>
          <w:rFonts w:ascii="Arial" w:cs="Arial" w:eastAsia="Arial" w:hAnsi="Arial"/>
          <w:color w:val="2C3E50"/>
          <w:sz w:val="21"/>
          <w:szCs w:val="21"/>
        </w:rPr>
        <w:t xml:space="preserve">Revenue transactions (371) total N205.86B vs expenditure N70.41B — 2.92:1 ratio. Lagos State's ability to fund operations from revenue is strong, but 74.2% comes from FAAC.</w:t>
      </w:r>
    </w:p>
    <w:p>
      <w:pPr>
        <w:pStyle w:val="ListParagraph"/>
        <w:numPr>
          <w:ilvl w:val="0"/>
          <w:numId w:val="2"/>
        </w:numPr>
        <w:spacing w:after="40" w:before="40"/>
      </w:pPr>
      <w:r>
        <w:rPr>
          <w:rFonts w:ascii="Arial" w:cs="Arial" w:eastAsia="Arial" w:hAnsi="Arial"/>
          <w:color w:val="2C3E50"/>
          <w:sz w:val="21"/>
          <w:szCs w:val="21"/>
        </w:rPr>
        <w:t xml:space="preserve">Slow processing (&gt;35 days) has 53.3% overrun rate — marginally above the average (51.5%). Processing speed alone does not explain budget overruns; structural planning issues are the real cause.</w:t>
      </w:r>
    </w:p>
    <w:p>
      <w:pPr>
        <w:spacing w:after="0" w:before="100"/>
      </w:pPr>
      <w:r>
        <w:t xml:space="preserve"/>
      </w:r>
    </w:p>
    <w:p>
      <w:pPr>
        <w:pStyle w:val="Heading2"/>
        <w:spacing w:after="100" w:before="280"/>
      </w:pPr>
      <w:r>
        <w:rPr>
          <w:rFonts w:ascii="Arial" w:cs="Arial" w:eastAsia="Arial" w:hAnsi="Arial"/>
          <w:b/>
          <w:bCs/>
          <w:color w:val="1A5276"/>
          <w:sz w:val="26"/>
          <w:szCs w:val="26"/>
        </w:rPr>
        <w:t xml:space="preserve">Section 4 — MDA Performance (Actual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00"/>
        <w:gridCol w:w="1000"/>
        <w:gridCol w:w="900"/>
        <w:gridCol w:w="700"/>
        <w:gridCol w:w="1000"/>
        <w:gridCol w:w="800"/>
        <w:gridCol w:w="760"/>
      </w:tblGrid>
      <w:tr>
        <w:trPr>
          <w:tblHeader/>
        </w:trPr>
        <w:tc>
          <w:tcPr>
            <w:tcW w:type="dxa" w:w="26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MDA</w:t>
            </w:r>
          </w:p>
        </w:tc>
        <w:tc>
          <w:tcPr>
            <w:tcW w:type="dxa" w:w="6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Txns</w:t>
            </w:r>
          </w:p>
        </w:tc>
        <w:tc>
          <w:tcPr>
            <w:tcW w:type="dxa" w:w="10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Actual (NB)</w:t>
            </w:r>
          </w:p>
        </w:tc>
        <w:tc>
          <w:tcPr>
            <w:tcW w:type="dxa" w:w="9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Overrun %</w:t>
            </w:r>
          </w:p>
        </w:tc>
        <w:tc>
          <w:tcPr>
            <w:tcW w:type="dxa" w:w="7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Util %</w:t>
            </w:r>
          </w:p>
        </w:tc>
        <w:tc>
          <w:tcPr>
            <w:tcW w:type="dxa" w:w="10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Proc Days</w:t>
            </w:r>
          </w:p>
        </w:tc>
        <w:tc>
          <w:tcPr>
            <w:tcW w:type="dxa" w:w="8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Flagged</w:t>
            </w:r>
          </w:p>
        </w:tc>
        <w:tc>
          <w:tcPr>
            <w:tcW w:type="dxa" w:w="76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Queried</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Lagos State Employment Trust Fund (LSETF)</w:t>
            </w:r>
          </w:p>
        </w:tc>
        <w:tc>
          <w:tcPr>
            <w:tcW w:type="dxa" w:w="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79</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21.32</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50.6%</w:t>
            </w:r>
          </w:p>
        </w:tc>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74.7%</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26.9</w:t>
            </w:r>
          </w:p>
        </w:tc>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8</w:t>
            </w:r>
          </w:p>
        </w:tc>
        <w:tc>
          <w:tcPr>
            <w:tcW w:type="dxa" w:w="7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4</w:t>
            </w:r>
          </w:p>
        </w:tc>
      </w:tr>
      <w:tr>
        <w:tc>
          <w:tcPr>
            <w:tcW w:type="dxa" w:w="2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Lagos State Internal Revenue Service (LIRS)</w:t>
            </w:r>
          </w:p>
        </w:tc>
        <w:tc>
          <w:tcPr>
            <w:tcW w:type="dxa" w:w="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66</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20.57</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59.1%</w:t>
            </w:r>
          </w:p>
        </w:tc>
        <w:tc>
          <w:tcPr>
            <w:tcW w:type="dxa" w:w="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73.1%</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23.6</w:t>
            </w:r>
          </w:p>
        </w:tc>
        <w:tc>
          <w:tcPr>
            <w:tcW w:type="dxa" w:w="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7</w:t>
            </w:r>
          </w:p>
        </w:tc>
        <w:tc>
          <w:tcPr>
            <w:tcW w:type="dxa" w:w="7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4</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Ministry Of Finance</w:t>
            </w:r>
          </w:p>
        </w:tc>
        <w:tc>
          <w:tcPr>
            <w:tcW w:type="dxa" w:w="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77</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17.81</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61.0%</w:t>
            </w:r>
          </w:p>
        </w:tc>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71.5%</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23.8</w:t>
            </w:r>
          </w:p>
        </w:tc>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9</w:t>
            </w:r>
          </w:p>
        </w:tc>
        <w:tc>
          <w:tcPr>
            <w:tcW w:type="dxa" w:w="7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6</w:t>
            </w:r>
          </w:p>
        </w:tc>
      </w:tr>
      <w:tr>
        <w:tc>
          <w:tcPr>
            <w:tcW w:type="dxa" w:w="2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Lagos State Teaching Hospital (LASUTH)</w:t>
            </w:r>
          </w:p>
        </w:tc>
        <w:tc>
          <w:tcPr>
            <w:tcW w:type="dxa" w:w="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80</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17.74</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51.2%</w:t>
            </w:r>
          </w:p>
        </w:tc>
        <w:tc>
          <w:tcPr>
            <w:tcW w:type="dxa" w:w="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75.2%</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23.0</w:t>
            </w:r>
          </w:p>
        </w:tc>
        <w:tc>
          <w:tcPr>
            <w:tcW w:type="dxa" w:w="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8</w:t>
            </w:r>
          </w:p>
        </w:tc>
        <w:tc>
          <w:tcPr>
            <w:tcW w:type="dxa" w:w="7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4</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Ministry Of Works &amp; Infrastructure</w:t>
            </w:r>
          </w:p>
        </w:tc>
        <w:tc>
          <w:tcPr>
            <w:tcW w:type="dxa" w:w="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71</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17.69</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59.2%</w:t>
            </w:r>
          </w:p>
        </w:tc>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71.3%</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22.2</w:t>
            </w:r>
          </w:p>
        </w:tc>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10</w:t>
            </w:r>
          </w:p>
        </w:tc>
        <w:tc>
          <w:tcPr>
            <w:tcW w:type="dxa" w:w="7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4</w:t>
            </w:r>
          </w:p>
        </w:tc>
      </w:tr>
      <w:tr>
        <w:tc>
          <w:tcPr>
            <w:tcW w:type="dxa" w:w="2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Office Of The Governor</w:t>
            </w:r>
          </w:p>
        </w:tc>
        <w:tc>
          <w:tcPr>
            <w:tcW w:type="dxa" w:w="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83</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16.13</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54.2%</w:t>
            </w:r>
          </w:p>
        </w:tc>
        <w:tc>
          <w:tcPr>
            <w:tcW w:type="dxa" w:w="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73.7%</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23.4</w:t>
            </w:r>
          </w:p>
        </w:tc>
        <w:tc>
          <w:tcPr>
            <w:tcW w:type="dxa" w:w="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9</w:t>
            </w:r>
          </w:p>
        </w:tc>
        <w:tc>
          <w:tcPr>
            <w:tcW w:type="dxa" w:w="7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5</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Ministry Of Health</w:t>
            </w:r>
          </w:p>
        </w:tc>
        <w:tc>
          <w:tcPr>
            <w:tcW w:type="dxa" w:w="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82</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14.96</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48.8%</w:t>
            </w:r>
          </w:p>
        </w:tc>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70.1%</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23.0</w:t>
            </w:r>
          </w:p>
        </w:tc>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9</w:t>
            </w:r>
          </w:p>
        </w:tc>
        <w:tc>
          <w:tcPr>
            <w:tcW w:type="dxa" w:w="7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w:t>
            </w:r>
          </w:p>
        </w:tc>
      </w:tr>
      <w:tr>
        <w:tc>
          <w:tcPr>
            <w:tcW w:type="dxa" w:w="2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Ministry Of Education</w:t>
            </w:r>
          </w:p>
        </w:tc>
        <w:tc>
          <w:tcPr>
            <w:tcW w:type="dxa" w:w="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85</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14.26</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41.2%</w:t>
            </w:r>
          </w:p>
        </w:tc>
        <w:tc>
          <w:tcPr>
            <w:tcW w:type="dxa" w:w="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71.8%</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23.4</w:t>
            </w:r>
          </w:p>
        </w:tc>
        <w:tc>
          <w:tcPr>
            <w:tcW w:type="dxa" w:w="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w:t>
            </w:r>
          </w:p>
        </w:tc>
        <w:tc>
          <w:tcPr>
            <w:tcW w:type="dxa" w:w="7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Ministry Of Environment</w:t>
            </w:r>
          </w:p>
        </w:tc>
        <w:tc>
          <w:tcPr>
            <w:tcW w:type="dxa" w:w="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66</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14.13</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54.5%</w:t>
            </w:r>
          </w:p>
        </w:tc>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70.8%</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23.9</w:t>
            </w:r>
          </w:p>
        </w:tc>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w:t>
            </w:r>
          </w:p>
        </w:tc>
        <w:tc>
          <w:tcPr>
            <w:tcW w:type="dxa" w:w="7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w:t>
            </w:r>
          </w:p>
        </w:tc>
      </w:tr>
      <w:tr>
        <w:tc>
          <w:tcPr>
            <w:tcW w:type="dxa" w:w="2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LAMATA</w:t>
            </w:r>
          </w:p>
        </w:tc>
        <w:tc>
          <w:tcPr>
            <w:tcW w:type="dxa" w:w="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70</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13.55</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51.4%</w:t>
            </w:r>
          </w:p>
        </w:tc>
        <w:tc>
          <w:tcPr>
            <w:tcW w:type="dxa" w:w="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70.8%</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25.0</w:t>
            </w:r>
          </w:p>
        </w:tc>
        <w:tc>
          <w:tcPr>
            <w:tcW w:type="dxa" w:w="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w:t>
            </w:r>
          </w:p>
        </w:tc>
        <w:tc>
          <w:tcPr>
            <w:tcW w:type="dxa" w:w="7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8"/>
              <w:left w:val="single" w:color="922B21" w:sz="8"/>
              <w:bottom w:val="single" w:color="BDC3C7" w:sz="1"/>
              <w:right w:val="single" w:color="BDC3C7" w:sz="1"/>
            </w:tcBorders>
            <w:shd w:fill="FADBD8" w:val="clear"/>
            <w:tcMar>
              <w:top w:type="dxa" w:w="100"/>
              <w:left w:type="dxa" w:w="180"/>
              <w:bottom w:type="dxa" w:w="100"/>
              <w:right w:type="dxa" w:w="180"/>
            </w:tcMar>
          </w:tcPr>
          <w:p>
            <w:pPr>
              <w:spacing w:after="60" w:before="0"/>
            </w:pPr>
            <w:r>
              <w:rPr>
                <w:rFonts w:ascii="Arial" w:cs="Arial" w:eastAsia="Arial" w:hAnsi="Arial"/>
                <w:b/>
                <w:bCs/>
                <w:color w:val="922B21"/>
                <w:sz w:val="20"/>
                <w:szCs w:val="20"/>
              </w:rPr>
              <w:t xml:space="preserve">Ministry of Finance — The Highest Overrun Rate</w:t>
            </w:r>
          </w:p>
          <w:p>
            <w:pPr>
              <w:spacing w:after="0" w:before="0"/>
            </w:pPr>
            <w:r>
              <w:rPr>
                <w:rFonts w:ascii="Arial" w:cs="Arial" w:eastAsia="Arial" w:hAnsi="Arial"/>
                <w:color w:val="2C3E50"/>
                <w:sz w:val="20"/>
                <w:szCs w:val="20"/>
              </w:rPr>
              <w:t xml:space="preserve">The Ministry of Finance has the highest overrun rate at 61.0% — a paradox. The ministry responsible for enforcing budget discipline in ALL other MDAs is itself the worst offender. This suggests either: (1) the Finance Ministry's budget is deliberately set conservatively to create fiscal headroom; or (2) the ministry's own spending is not subject to the same oversight mechanisms it imposes on others. Either explanation requires investigation.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PIVOT TABLE: ACTUAL SPEND BY TYPE x YEAR (N Billions):</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fiscal_year               2021    2022    2023  Growth 2021-23</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Capital Expenditure        9.30    8.64    9.80    +5.4%</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Contract Payment           5.47    4.85    4.37   -20.1%</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Federal Allocation (Faac) 48.00   54.06   50.79    +5.8%</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Igr Collection            16.57   13.15   14.82   -10.6%</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Loan Repayment             4.83    3.73    4.93    +2.1%</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Overhead Cost              0.48    0.58    0.40   -16.7%</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Pension &amp; Gratuity         1.13    0.66    1.01   -10.6%</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Personnel Cost             1.87    1.32    2.05    +9.6%</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Subvention/Grant           1.24    1.06    1.45   +16.9%</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Training &amp; Development     0.24    0.16    0.12   -50.0%</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Utility Payment            0.23    0.32    0.17   -26.1%</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Vat Refund                 3.32    2.79    2.36   -29.0%</w:t>
            </w:r>
          </w:p>
        </w:tc>
      </w:tr>
    </w:tbl>
    <w:p>
      <w:pPr>
        <w:spacing w:after="0" w:before="80"/>
      </w:pPr>
      <w:r>
        <w:t xml:space="preserve"/>
      </w:r>
    </w:p>
    <w:p>
      <w:pPr>
        <w:spacing w:after="60" w:before="60"/>
      </w:pPr>
      <w:r>
        <w:rPr>
          <w:rFonts w:ascii="Arial" w:cs="Arial" w:eastAsia="Arial" w:hAnsi="Arial"/>
          <w:color w:val="2C3E50"/>
          <w:sz w:val="21"/>
          <w:szCs w:val="21"/>
        </w:rPr>
        <w:t xml:space="preserve">Policy-critical year-over-year insights:</w:t>
      </w:r>
    </w:p>
    <w:p>
      <w:pPr>
        <w:pStyle w:val="ListParagraph"/>
        <w:numPr>
          <w:ilvl w:val="0"/>
          <w:numId w:val="2"/>
        </w:numPr>
        <w:spacing w:after="40" w:before="40"/>
      </w:pPr>
      <w:r>
        <w:rPr>
          <w:rFonts w:ascii="Arial" w:cs="Arial" w:eastAsia="Arial" w:hAnsi="Arial"/>
          <w:color w:val="2C3E50"/>
          <w:sz w:val="21"/>
          <w:szCs w:val="21"/>
        </w:rPr>
        <w:t xml:space="preserve">Training &amp; Development shrank -50% (N240M to N120M) — cutting capacity building to save money has long-term governance costs. Civil servants not trained = poor service delivery.</w:t>
      </w:r>
    </w:p>
    <w:p>
      <w:pPr>
        <w:pStyle w:val="ListParagraph"/>
        <w:numPr>
          <w:ilvl w:val="0"/>
          <w:numId w:val="2"/>
        </w:numPr>
        <w:spacing w:after="40" w:before="40"/>
      </w:pPr>
      <w:r>
        <w:rPr>
          <w:rFonts w:ascii="Arial" w:cs="Arial" w:eastAsia="Arial" w:hAnsi="Arial"/>
          <w:color w:val="2C3E50"/>
          <w:sz w:val="21"/>
          <w:szCs w:val="21"/>
        </w:rPr>
        <w:t xml:space="preserve">IGR declined -10.6% — this is Lagos State's own revenue, directly under its control. Declining IGR = weakening fiscal independence.</w:t>
      </w:r>
    </w:p>
    <w:p>
      <w:pPr>
        <w:pStyle w:val="ListParagraph"/>
        <w:numPr>
          <w:ilvl w:val="0"/>
          <w:numId w:val="2"/>
        </w:numPr>
        <w:spacing w:after="40" w:before="40"/>
      </w:pPr>
      <w:r>
        <w:rPr>
          <w:rFonts w:ascii="Arial" w:cs="Arial" w:eastAsia="Arial" w:hAnsi="Arial"/>
          <w:color w:val="2C3E50"/>
          <w:sz w:val="21"/>
          <w:szCs w:val="21"/>
        </w:rPr>
        <w:t xml:space="preserve">Personnel Cost grew +9.6% — wage bill expanding. If this outpaces IGR growth (-10.6%), recurrent expenditure increasingly crowds out capital investment.</w:t>
      </w:r>
    </w:p>
    <w:p>
      <w:pPr>
        <w:pStyle w:val="ListParagraph"/>
        <w:numPr>
          <w:ilvl w:val="0"/>
          <w:numId w:val="2"/>
        </w:numPr>
        <w:spacing w:after="40" w:before="40"/>
      </w:pPr>
      <w:r>
        <w:rPr>
          <w:rFonts w:ascii="Arial" w:cs="Arial" w:eastAsia="Arial" w:hAnsi="Arial"/>
          <w:color w:val="2C3E50"/>
          <w:sz w:val="21"/>
          <w:szCs w:val="21"/>
        </w:rPr>
        <w:t xml:space="preserve">Contract Payment declined -20.1% — fewer new contracts or completed projects. Could indicate improved project management or declining capital investment pipeline.</w:t>
      </w:r>
    </w:p>
    <w:p>
      <w:pPr>
        <w:spacing w:after="0" w:before="100"/>
      </w:pPr>
      <w:r>
        <w:t xml:space="preserve"/>
      </w:r>
    </w:p>
    <w:p>
      <w:pPr>
        <w:pStyle w:val="Heading2"/>
        <w:spacing w:after="100" w:before="280"/>
      </w:pPr>
      <w:r>
        <w:rPr>
          <w:rFonts w:ascii="Arial" w:cs="Arial" w:eastAsia="Arial" w:hAnsi="Arial"/>
          <w:b/>
          <w:bCs/>
          <w:color w:val="1A5276"/>
          <w:sz w:val="26"/>
          <w:szCs w:val="26"/>
        </w:rPr>
        <w:t xml:space="preserve">Section 5 — Actual Statistical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CENTRAL TENDENCY — ACTUAL AMOUNT:</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Mean  : N190,398,195.90  &lt;- inflated by FAAC mega-transfers</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Median: N 42,275,263.06  &lt;- TRUE typical transaction</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Skew  : +3.114  (strong right-skew)</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CENTRAL TENDENCY — VARIANCE PCT:</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Mean  : +0.37%  (near zero — balanced at aggregate)</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Median: +0.44%</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Skew  : -0.212  (approximately symmetric)</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CENTRAL TENDENCY — UTILISATION RATE:</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Mean  :  72.04%</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Median:  73.40%</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Skew  :  -0.486  (slight left — few very low utilisation projects)</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CENTRAL TENDENCY — PROCESSING DAYS:</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Mean  :  23.68 days</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Median:  24.00 days</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Skew  :  -0.080  (approximately symmetric — consistent timelines)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PERCENTILE LADDER — ACTUAL AMOUNT:</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P10 (10% below) : N     3,955,302</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Q1  (25%)       : N    10,707,559</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Median          : N    42,275,263</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Q3  (75%)       : N   161,711,804</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P90 (top 10%)   : N   554,122,194</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P99 (top 1%)    : N 1,800,990,464</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IQR (Q3-Q1)     : N   151,004,245</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Upper fence     : N   388,218,171</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Outliers        : 195 transactions (13.4%)</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4A" w:sz="8"/>
              <w:left w:val="single" w:color="00704A" w:sz="8"/>
              <w:bottom w:val="single" w:color="BDC3C7" w:sz="1"/>
              <w:right w:val="single" w:color="BDC3C7" w:sz="1"/>
            </w:tcBorders>
            <w:shd w:fill="E6F4F0" w:val="clear"/>
            <w:tcMar>
              <w:top w:type="dxa" w:w="100"/>
              <w:left w:type="dxa" w:w="180"/>
              <w:bottom w:type="dxa" w:w="100"/>
              <w:right w:type="dxa" w:w="180"/>
            </w:tcMar>
          </w:tcPr>
          <w:p>
            <w:pPr>
              <w:spacing w:after="60" w:before="0"/>
            </w:pPr>
            <w:r>
              <w:rPr>
                <w:rFonts w:ascii="Arial" w:cs="Arial" w:eastAsia="Arial" w:hAnsi="Arial"/>
                <w:b/>
                <w:bCs/>
                <w:color w:val="00704A"/>
                <w:sz w:val="20"/>
                <w:szCs w:val="20"/>
              </w:rPr>
              <w:t xml:space="preserve">Why 13.4% Outliers are NOT Errors</w:t>
            </w:r>
          </w:p>
          <w:p>
            <w:pPr>
              <w:spacing w:after="0" w:before="0"/>
            </w:pPr>
            <w:r>
              <w:rPr>
                <w:rFonts w:ascii="Arial" w:cs="Arial" w:eastAsia="Arial" w:hAnsi="Arial"/>
                <w:color w:val="2C3E50"/>
                <w:sz w:val="20"/>
                <w:szCs w:val="20"/>
              </w:rPr>
              <w:t xml:space="preserve">195 transactions (13.4%) exceed the statistical upper fence of N388M. These are NOT data errors — they are legitimate FAAC transfers and IGR collections. In government financial data, the largest transactions are always the most important ones (federal allocations, tax collections). Never drop outliers in public finance analysis without explicit business justification.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CORRELATIONS WITH actual_amount:</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budget_amount     : +0.970  (Strong) — budget closely predicts actual</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variance_amount   : +0.235  (Weak)   — larger txns have larger absolute variances</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variance_pct      : +0.137  (Weak)   — size does not predict overrun %</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is_budget_overrun : +0.108  (Weak)   — larger txns slightly more likely to overrun</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processing_days   : -0.024  (Weak)   — speed is independent of transaction size</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utilisation_rate  : -0.014  (Weak)   — utilisation is independent of size</w:t>
            </w:r>
          </w:p>
        </w:tc>
      </w:tr>
    </w:tbl>
    <w:p>
      <w:pPr>
        <w:spacing w:after="0" w:before="80"/>
      </w:pPr>
      <w:r>
        <w:t xml:space="preserve"/>
      </w:r>
    </w:p>
    <w:p>
      <w:pPr>
        <w:spacing w:after="60" w:before="60"/>
      </w:pPr>
      <w:r>
        <w:rPr>
          <w:rFonts w:ascii="Arial" w:cs="Arial" w:eastAsia="Arial" w:hAnsi="Arial"/>
          <w:color w:val="2C3E50"/>
          <w:sz w:val="21"/>
          <w:szCs w:val="21"/>
        </w:rPr>
        <w:t xml:space="preserve">The most important correlation finding:</w:t>
      </w:r>
    </w:p>
    <w:p>
      <w:pPr>
        <w:pStyle w:val="ListParagraph"/>
        <w:numPr>
          <w:ilvl w:val="0"/>
          <w:numId w:val="2"/>
        </w:numPr>
        <w:spacing w:after="40" w:before="40"/>
      </w:pPr>
      <w:r>
        <w:rPr>
          <w:rFonts w:ascii="Arial" w:cs="Arial" w:eastAsia="Arial" w:hAnsi="Arial"/>
          <w:color w:val="2C3E50"/>
          <w:sz w:val="21"/>
          <w:szCs w:val="21"/>
        </w:rPr>
        <w:t xml:space="preserve">budget_amount ↔ actual_amount = +0.970 (near-perfect). Lagos State's budget planning is highly accurate at the individual transaction level — the approved budget is a reliable predictor of actual spending.</w:t>
      </w:r>
    </w:p>
    <w:p>
      <w:pPr>
        <w:pStyle w:val="ListParagraph"/>
        <w:numPr>
          <w:ilvl w:val="0"/>
          <w:numId w:val="2"/>
        </w:numPr>
        <w:spacing w:after="40" w:before="40"/>
      </w:pPr>
      <w:r>
        <w:rPr>
          <w:rFonts w:ascii="Arial" w:cs="Arial" w:eastAsia="Arial" w:hAnsi="Arial"/>
          <w:color w:val="2C3E50"/>
          <w:sz w:val="21"/>
          <w:szCs w:val="21"/>
        </w:rPr>
        <w:t xml:space="preserve">No strong correlation between transaction size and overrun rate (+0.108 is weak). Small grants and large capital projects are equally likely to overrun — budget discipline is a governance issue, not a scale issue.</w:t>
      </w:r>
    </w:p>
    <w:p>
      <w:pPr>
        <w:spacing w:after="0" w:before="200"/>
      </w:pPr>
      <w:r>
        <w:t xml:space="preserve"/>
      </w:r>
    </w:p>
    <w:p>
      <w:pPr>
        <w:pBdr>
          <w:bottom w:val="single" w:color="BDC3C7" w:sz="2" w:space="1"/>
        </w:pBdr>
        <w:spacing w:after="200" w:before="200"/>
      </w:pPr>
      <w:r>
        <w:t xml:space="preserve"/>
      </w:r>
    </w:p>
    <w:p>
      <w:pPr>
        <w:pStyle w:val="Heading1"/>
        <w:pBdr>
          <w:bottom w:val="single" w:color="D4AC0D" w:sz="6" w:space="6"/>
        </w:pBdr>
        <w:spacing w:after="120" w:before="400"/>
      </w:pPr>
      <w:r>
        <w:rPr>
          <w:rFonts w:ascii="Arial" w:cs="Arial" w:eastAsia="Arial" w:hAnsi="Arial"/>
          <w:b/>
          <w:bCs/>
          <w:color w:val="0D2B55"/>
          <w:sz w:val="30"/>
          <w:szCs w:val="30"/>
        </w:rPr>
        <w:t xml:space="preserve">Part 5 — Financial KPIs, Visualisation Guide &amp; Policy Recommendations</w:t>
      </w:r>
    </w:p>
    <w:p>
      <w:pPr>
        <w:pStyle w:val="Heading2"/>
        <w:spacing w:after="100" w:before="280"/>
      </w:pPr>
      <w:r>
        <w:rPr>
          <w:rFonts w:ascii="Arial" w:cs="Arial" w:eastAsia="Arial" w:hAnsi="Arial"/>
          <w:b/>
          <w:bCs/>
          <w:color w:val="1A5276"/>
          <w:sz w:val="26"/>
          <w:szCs w:val="26"/>
        </w:rPr>
        <w:t xml:space="preserve">The KPI Dashboard — Actual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LAGOS STATE GOVERNMENT — KPI DASHBOARD (2021-2023)</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Total Transactions            :          1,451</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Total Budgeted                : N  275,980,919,256</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Total Actual                  : N  276,267,782,248</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Overall Budget Variance       : N     +286,862,991  (+0.1%)</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Total Revenue                 : N  205,860,082,XXX  (N205.9B)</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Total Expenditure             : N   70,407,699,XXX  (N70.4B)</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Net Fiscal Balance            : N +135,452,383,XXX  (N135.5B SURPLUS)</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Budget Overrun Rate           :             51.5%</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Audit Flagged                 :               173</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Audit Queried                 :                90</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Avg Processing Days           :             23.7 days</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Avg Budget Utilisation %      :             72.0%</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IGR Dependency Ratio          :             21.6%</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FAAC Dependency Ratio         :             74.2%</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Revenue:Expenditure Ratio     :              2.92x</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Unique MDAs                   :                20</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1300"/>
        <w:gridCol w:w="3960"/>
      </w:tblGrid>
      <w:tr>
        <w:trPr>
          <w:tblHeader/>
        </w:trPr>
        <w:tc>
          <w:tcPr>
            <w:tcW w:type="dxa" w:w="15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KPI</w:t>
            </w:r>
          </w:p>
        </w:tc>
        <w:tc>
          <w:tcPr>
            <w:tcW w:type="dxa" w:w="12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Actual</w:t>
            </w:r>
          </w:p>
        </w:tc>
        <w:tc>
          <w:tcPr>
            <w:tcW w:type="dxa" w:w="12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Benchmark</w:t>
            </w:r>
          </w:p>
        </w:tc>
        <w:tc>
          <w:tcPr>
            <w:tcW w:type="dxa" w:w="13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Status</w:t>
            </w:r>
          </w:p>
        </w:tc>
        <w:tc>
          <w:tcPr>
            <w:tcW w:type="dxa" w:w="396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Action Required</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Budget Overrun Rate</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51.5%</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&lt;25%</w:t>
            </w:r>
          </w:p>
        </w:tc>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CRITICAL</w:t>
            </w:r>
          </w:p>
        </w:tc>
        <w:tc>
          <w:tcPr>
            <w:tcW w:type="dxa" w:w="39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Mandatory mid-year reviews for all MDAs with &gt;50% overrun history</w:t>
            </w:r>
          </w:p>
        </w:tc>
      </w:tr>
      <w:tr>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Avg Utilisation Rate</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72.0%</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&gt;=85%</w:t>
            </w:r>
          </w:p>
        </w:tc>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BELOW TARGET</w:t>
            </w:r>
          </w:p>
        </w:tc>
        <w:tc>
          <w:tcPr>
            <w:tcW w:type="dxa" w:w="39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Reform capital procurement timelines; penalise late project starts</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FAAC Dependency</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74.2%</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&lt;50%</w:t>
            </w:r>
          </w:p>
        </w:tc>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HIGH RISK</w:t>
            </w:r>
          </w:p>
        </w:tc>
        <w:tc>
          <w:tcPr>
            <w:tcW w:type="dxa" w:w="39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Grow IGR to reduce federal allocation vulnerability</w:t>
            </w:r>
          </w:p>
        </w:tc>
      </w:tr>
      <w:tr>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IGR Growth (2021-23)</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-10.6%</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&gt;=10%</w:t>
            </w:r>
          </w:p>
        </w:tc>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DECLINING</w:t>
            </w:r>
          </w:p>
        </w:tc>
        <w:tc>
          <w:tcPr>
            <w:tcW w:type="dxa" w:w="39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Digitise tax collection; expand Land Use Charge base</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Audit Queried Rate</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6.2%</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&lt;2%</w:t>
            </w:r>
          </w:p>
        </w:tc>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CRITICAL</w:t>
            </w:r>
          </w:p>
        </w:tc>
        <w:tc>
          <w:tcPr>
            <w:tcW w:type="dxa" w:w="39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90-day resolution mandate; special audit for MDAs with &gt;5 queries</w:t>
            </w:r>
          </w:p>
        </w:tc>
      </w:tr>
      <w:tr>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Processing Days</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23.7 days</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&lt;21 days</w:t>
            </w:r>
          </w:p>
        </w:tc>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NEAR TARGET</w:t>
            </w:r>
          </w:p>
        </w:tc>
        <w:tc>
          <w:tcPr>
            <w:tcW w:type="dxa" w:w="39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Minor optimisation needed; consider e-approval system</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Net Fiscal Balance</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N+135.5B surplus</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Positive</w:t>
            </w:r>
          </w:p>
        </w:tc>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STRONG</w:t>
            </w:r>
          </w:p>
        </w:tc>
        <w:tc>
          <w:tcPr>
            <w:tcW w:type="dxa" w:w="39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Maintain; consider investing surplus in long-term infrastructure bonds</w:t>
            </w:r>
          </w:p>
        </w:tc>
      </w:tr>
      <w:tr>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Revenue:Expenditure</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2.92x</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&gt;=2.0x</w:t>
            </w:r>
          </w:p>
        </w:tc>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STRONG</w:t>
            </w:r>
          </w:p>
        </w:tc>
        <w:tc>
          <w:tcPr>
            <w:tcW w:type="dxa" w:w="39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Healthy ratio — Lagos generates nearly 3x more than it spends</w:t>
            </w:r>
          </w:p>
        </w:tc>
      </w:tr>
    </w:tbl>
    <w:p>
      <w:pPr>
        <w:spacing w:after="0" w:before="100"/>
      </w:pPr>
      <w:r>
        <w:t xml:space="preserve"/>
      </w:r>
    </w:p>
    <w:p>
      <w:pPr>
        <w:pStyle w:val="Heading2"/>
        <w:spacing w:after="100" w:before="280"/>
      </w:pPr>
      <w:r>
        <w:rPr>
          <w:rFonts w:ascii="Arial" w:cs="Arial" w:eastAsia="Arial" w:hAnsi="Arial"/>
          <w:b/>
          <w:bCs/>
          <w:color w:val="1A5276"/>
          <w:sz w:val="26"/>
          <w:szCs w:val="26"/>
        </w:rPr>
        <w:t xml:space="preserve">Chart Interpretation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0"/>
        <w:gridCol w:w="2400"/>
        <w:gridCol w:w="4860"/>
      </w:tblGrid>
      <w:tr>
        <w:trPr>
          <w:tblHeader/>
        </w:trPr>
        <w:tc>
          <w:tcPr>
            <w:tcW w:type="dxa" w:w="13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Chart</w:t>
            </w:r>
          </w:p>
        </w:tc>
        <w:tc>
          <w:tcPr>
            <w:tcW w:type="dxa" w:w="8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Section</w:t>
            </w:r>
          </w:p>
        </w:tc>
        <w:tc>
          <w:tcPr>
            <w:tcW w:type="dxa" w:w="24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What It Shows</w:t>
            </w:r>
          </w:p>
        </w:tc>
        <w:tc>
          <w:tcPr>
            <w:tcW w:type="dxa" w:w="486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Key Government Finding</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Bar: Transaction Type</w:t>
            </w:r>
          </w:p>
        </w:tc>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7.1</w:t>
            </w:r>
          </w:p>
        </w:tc>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Revenue and expenditure by type (N Billions)</w:t>
            </w:r>
          </w:p>
        </w:tc>
        <w:tc>
          <w:tcPr>
            <w:tcW w:type="dxa" w:w="48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FAAC N152.84B (55.3%) dominates. IGR N44.54B (16.1%). Top 3 = 82.6% of all activity.</w:t>
            </w:r>
          </w:p>
        </w:tc>
      </w:tr>
      <w:tr>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Bar: Overrun Rate</w:t>
            </w:r>
          </w:p>
        </w:tc>
        <w:tc>
          <w:tcPr>
            <w:tcW w:type="dxa" w:w="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7.1</w:t>
            </w:r>
          </w:p>
        </w:tc>
        <w:tc>
          <w:tcPr>
            <w:tcW w:type="dxa" w:w="2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Budget overrun % by transaction type</w:t>
            </w:r>
          </w:p>
        </w:tc>
        <w:tc>
          <w:tcPr>
            <w:tcW w:type="dxa" w:w="48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Most types exceed 45% overrun — systemic budget culture issue</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Line: Revenue vs Expenditure</w:t>
            </w:r>
          </w:p>
        </w:tc>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7.2</w:t>
            </w:r>
          </w:p>
        </w:tc>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Quarterly R vs E comparison 2021-2023</w:t>
            </w:r>
          </w:p>
        </w:tc>
        <w:tc>
          <w:tcPr>
            <w:tcW w:type="dxa" w:w="48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Revenue (green) dramatically above expenditure (red) every quarter — strong fiscal surplus</w:t>
            </w:r>
          </w:p>
        </w:tc>
      </w:tr>
      <w:tr>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Bar: Net Balance</w:t>
            </w:r>
          </w:p>
        </w:tc>
        <w:tc>
          <w:tcPr>
            <w:tcW w:type="dxa" w:w="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7.2</w:t>
            </w:r>
          </w:p>
        </w:tc>
        <w:tc>
          <w:tcPr>
            <w:tcW w:type="dxa" w:w="2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Quarterly surplus/deficit bars</w:t>
            </w:r>
          </w:p>
        </w:tc>
        <w:tc>
          <w:tcPr>
            <w:tcW w:type="dxa" w:w="48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All bars positive (green) — no deficit quarter in 3 years</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Donut: Revenue Sources</w:t>
            </w:r>
          </w:p>
        </w:tc>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7.3</w:t>
            </w:r>
          </w:p>
        </w:tc>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FAAC vs IGR vs VAT share</w:t>
            </w:r>
          </w:p>
        </w:tc>
        <w:tc>
          <w:tcPr>
            <w:tcW w:type="dxa" w:w="48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FAAC 74.2%, IGR 21.6%, VAT 4.1% — dangerous FAAC dependency</w:t>
            </w:r>
          </w:p>
        </w:tc>
      </w:tr>
      <w:tr>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Bar: Payment Modes</w:t>
            </w:r>
          </w:p>
        </w:tc>
        <w:tc>
          <w:tcPr>
            <w:tcW w:type="dxa" w:w="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7.3</w:t>
            </w:r>
          </w:p>
        </w:tc>
        <w:tc>
          <w:tcPr>
            <w:tcW w:type="dxa" w:w="2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Volume by payment mode (NB)</w:t>
            </w:r>
          </w:p>
        </w:tc>
        <w:tc>
          <w:tcPr>
            <w:tcW w:type="dxa" w:w="48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IPPIS N79.4B leads. Cash N4.9B lowest — good fiscal governance</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Box: Processing Days</w:t>
            </w:r>
          </w:p>
        </w:tc>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7.4</w:t>
            </w:r>
          </w:p>
        </w:tc>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Consistency by transaction type</w:t>
            </w:r>
          </w:p>
        </w:tc>
        <w:tc>
          <w:tcPr>
            <w:tcW w:type="dxa" w:w="48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FAAC most consistent. CapEx most variable (1-45 days range)</w:t>
            </w:r>
          </w:p>
        </w:tc>
      </w:tr>
      <w:tr>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Box: Variance %</w:t>
            </w:r>
          </w:p>
        </w:tc>
        <w:tc>
          <w:tcPr>
            <w:tcW w:type="dxa" w:w="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7.4</w:t>
            </w:r>
          </w:p>
        </w:tc>
        <w:tc>
          <w:tcPr>
            <w:tcW w:type="dxa" w:w="2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Budget variance spread by type</w:t>
            </w:r>
          </w:p>
        </w:tc>
        <w:tc>
          <w:tcPr>
            <w:tcW w:type="dxa" w:w="48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Types with boxes crossing 0% line have mixed over/underspend</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MDA Spend</w:t>
            </w:r>
          </w:p>
        </w:tc>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8.2</w:t>
            </w:r>
          </w:p>
        </w:tc>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Top 10 MDAs by actual spend</w:t>
            </w:r>
          </w:p>
        </w:tc>
        <w:tc>
          <w:tcPr>
            <w:tcW w:type="dxa" w:w="48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LSETF N21.3B, LIRS N20.6B, Finance N17.8B — top 3 = 21% of total</w:t>
            </w:r>
          </w:p>
        </w:tc>
      </w:tr>
      <w:tr>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MDA Overrun</w:t>
            </w:r>
          </w:p>
        </w:tc>
        <w:tc>
          <w:tcPr>
            <w:tcW w:type="dxa" w:w="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8.2</w:t>
            </w:r>
          </w:p>
        </w:tc>
        <w:tc>
          <w:tcPr>
            <w:tcW w:type="dxa" w:w="2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Worst overrun MDAs</w:t>
            </w:r>
          </w:p>
        </w:tc>
        <w:tc>
          <w:tcPr>
            <w:tcW w:type="dxa" w:w="48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Finance Ministry 61% — worst of all MDAs despite being the budget overseer</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MDA Utilisation</w:t>
            </w:r>
          </w:p>
        </w:tc>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8.2</w:t>
            </w:r>
          </w:p>
        </w:tc>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Utilisation rate by MDA</w:t>
            </w:r>
          </w:p>
        </w:tc>
        <w:tc>
          <w:tcPr>
            <w:tcW w:type="dxa" w:w="48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Ministry of Housing 78.3% highest — social housing executing well</w:t>
            </w:r>
          </w:p>
        </w:tc>
      </w:tr>
      <w:tr>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MDA Audit Issues</w:t>
            </w:r>
          </w:p>
        </w:tc>
        <w:tc>
          <w:tcPr>
            <w:tcW w:type="dxa" w:w="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8.2</w:t>
            </w:r>
          </w:p>
        </w:tc>
        <w:tc>
          <w:tcPr>
            <w:tcW w:type="dxa" w:w="2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Flagged+Queried count by MDA</w:t>
            </w:r>
          </w:p>
        </w:tc>
        <w:tc>
          <w:tcPr>
            <w:tcW w:type="dxa" w:w="48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Highest audit-risk MDAs identified — prioritise Auditor General resources</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9-Panel Dashboard</w:t>
            </w:r>
          </w:p>
        </w:tc>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9.1</w:t>
            </w:r>
          </w:p>
        </w:tc>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Complete executive overview</w:t>
            </w:r>
          </w:p>
        </w:tc>
        <w:tc>
          <w:tcPr>
            <w:tcW w:type="dxa" w:w="48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Full picture: fiscal strength, audit risks, revenue trends, processing efficiency</w:t>
            </w:r>
          </w:p>
        </w:tc>
      </w:tr>
    </w:tbl>
    <w:p>
      <w:pPr>
        <w:spacing w:after="0" w:before="100"/>
      </w:pPr>
      <w:r>
        <w:t xml:space="preserve"/>
      </w:r>
    </w:p>
    <w:p>
      <w:pPr>
        <w:pStyle w:val="Heading2"/>
        <w:spacing w:after="100" w:before="280"/>
      </w:pPr>
      <w:r>
        <w:rPr>
          <w:rFonts w:ascii="Arial" w:cs="Arial" w:eastAsia="Arial" w:hAnsi="Arial"/>
          <w:b/>
          <w:bCs/>
          <w:color w:val="1A5276"/>
          <w:sz w:val="26"/>
          <w:szCs w:val="26"/>
        </w:rPr>
        <w:t xml:space="preserve">Policy Recommendations from the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DATA-DRIVEN POLICY RECOMMENDATIONS:</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1. FISCAL POSITION: Revenue N205.9B | Expenditure N70.4B | Net +N135.5B</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Q1-to-Q4 growth: +11.9% overall</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-&gt; STRONG fiscal position. Lagos is Africa's richest sub-national government.</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2. BUDGET DISCIPLINE (CRITICAL):</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Overrun rate 51.5% — over half of transactions exceed approved budget</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Worst MDA: Ministry Of Finance (61.0% overrun)</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-&gt; Mandatory mid-year budget reviews. Performance bonds for repeat offenders.</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3. REVENUE INDEPENDENCE (STRATEGIC PRIORITY):</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FAAC dependency: 74.2% (target: &lt;50%)</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IGR growth 2021-2023: -10.6% (N16.6B -&gt; N14.8B)</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-&gt; Digitise property tax. Enforce consumption tax. Expand Land Use Charge.</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4. AUDIT COMPLIANCE (URGENT):</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Queried: 90 transactions = N14.67B exposure</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Flagged: 173 transactions under active review</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-&gt; 90-day resolution mandate. Special audit for MDAs with &gt;5 queried txns.</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5. CAPITAL EXECUTION:</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Avg utilisation: 72.0% (target: 85%+)</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Training &amp; Development declined -50%</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-&gt; Reform procurement timelines. Penalise late project starts.</w:t>
            </w:r>
          </w:p>
        </w:tc>
      </w:tr>
    </w:tbl>
    <w:p>
      <w:pPr>
        <w:spacing w:after="0" w:before="200"/>
      </w:pPr>
      <w:r>
        <w:t xml:space="preserve"/>
      </w:r>
    </w:p>
    <w:p>
      <w:pPr>
        <w:spacing w:after="60" w:before="200"/>
        <w:jc w:val="center"/>
      </w:pPr>
      <w:r>
        <w:rPr>
          <w:rFonts w:ascii="Arial" w:cs="Arial" w:eastAsia="Arial" w:hAnsi="Arial"/>
          <w:b/>
          <w:bCs/>
          <w:color w:val="0D2B55"/>
          <w:sz w:val="20"/>
          <w:szCs w:val="20"/>
        </w:rPr>
        <w:t xml:space="preserve">LAGOS STATE GOVERNMENT FINANCIAL ANALYTICS | COMPREHENSIVE STUDY NOTES</w:t>
      </w:r>
    </w:p>
    <w:p>
      <w:pPr>
        <w:spacing w:after="60" w:before="0"/>
        <w:jc w:val="center"/>
      </w:pPr>
      <w:r>
        <w:rPr>
          <w:rFonts w:ascii="Arial" w:cs="Arial" w:eastAsia="Arial" w:hAnsi="Arial"/>
          <w:color w:val="BDC3C7"/>
          <w:sz w:val="18"/>
          <w:szCs w:val="18"/>
        </w:rPr>
        <w:t xml:space="preserve">Trainer: Kajola Gbenga Adewale | Prodigy Training Hub | Zedcrest Capital | 2026</w:t>
      </w:r>
    </w:p>
    <w:p>
      <w:pPr>
        <w:spacing w:after="0" w:before="0"/>
        <w:jc w:val="center"/>
      </w:pPr>
      <w:r>
        <w:rPr>
          <w:rFonts w:ascii="Arial" w:cs="Arial" w:eastAsia="Arial" w:hAnsi="Arial"/>
          <w:color w:val="BDC3C7"/>
          <w:sz w:val="17"/>
          <w:szCs w:val="17"/>
        </w:rPr>
        <w:t xml:space="preserve">CONFIDENTIAL | All figures verified from actual execution of Lagos_Finance_Analytics.ipynb</w:t>
      </w:r>
    </w:p>
    <w:sectPr>
      <w:headerReference w:type="default" r:id="rId7"/>
      <w:footerReference w:type="default" r:id="rId8"/>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2" w:space="4"/>
      </w:pBdr>
      <w:spacing w:after="0" w:before="80"/>
    </w:pPr>
    <w:r>
      <w:rPr>
        <w:rFonts w:ascii="Arial" w:cs="Arial" w:eastAsia="Arial" w:hAnsi="Arial"/>
        <w:color w:val="BDC3C7"/>
        <w:sz w:val="16"/>
        <w:szCs w:val="16"/>
      </w:rPr>
      <w:t xml:space="preserve">CONFIDENTIAL | Kajola Gbenga Adewale | Prodigy Training Hub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C0D" w:sz="3" w:space="4"/>
      </w:pBdr>
      <w:spacing w:after="100" w:before="0"/>
    </w:pPr>
    <w:r>
      <w:rPr>
        <w:rFonts w:ascii="Arial" w:cs="Arial" w:eastAsia="Arial" w:hAnsi="Arial"/>
        <w:color w:val="1A5276"/>
        <w:sz w:val="18"/>
        <w:szCs w:val="18"/>
      </w:rPr>
      <w:t xml:space="preserve">Lagos State Government Financial Analytics | Comprehensive Study Notes | All outputs verified | Zedcrest Capital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0D2B55"/>
      <w:sz w:val="30"/>
      <w:szCs w:val="30"/>
    </w:rPr>
  </w:style>
  <w:style w:type="paragraph" w:styleId="Heading2">
    <w:name w:val="Heading 2"/>
    <w:basedOn w:val="Normal"/>
    <w:next w:val="Normal"/>
    <w:qFormat/>
    <w:pPr>
      <w:spacing w:after="100" w:before="280"/>
      <w:outlineLvl w:val="1"/>
    </w:pPr>
    <w:rPr>
      <w:rFonts w:ascii="Arial" w:cs="Arial" w:eastAsia="Arial" w:hAnsi="Arial"/>
      <w:b/>
      <w:bCs/>
      <w:color w:val="1A527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980B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2026-06-06T17:28:31.259Z</dcterms:created>
  <dcterms:modified xsi:type="dcterms:W3CDTF">2026-06-06T17:28:31.272Z</dcterms:modified>
</cp:coreProperties>
</file>

<file path=docProps/custom.xml><?xml version="1.0" encoding="utf-8"?>
<Properties xmlns="http://schemas.openxmlformats.org/officeDocument/2006/custom-properties" xmlns:vt="http://schemas.openxmlformats.org/officeDocument/2006/docPropsVTypes"/>
</file>