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1A0F" w:val="clear"/>
            <w:tcMar>
              <w:top w:type="dxa" w:w="480"/>
              <w:left w:type="dxa" w:w="400"/>
              <w:bottom w:type="dxa" w:w="480"/>
              <w:right w:type="dxa" w:w="400"/>
            </w:tcMar>
          </w:tcPr>
          <w:p>
            <w:pPr>
              <w:spacing w:after="80" w:before="0"/>
              <w:jc w:val="center"/>
            </w:pPr>
            <w:r>
              <w:rPr>
                <w:rFonts w:ascii="Arial" w:cs="Arial" w:eastAsia="Arial" w:hAnsi="Arial"/>
                <w:b/>
                <w:bCs/>
                <w:color w:val="D4AC0D"/>
                <w:sz w:val="40"/>
                <w:szCs w:val="40"/>
              </w:rPr>
              <w:t xml:space="preserve">LAGOS STATE GOVERNMENT</w:t>
            </w:r>
          </w:p>
          <w:p>
            <w:pPr>
              <w:spacing w:after="60" w:before="0"/>
              <w:jc w:val="center"/>
            </w:pPr>
            <w:r>
              <w:rPr>
                <w:rFonts w:ascii="Arial" w:cs="Arial" w:eastAsia="Arial" w:hAnsi="Arial"/>
                <w:b/>
                <w:bCs/>
                <w:color w:val="FFFFFF"/>
                <w:sz w:val="28"/>
                <w:szCs w:val="28"/>
              </w:rPr>
              <w:t xml:space="preserve">FINANCIAL &amp; BUDGET ANALYTICS</w:t>
            </w:r>
          </w:p>
          <w:p>
            <w:pPr>
              <w:spacing w:after="200" w:before="60"/>
              <w:jc w:val="center"/>
            </w:pPr>
            <w:r>
              <w:rPr>
                <w:rFonts w:ascii="Arial" w:cs="Arial" w:eastAsia="Arial" w:hAnsi="Arial"/>
                <w:color w:val="94A3B8"/>
                <w:sz w:val="20"/>
                <w:szCs w:val="20"/>
              </w:rPr>
              <w:t xml:space="preserve">COMPREHENSIVE STUDY NOTES — FULLY UPDATED EDITION</w:t>
            </w:r>
          </w:p>
          <w:p>
            <w:pPr>
              <w:spacing w:after="60" w:before="200"/>
              <w:jc w:val="center"/>
            </w:pPr>
            <w:r>
              <w:rPr>
                <w:rFonts w:ascii="Arial" w:cs="Arial" w:eastAsia="Arial" w:hAnsi="Arial"/>
                <w:b/>
                <w:bCs/>
                <w:color w:val="FFFFFF"/>
                <w:sz w:val="22"/>
                <w:szCs w:val="22"/>
              </w:rPr>
              <w:t xml:space="preserve">1,451 Transactions  |  22 Columns  |  Fiscal Years 2021–2023</w:t>
            </w:r>
          </w:p>
          <w:p>
            <w:pPr>
              <w:spacing w:after="80" w:before="0"/>
              <w:jc w:val="center"/>
            </w:pPr>
            <w:r>
              <w:rPr>
                <w:rFonts w:ascii="Arial" w:cs="Arial" w:eastAsia="Arial" w:hAnsi="Arial"/>
                <w:color w:val="D4AC0D"/>
                <w:sz w:val="20"/>
                <w:szCs w:val="20"/>
              </w:rPr>
              <w:t xml:space="preserve">Total Budget: ₦275.98B  |  Total Actual: ₦276.27B  |  Net Surplus: +₦135.45B</w:t>
            </w:r>
          </w:p>
          <w:p>
            <w:pPr>
              <w:spacing w:after="40" w:before="180"/>
              <w:jc w:val="center"/>
            </w:pPr>
            <w:r>
              <w:rPr>
                <w:rFonts w:ascii="Arial" w:cs="Arial" w:eastAsia="Arial" w:hAnsi="Arial"/>
                <w:b/>
                <w:bCs/>
                <w:color w:val="FFFFFF"/>
                <w:sz w:val="19"/>
                <w:szCs w:val="19"/>
              </w:rPr>
              <w:t xml:space="preserve">Zedcrest Capital | Prodigy Training Hub | Kajola Gbenga Adewale | 2026</w:t>
            </w:r>
          </w:p>
          <w:p>
            <w:pPr>
              <w:spacing w:after="0" w:before="0"/>
              <w:jc w:val="center"/>
            </w:pPr>
            <w:r>
              <w:rPr>
                <w:rFonts w:ascii="Arial" w:cs="Arial" w:eastAsia="Arial" w:hAnsi="Arial"/>
                <w:color w:val="475569"/>
                <w:sz w:val="17"/>
                <w:szCs w:val="17"/>
              </w:rPr>
              <w:t xml:space="preserve">CONFIDENTIAL — All outputs verified from actual notebook execution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What This Document Covers</w:t>
            </w:r>
          </w:p>
          <w:p>
            <w:pPr>
              <w:spacing w:after="0" w:before="0"/>
            </w:pPr>
            <w:r>
              <w:rPr>
                <w:rFonts w:ascii="Arial" w:cs="Arial" w:eastAsia="Arial" w:hAnsi="Arial"/>
                <w:color w:val="2C3E50"/>
                <w:sz w:val="20"/>
                <w:szCs w:val="20"/>
              </w:rPr>
              <w:t xml:space="preserve">This is the COMPLETE companion to Lagos_Finance_Analytics.ipynb and lagos_finance_data.csv. It covers six things: (1) The aim of the project — why it exists and what problem it solves; (2) The impact — what difference this analysis makes to real government operations; (3) Every column in the dataset — what it means and why it matters; (4) Every code cell explained line by line — what each line does, why it is written that way, and what problem it solves; (5) Every output explained with exact verified numbers — what the results mean in a public sector finance context; (6) Business and policy implications — the real-world consequences of each finding. Nothing is assumed. Everything is explained.</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The Aim and Impact of This Project</w:t>
      </w:r>
    </w:p>
    <w:p>
      <w:pPr>
        <w:pStyle w:val="Heading2"/>
        <w:spacing w:after="100" w:before="280"/>
      </w:pPr>
      <w:r>
        <w:rPr>
          <w:rFonts w:ascii="Arial" w:cs="Arial" w:eastAsia="Arial" w:hAnsi="Arial"/>
          <w:b/>
          <w:bCs/>
          <w:color w:val="1A5276"/>
          <w:sz w:val="26"/>
          <w:szCs w:val="26"/>
        </w:rPr>
        <w:t xml:space="preserve">1.1 — Why This Project Exists: The Core Problem</w:t>
      </w:r>
    </w:p>
    <w:p>
      <w:pPr>
        <w:spacing w:after="60" w:before="60"/>
      </w:pPr>
      <w:r>
        <w:rPr>
          <w:rFonts w:ascii="Arial" w:cs="Arial" w:eastAsia="Arial" w:hAnsi="Arial"/>
          <w:color w:val="2C3E50"/>
          <w:sz w:val="21"/>
          <w:szCs w:val="21"/>
        </w:rPr>
        <w:t xml:space="preserve">Lagos State Government manages over ₦276 billion in financial transactions every three years across 20 Ministries, Departments, and Agencies (MDAs). Without data analytics, monitoring this scale of financial activity is physically impossible:</w:t>
      </w:r>
    </w:p>
    <w:p>
      <w:pPr>
        <w:spacing w:after="0" w:before="60"/>
      </w:pPr>
      <w:r>
        <w:t xml:space="preserve"/>
      </w:r>
    </w:p>
    <w:p>
      <w:pPr>
        <w:pStyle w:val="ListParagraph"/>
        <w:numPr>
          <w:ilvl w:val="0"/>
          <w:numId w:val="2"/>
        </w:numPr>
        <w:spacing w:after="40" w:before="40"/>
      </w:pPr>
      <w:r>
        <w:rPr>
          <w:rFonts w:ascii="Arial" w:cs="Arial" w:eastAsia="Arial" w:hAnsi="Arial"/>
          <w:color w:val="2C3E50"/>
          <w:sz w:val="21"/>
          <w:szCs w:val="21"/>
        </w:rPr>
        <w:t xml:space="preserve">20 MDAs each produce monthly transaction reports — 240 separate documents per year</w:t>
      </w:r>
    </w:p>
    <w:p>
      <w:pPr>
        <w:pStyle w:val="ListParagraph"/>
        <w:numPr>
          <w:ilvl w:val="0"/>
          <w:numId w:val="2"/>
        </w:numPr>
        <w:spacing w:after="40" w:before="40"/>
      </w:pPr>
      <w:r>
        <w:rPr>
          <w:rFonts w:ascii="Arial" w:cs="Arial" w:eastAsia="Arial" w:hAnsi="Arial"/>
          <w:color w:val="2C3E50"/>
          <w:sz w:val="21"/>
          <w:szCs w:val="21"/>
        </w:rPr>
        <w:t xml:space="preserve">1,451 individual financial transactions over 3 years — each must be checked against its approved budget</w:t>
      </w:r>
    </w:p>
    <w:p>
      <w:pPr>
        <w:pStyle w:val="ListParagraph"/>
        <w:numPr>
          <w:ilvl w:val="0"/>
          <w:numId w:val="2"/>
        </w:numPr>
        <w:spacing w:after="40" w:before="40"/>
      </w:pPr>
      <w:r>
        <w:rPr>
          <w:rFonts w:ascii="Arial" w:cs="Arial" w:eastAsia="Arial" w:hAnsi="Arial"/>
          <w:color w:val="2C3E50"/>
          <w:sz w:val="21"/>
          <w:szCs w:val="21"/>
        </w:rPr>
        <w:t xml:space="preserve">90 queried transactions representing ₦11.01B in audit exposure — impossible to prioritise manually</w:t>
      </w:r>
    </w:p>
    <w:p>
      <w:pPr>
        <w:pStyle w:val="ListParagraph"/>
        <w:numPr>
          <w:ilvl w:val="0"/>
          <w:numId w:val="2"/>
        </w:numPr>
        <w:spacing w:after="40" w:before="40"/>
      </w:pPr>
      <w:r>
        <w:rPr>
          <w:rFonts w:ascii="Arial" w:cs="Arial" w:eastAsia="Arial" w:hAnsi="Arial"/>
          <w:color w:val="2C3E50"/>
          <w:sz w:val="21"/>
          <w:szCs w:val="21"/>
        </w:rPr>
        <w:t xml:space="preserve">IGR declining at -10.6% per year — a trend invisible without multi-year comparative analysis</w:t>
      </w:r>
    </w:p>
    <w:p>
      <w:pPr>
        <w:pStyle w:val="ListParagraph"/>
        <w:numPr>
          <w:ilvl w:val="0"/>
          <w:numId w:val="2"/>
        </w:numPr>
        <w:spacing w:after="40" w:before="40"/>
      </w:pPr>
      <w:r>
        <w:rPr>
          <w:rFonts w:ascii="Arial" w:cs="Arial" w:eastAsia="Arial" w:hAnsi="Arial"/>
          <w:color w:val="2C3E50"/>
          <w:sz w:val="21"/>
          <w:szCs w:val="21"/>
        </w:rPr>
        <w:t xml:space="preserve">51.5% budget overrun rate — detectable only by computing a ratio across all 1,451 transactions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4A" w:sz="8"/>
              <w:left w:val="single" w:color="00704A" w:sz="8"/>
              <w:bottom w:val="single" w:color="BDC3C7" w:sz="1"/>
              <w:right w:val="single" w:color="BDC3C7" w:sz="1"/>
            </w:tcBorders>
            <w:shd w:fill="E6F4F0" w:val="clear"/>
            <w:tcMar>
              <w:top w:type="dxa" w:w="100"/>
              <w:left w:type="dxa" w:w="180"/>
              <w:bottom w:type="dxa" w:w="100"/>
              <w:right w:type="dxa" w:w="180"/>
            </w:tcMar>
          </w:tcPr>
          <w:p>
            <w:pPr>
              <w:spacing w:after="60" w:before="0"/>
            </w:pPr>
            <w:r>
              <w:rPr>
                <w:rFonts w:ascii="Arial" w:cs="Arial" w:eastAsia="Arial" w:hAnsi="Arial"/>
                <w:b/>
                <w:bCs/>
                <w:color w:val="00704A"/>
                <w:sz w:val="20"/>
                <w:szCs w:val="20"/>
              </w:rPr>
              <w:t xml:space="preserve">The Fundamental Question This Project Answers</w:t>
            </w:r>
          </w:p>
          <w:p>
            <w:pPr>
              <w:spacing w:after="0" w:before="0"/>
            </w:pPr>
            <w:r>
              <w:rPr>
                <w:rFonts w:ascii="Arial" w:cs="Arial" w:eastAsia="Arial" w:hAnsi="Arial"/>
                <w:color w:val="2C3E50"/>
                <w:sz w:val="20"/>
                <w:szCs w:val="20"/>
              </w:rPr>
              <w:t xml:space="preserve">'We approved a budget — did the money go where it was supposed to go, when it was supposed to go, and achieve what it was supposed to achieve?' This is the question every government Finance Commissioner, Public Accounts Committee member, and Auditor General must answer. Without data analytics, answering it takes months of manual work. With this Python analysis, it takes seconds.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1.2 — What Problem This Analysis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800"/>
        <w:gridCol w:w="2460"/>
      </w:tblGrid>
      <w:tr>
        <w:trPr>
          <w:tblHeader/>
        </w:trPr>
        <w:tc>
          <w:tcPr>
            <w:tcW w:type="dxa" w:w="31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Without This Analysis</w:t>
            </w:r>
          </w:p>
        </w:tc>
        <w:tc>
          <w:tcPr>
            <w:tcW w:type="dxa" w:w="3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With This Analysis</w:t>
            </w:r>
          </w:p>
        </w:tc>
        <w:tc>
          <w:tcPr>
            <w:tcW w:type="dxa" w:w="24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Time Saved</w:t>
            </w:r>
          </w:p>
        </w:tc>
      </w:tr>
      <w:tr>
        <w:tc>
          <w:tcPr>
            <w:tcW w:type="dxa" w:w="3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Finance officers manually review thousands of payment receipts</w:t>
            </w:r>
          </w:p>
        </w:tc>
        <w:tc>
          <w:tcPr>
            <w:tcW w:type="dxa" w:w="3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Instantly filter and rank all 1,451 transactions by risk level</w:t>
            </w:r>
          </w:p>
        </w:tc>
        <w:tc>
          <w:tcPr>
            <w:tcW w:type="dxa" w:w="2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Weeks → Seconds</w:t>
            </w:r>
          </w:p>
        </w:tc>
      </w:tr>
      <w:tr>
        <w:tc>
          <w:tcPr>
            <w:tcW w:type="dxa" w:w="3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 overruns discovered months after they occur, if ever</w:t>
            </w:r>
          </w:p>
        </w:tc>
        <w:tc>
          <w:tcPr>
            <w:tcW w:type="dxa" w:w="3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51.5% overrun rate detected and MDAs ranked in under 1 second</w:t>
            </w:r>
          </w:p>
        </w:tc>
        <w:tc>
          <w:tcPr>
            <w:tcW w:type="dxa" w:w="2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Months → Instant</w:t>
            </w:r>
          </w:p>
        </w:tc>
      </w:tr>
      <w:tr>
        <w:tc>
          <w:tcPr>
            <w:tcW w:type="dxa" w:w="3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 MDAs each submit separate reports; cross-comparison impossible</w:t>
            </w:r>
          </w:p>
        </w:tc>
        <w:tc>
          <w:tcPr>
            <w:tcW w:type="dxa" w:w="3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All 20 MDAs ranked in one table by spend, overrun rate, and audit issues</w:t>
            </w:r>
          </w:p>
        </w:tc>
        <w:tc>
          <w:tcPr>
            <w:tcW w:type="dxa" w:w="2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Days → Seconds</w:t>
            </w:r>
          </w:p>
        </w:tc>
      </w:tr>
      <w:tr>
        <w:tc>
          <w:tcPr>
            <w:tcW w:type="dxa" w:w="3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IGR collection trends go unnoticed until year-end</w:t>
            </w:r>
          </w:p>
        </w:tc>
        <w:tc>
          <w:tcPr>
            <w:tcW w:type="dxa" w:w="3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IGR declined -10.6% (₦16.6B → ₦14.8B) flagged with year-over-year data</w:t>
            </w:r>
          </w:p>
        </w:tc>
        <w:tc>
          <w:tcPr>
            <w:tcW w:type="dxa" w:w="2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Quarterly reports → Instant</w:t>
            </w:r>
          </w:p>
        </w:tc>
      </w:tr>
      <w:tr>
        <w:tc>
          <w:tcPr>
            <w:tcW w:type="dxa" w:w="3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₦11.01B in queried transactions buried in transaction logs</w:t>
            </w:r>
          </w:p>
        </w:tc>
        <w:tc>
          <w:tcPr>
            <w:tcW w:type="dxa" w:w="3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90 queried transactions surface immediately with single filter</w:t>
            </w:r>
          </w:p>
        </w:tc>
        <w:tc>
          <w:tcPr>
            <w:tcW w:type="dxa" w:w="2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Manual search → 1 line of code</w:t>
            </w:r>
          </w:p>
        </w:tc>
      </w:tr>
      <w:tr>
        <w:tc>
          <w:tcPr>
            <w:tcW w:type="dxa" w:w="3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way to rank which transactions need audit attention first</w:t>
            </w:r>
          </w:p>
        </w:tc>
        <w:tc>
          <w:tcPr>
            <w:tcW w:type="dxa" w:w="3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Audit priority score (0–100) ranks every transaction automatically</w:t>
            </w:r>
          </w:p>
        </w:tc>
        <w:tc>
          <w:tcPr>
            <w:tcW w:type="dxa" w:w="2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system → Algorithmic</w:t>
            </w:r>
          </w:p>
        </w:tc>
      </w:tr>
      <w:tr>
        <w:tc>
          <w:tcPr>
            <w:tcW w:type="dxa" w:w="3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Quarterly financial report takes 5 analysts 3 weeks to produce</w:t>
            </w:r>
          </w:p>
        </w:tc>
        <w:tc>
          <w:tcPr>
            <w:tcW w:type="dxa" w:w="3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9-panel BI dashboard generated in one notebook run</w:t>
            </w:r>
          </w:p>
        </w:tc>
        <w:tc>
          <w:tcPr>
            <w:tcW w:type="dxa" w:w="2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weeks → 30 minutes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1.3 — The Impact: What This Analysis Enables</w:t>
      </w:r>
    </w:p>
    <w:p>
      <w:pPr>
        <w:spacing w:after="60" w:before="60"/>
      </w:pPr>
      <w:r>
        <w:rPr>
          <w:rFonts w:ascii="Arial" w:cs="Arial" w:eastAsia="Arial" w:hAnsi="Arial"/>
          <w:color w:val="2C3E50"/>
          <w:sz w:val="21"/>
          <w:szCs w:val="21"/>
        </w:rPr>
        <w:t xml:space="preserve">This project produces four categories of impact:</w:t>
      </w:r>
    </w:p>
    <w:p>
      <w:pPr>
        <w:spacing w:after="0" w:before="60"/>
      </w:pPr>
      <w:r>
        <w:t xml:space="preserve"/>
      </w:r>
    </w:p>
    <w:p>
      <w:pPr>
        <w:spacing w:after="80" w:before="200"/>
      </w:pPr>
      <w:r>
        <w:rPr>
          <w:rFonts w:ascii="Arial" w:cs="Arial" w:eastAsia="Arial" w:hAnsi="Arial"/>
          <w:b/>
          <w:bCs/>
          <w:color w:val="2980B9"/>
          <w:sz w:val="23"/>
          <w:szCs w:val="23"/>
        </w:rPr>
        <w:t xml:space="preserve">Fiscal Transparency</w:t>
      </w:r>
    </w:p>
    <w:p>
      <w:pPr>
        <w:pStyle w:val="ListParagraph"/>
        <w:numPr>
          <w:ilvl w:val="0"/>
          <w:numId w:val="2"/>
        </w:numPr>
        <w:spacing w:after="40" w:before="40"/>
      </w:pPr>
      <w:r>
        <w:rPr>
          <w:rFonts w:ascii="Arial" w:cs="Arial" w:eastAsia="Arial" w:hAnsi="Arial"/>
          <w:color w:val="2C3E50"/>
          <w:sz w:val="21"/>
          <w:szCs w:val="21"/>
        </w:rPr>
        <w:t xml:space="preserve">For the first time, the complete 3-year financial picture is in one place: ₦275.98B budgeted, ₦276.27B spent, +₦135.45B net surplus from revenue exceeding expenditure</w:t>
      </w:r>
    </w:p>
    <w:p>
      <w:pPr>
        <w:pStyle w:val="ListParagraph"/>
        <w:numPr>
          <w:ilvl w:val="0"/>
          <w:numId w:val="2"/>
        </w:numPr>
        <w:spacing w:after="40" w:before="40"/>
      </w:pPr>
      <w:r>
        <w:rPr>
          <w:rFonts w:ascii="Arial" w:cs="Arial" w:eastAsia="Arial" w:hAnsi="Arial"/>
          <w:color w:val="2C3E50"/>
          <w:sz w:val="21"/>
          <w:szCs w:val="21"/>
        </w:rPr>
        <w:t xml:space="preserve">Every MDA's performance is quantified, ranked, and comparable — no MDA can hide poor budget management in thick paper reports</w:t>
      </w:r>
    </w:p>
    <w:p>
      <w:pPr>
        <w:pStyle w:val="ListParagraph"/>
        <w:numPr>
          <w:ilvl w:val="0"/>
          <w:numId w:val="2"/>
        </w:numPr>
        <w:spacing w:after="40" w:before="40"/>
      </w:pPr>
      <w:r>
        <w:rPr>
          <w:rFonts w:ascii="Arial" w:cs="Arial" w:eastAsia="Arial" w:hAnsi="Arial"/>
          <w:color w:val="2C3E50"/>
          <w:sz w:val="21"/>
          <w:szCs w:val="21"/>
        </w:rPr>
        <w:t xml:space="preserve">The governance paradox is revealed by data: the Ministry of Finance (the budget control authority) has the HIGHEST overrun rate at 61.0%</w:t>
      </w:r>
    </w:p>
    <w:p>
      <w:pPr>
        <w:spacing w:after="0" w:before="80"/>
      </w:pPr>
      <w:r>
        <w:t xml:space="preserve"/>
      </w:r>
    </w:p>
    <w:p>
      <w:pPr>
        <w:spacing w:after="80" w:before="200"/>
      </w:pPr>
      <w:r>
        <w:rPr>
          <w:rFonts w:ascii="Arial" w:cs="Arial" w:eastAsia="Arial" w:hAnsi="Arial"/>
          <w:b/>
          <w:bCs/>
          <w:color w:val="2980B9"/>
          <w:sz w:val="23"/>
          <w:szCs w:val="23"/>
        </w:rPr>
        <w:t xml:space="preserve">Audit Efficiency</w:t>
      </w:r>
    </w:p>
    <w:p>
      <w:pPr>
        <w:pStyle w:val="ListParagraph"/>
        <w:numPr>
          <w:ilvl w:val="0"/>
          <w:numId w:val="2"/>
        </w:numPr>
        <w:spacing w:after="40" w:before="40"/>
      </w:pPr>
      <w:r>
        <w:rPr>
          <w:rFonts w:ascii="Arial" w:cs="Arial" w:eastAsia="Arial" w:hAnsi="Arial"/>
          <w:color w:val="2C3E50"/>
          <w:sz w:val="21"/>
          <w:szCs w:val="21"/>
        </w:rPr>
        <w:t xml:space="preserve">90 queried transactions (₦11.01B) are identified and separated from 1,361 clean transactions in one line of code</w:t>
      </w:r>
    </w:p>
    <w:p>
      <w:pPr>
        <w:pStyle w:val="ListParagraph"/>
        <w:numPr>
          <w:ilvl w:val="0"/>
          <w:numId w:val="2"/>
        </w:numPr>
        <w:spacing w:after="40" w:before="40"/>
      </w:pPr>
      <w:r>
        <w:rPr>
          <w:rFonts w:ascii="Arial" w:cs="Arial" w:eastAsia="Arial" w:hAnsi="Arial"/>
          <w:color w:val="2C3E50"/>
          <w:sz w:val="21"/>
          <w:szCs w:val="21"/>
        </w:rPr>
        <w:t xml:space="preserve">Audit priority scores (0–100) rank all 1,451 transactions — the Auditor General's 5-person team knows exactly where to start</w:t>
      </w:r>
    </w:p>
    <w:p>
      <w:pPr>
        <w:pStyle w:val="ListParagraph"/>
        <w:numPr>
          <w:ilvl w:val="0"/>
          <w:numId w:val="2"/>
        </w:numPr>
        <w:spacing w:after="40" w:before="40"/>
      </w:pPr>
      <w:r>
        <w:rPr>
          <w:rFonts w:ascii="Arial" w:cs="Arial" w:eastAsia="Arial" w:hAnsi="Arial"/>
          <w:color w:val="2C3E50"/>
          <w:sz w:val="21"/>
          <w:szCs w:val="21"/>
        </w:rPr>
        <w:t xml:space="preserve">19 Critical-priority transactions surface automatically without any manual document review</w:t>
      </w:r>
    </w:p>
    <w:p>
      <w:pPr>
        <w:spacing w:after="0" w:before="80"/>
      </w:pPr>
      <w:r>
        <w:t xml:space="preserve"/>
      </w:r>
    </w:p>
    <w:p>
      <w:pPr>
        <w:spacing w:after="80" w:before="200"/>
      </w:pPr>
      <w:r>
        <w:rPr>
          <w:rFonts w:ascii="Arial" w:cs="Arial" w:eastAsia="Arial" w:hAnsi="Arial"/>
          <w:b/>
          <w:bCs/>
          <w:color w:val="2980B9"/>
          <w:sz w:val="23"/>
          <w:szCs w:val="23"/>
        </w:rPr>
        <w:t xml:space="preserve">Revenue Intelligence</w:t>
      </w:r>
    </w:p>
    <w:p>
      <w:pPr>
        <w:pStyle w:val="ListParagraph"/>
        <w:numPr>
          <w:ilvl w:val="0"/>
          <w:numId w:val="2"/>
        </w:numPr>
        <w:spacing w:after="40" w:before="40"/>
      </w:pPr>
      <w:r>
        <w:rPr>
          <w:rFonts w:ascii="Arial" w:cs="Arial" w:eastAsia="Arial" w:hAnsi="Arial"/>
          <w:color w:val="2C3E50"/>
          <w:sz w:val="21"/>
          <w:szCs w:val="21"/>
        </w:rPr>
        <w:t xml:space="preserve">FAAC dependency (74.2%) is quantified — Lagos State depends on Abuja for 3 in 4 naira of revenue</w:t>
      </w:r>
    </w:p>
    <w:p>
      <w:pPr>
        <w:pStyle w:val="ListParagraph"/>
        <w:numPr>
          <w:ilvl w:val="0"/>
          <w:numId w:val="2"/>
        </w:numPr>
        <w:spacing w:after="40" w:before="40"/>
      </w:pPr>
      <w:r>
        <w:rPr>
          <w:rFonts w:ascii="Arial" w:cs="Arial" w:eastAsia="Arial" w:hAnsi="Arial"/>
          <w:color w:val="2C3E50"/>
          <w:sz w:val="21"/>
          <w:szCs w:val="21"/>
        </w:rPr>
        <w:t xml:space="preserve">IGR trend (-10.6%) is measured — without this analysis, declining own-source revenue would not be detected until a fiscal crisis</w:t>
      </w:r>
    </w:p>
    <w:p>
      <w:pPr>
        <w:pStyle w:val="ListParagraph"/>
        <w:numPr>
          <w:ilvl w:val="0"/>
          <w:numId w:val="2"/>
        </w:numPr>
        <w:spacing w:after="40" w:before="40"/>
      </w:pPr>
      <w:r>
        <w:rPr>
          <w:rFonts w:ascii="Arial" w:cs="Arial" w:eastAsia="Arial" w:hAnsi="Arial"/>
          <w:color w:val="2C3E50"/>
          <w:sz w:val="21"/>
          <w:szCs w:val="21"/>
        </w:rPr>
        <w:t xml:space="preserve">The revenue:expenditure ratio (2.92×) confirms fiscal surplus while simultaneously revealing the risks hidden within the aggregate</w:t>
      </w:r>
    </w:p>
    <w:p>
      <w:pPr>
        <w:spacing w:after="0" w:before="80"/>
      </w:pPr>
      <w:r>
        <w:t xml:space="preserve"/>
      </w:r>
    </w:p>
    <w:p>
      <w:pPr>
        <w:spacing w:after="80" w:before="200"/>
      </w:pPr>
      <w:r>
        <w:rPr>
          <w:rFonts w:ascii="Arial" w:cs="Arial" w:eastAsia="Arial" w:hAnsi="Arial"/>
          <w:b/>
          <w:bCs/>
          <w:color w:val="2980B9"/>
          <w:sz w:val="23"/>
          <w:szCs w:val="23"/>
        </w:rPr>
        <w:t xml:space="preserve">Policy Action</w:t>
      </w:r>
    </w:p>
    <w:p>
      <w:pPr>
        <w:pStyle w:val="ListParagraph"/>
        <w:numPr>
          <w:ilvl w:val="0"/>
          <w:numId w:val="2"/>
        </w:numPr>
        <w:spacing w:after="40" w:before="40"/>
      </w:pPr>
      <w:r>
        <w:rPr>
          <w:rFonts w:ascii="Arial" w:cs="Arial" w:eastAsia="Arial" w:hAnsi="Arial"/>
          <w:color w:val="2C3E50"/>
          <w:sz w:val="21"/>
          <w:szCs w:val="21"/>
        </w:rPr>
        <w:t xml:space="preserve">Five data-driven recommendations are generated directly from the numbers — not opinions, not assumptions, but measured facts</w:t>
      </w:r>
    </w:p>
    <w:p>
      <w:pPr>
        <w:pStyle w:val="ListParagraph"/>
        <w:numPr>
          <w:ilvl w:val="0"/>
          <w:numId w:val="2"/>
        </w:numPr>
        <w:spacing w:after="40" w:before="40"/>
      </w:pPr>
      <w:r>
        <w:rPr>
          <w:rFonts w:ascii="Arial" w:cs="Arial" w:eastAsia="Arial" w:hAnsi="Arial"/>
          <w:color w:val="2C3E50"/>
          <w:sz w:val="21"/>
          <w:szCs w:val="21"/>
        </w:rPr>
        <w:t xml:space="preserve">Each recommendation is quantified: 'IGR is down ₦1.75B over 3 years' is more compelling to a Governor than 'IGR is declining'</w:t>
      </w:r>
    </w:p>
    <w:p>
      <w:pPr>
        <w:pStyle w:val="ListParagraph"/>
        <w:numPr>
          <w:ilvl w:val="0"/>
          <w:numId w:val="2"/>
        </w:numPr>
        <w:spacing w:after="40" w:before="40"/>
      </w:pPr>
      <w:r>
        <w:rPr>
          <w:rFonts w:ascii="Arial" w:cs="Arial" w:eastAsia="Arial" w:hAnsi="Arial"/>
          <w:color w:val="2C3E50"/>
          <w:sz w:val="21"/>
          <w:szCs w:val="21"/>
        </w:rPr>
        <w:t xml:space="preserve">The analysis is repeatable — run again next quarter with new data, the same insights are automatically updated</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The Dataset: Every Column Explained</w:t>
      </w:r>
    </w:p>
    <w:p>
      <w:pPr>
        <w:spacing w:after="60" w:before="60"/>
      </w:pPr>
      <w:r>
        <w:rPr>
          <w:rFonts w:ascii="Arial" w:cs="Arial" w:eastAsia="Arial" w:hAnsi="Arial"/>
          <w:color w:val="2C3E50"/>
          <w:sz w:val="21"/>
          <w:szCs w:val="21"/>
        </w:rPr>
        <w:t xml:space="preserve">The dataset lagos_finance_data.csv contains 1,451 rows (transactions) and 22 columns. Each row is one financial event recorded by Lagos State Government — a payment made, money received, or obligation settled.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2500"/>
        <w:gridCol w:w="3260"/>
      </w:tblGrid>
      <w:tr>
        <w:trPr>
          <w:tblHeader/>
        </w:trPr>
        <w:tc>
          <w:tcPr>
            <w:tcW w:type="dxa" w:w="13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4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Description</w:t>
            </w:r>
          </w:p>
        </w:tc>
        <w:tc>
          <w:tcPr>
            <w:tcW w:type="dxa" w:w="32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It Matters / Government Finance Role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LGS-2021-010001</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Unique ID: LGS-YEAR-SEQUENCE</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Primary key for audit trail. Every investigation, dispute, and reconciliation starts here.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fiscal_year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2021</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Calendar year (2021, 2022, 2023)</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Enables year-over-year comparison — the most important financial trend dimension.</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Q2</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 label Q1–Q4</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 State submits quarterly budget performance reports to the House of Assembly using this column.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April</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Full month name</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Monthly trend analysis — year-end spending rushes show up in November/December data.</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transaction_date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str→datetime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2021-04-15</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Date in YYYY-MM-DD format</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Converted to datetime64 in Section 2 to enable: monthly groupby, year-over-year comparison, processing time calculation.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day_of_week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Wednesday</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Full day name</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Weekend/holiday transactions are a governance red flag — authorised payments should happen on working days.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mda_name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Finance</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Ministry/Dept/Agency full name</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most important groupby dimension. All MDA performance analysis uses this column.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lga</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Ikeja</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Lagos Local Government Area</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Geographic dimension — enables constituency-level analysis of where government money flows.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transaction_type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Capital Expenditure</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Category of financial activity (12 types)</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Determines budget head, approval process, and audit requirements. Revenue types (FAAC, IGR, VAT) vs Expenditure types.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classification</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Expenditure</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or Expenditure</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Top-level fiscal classification. Revenue-Expenditure = net fiscal balance (should be positive).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budget_amount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₦43,058,615</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Approved budget for this item (₦)</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legislative mandate. Spending above this requires supplementary appropriation or is technically illegal.</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actual_amount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₦42,275,263</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 money disbursed/collected (₦)</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real financial flow. Compared against budget_amount for variance calculation.</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variance_amount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-₦783,351</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 minus budget (₦)</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Negative = underspent. Positive = overspent. Summing across MDAs gives total budget performance.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variance_pct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-1.82%</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(actual-budget)/budget × 100</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Percentage variance — standardises comparison across MDAs of different sizes.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is_budget_overrun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 actual &gt; budget; 0 = within</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Binary flag. .mean() = overrun RATE. 1,451 transactions × 0.515 mean = 747 overruns.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utilisation_rate_pct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73.4%</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 of approved budget spent or collected</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Capital projects: low util = project not executing. Personnel: should be near 100%. 59 missing (4.1%).</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payment_mode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Ippis Transfer</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How money was transferred (7 modes)</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IPPIS=payroll, REMITA=B2G, TSA=treasury account, Cash=least auditable.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bank_name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Zenith Bank</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Receiving or disbursing bank</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TSA reconciliation — all government funds should flow through designated banks. 37 missing (2.5%).</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processing_days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24.0</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Days from transaction request to completion</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Efficiency KPI. Mean=23.7 days. Slow processing can delay project delivery. 45 missing (3.1%).</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approval_level</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Commissioner</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Who authorised the transaction</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Governance chain. Director(low) → Commissioner → Governor (high). 37 missing = 'Pending Assignment'.</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audit_status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Cleared</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Audit finding (4 values)</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MOST IMPORTANT compliance column. Queried=active investigation; Flagged=under review; Pending=not yet reviewed; Cleared=approved.</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fiscal_classification</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Expenditure</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Duplicate of classification column</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Preserved from source system. Identical to classification — both refer to Revenue or Expenditure.</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Section 0: Load &amp; Inspect the Dataset</w:t>
      </w:r>
    </w:p>
    <w:p>
      <w:pPr>
        <w:pStyle w:val="Heading2"/>
        <w:spacing w:after="100" w:before="280"/>
      </w:pPr>
      <w:r>
        <w:rPr>
          <w:rFonts w:ascii="Arial" w:cs="Arial" w:eastAsia="Arial" w:hAnsi="Arial"/>
          <w:b/>
          <w:bCs/>
          <w:color w:val="1A5276"/>
          <w:sz w:val="26"/>
          <w:szCs w:val="26"/>
        </w:rPr>
        <w:t xml:space="preserve">The Aim of Section 0</w:t>
      </w:r>
    </w:p>
    <w:p>
      <w:pPr>
        <w:spacing w:after="60" w:before="60"/>
      </w:pPr>
      <w:r>
        <w:rPr>
          <w:rFonts w:ascii="Arial" w:cs="Arial" w:eastAsia="Arial" w:hAnsi="Arial"/>
          <w:color w:val="2C3E50"/>
          <w:sz w:val="21"/>
          <w:szCs w:val="21"/>
        </w:rPr>
        <w:t xml:space="preserve">Before writing a single analysis, a professional data analyst must understand the raw data completely. Section 0 answers five questions: How many rows? How many columns? What are the data types? Are there missing values? Do the values make financial sense? These take 5 minutes but prevent hours of debugging.</w:t>
      </w:r>
    </w:p>
    <w:p>
      <w:pPr>
        <w:spacing w:after="0" w:before="80"/>
      </w:pPr>
      <w:r>
        <w:t xml:space="preserve"/>
      </w:r>
    </w:p>
    <w:p>
      <w:pPr>
        <w:pStyle w:val="Heading2"/>
        <w:spacing w:after="100" w:before="280"/>
      </w:pPr>
      <w:r>
        <w:rPr>
          <w:rFonts w:ascii="Arial" w:cs="Arial" w:eastAsia="Arial" w:hAnsi="Arial"/>
          <w:b/>
          <w:bCs/>
          <w:color w:val="1A5276"/>
          <w:sz w:val="26"/>
          <w:szCs w:val="26"/>
        </w:rPr>
        <w:t xml:space="preserve">Cell [02] — Imports: Line-by-Line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pandas as pd          # THE data analysis library — DataFrames, read_csv, groupby</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numpy as np           # numerical operations — arrays, percentiles, correlation masks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matplotlib.pyplot as plt  # base plotting engine — every chart uses this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seaborn as sns        # statistical charts — heatmaps, distribution plots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warnings.filterwarnings('ignore')  # suppress pandas 3.x deprecation warnings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LAGOS_GREEN = '#00704A'      # Official Lagos State green — brand compliance</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DANGER_RED  = '#DC2626'      # Red = ALWAYS means overrun or audit risk</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SAFE_GREEN  = '#16A34A'      # Green = compliant, surplus, healthy</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ALERT_AMBER = '#D97706'      # Amber = warning, monitor closely</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def fmt_naira(val):          # converts 276267782248 → '₦276.3B'</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if abs(val) &gt;= 1e9: return f'₦{val/1e9:.1f}B'</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elif abs(val) &gt;= 1e6: return f'₦{val/1e6:.0f}M'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4A" w:sz="8"/>
              <w:left w:val="single" w:color="00704A" w:sz="8"/>
              <w:bottom w:val="single" w:color="BDC3C7" w:sz="1"/>
              <w:right w:val="single" w:color="BDC3C7" w:sz="1"/>
            </w:tcBorders>
            <w:shd w:fill="E6F4F0" w:val="clear"/>
            <w:tcMar>
              <w:top w:type="dxa" w:w="100"/>
              <w:left w:type="dxa" w:w="180"/>
              <w:bottom w:type="dxa" w:w="100"/>
              <w:right w:type="dxa" w:w="180"/>
            </w:tcMar>
          </w:tcPr>
          <w:p>
            <w:pPr>
              <w:spacing w:after="60" w:before="0"/>
            </w:pPr>
            <w:r>
              <w:rPr>
                <w:rFonts w:ascii="Arial" w:cs="Arial" w:eastAsia="Arial" w:hAnsi="Arial"/>
                <w:b/>
                <w:bCs/>
                <w:color w:val="00704A"/>
                <w:sz w:val="20"/>
                <w:szCs w:val="20"/>
              </w:rPr>
              <w:t xml:space="preserve">Why Use Consistent Colour Coding?</w:t>
            </w:r>
          </w:p>
          <w:p>
            <w:pPr>
              <w:spacing w:after="0" w:before="0"/>
            </w:pPr>
            <w:r>
              <w:rPr>
                <w:rFonts w:ascii="Arial" w:cs="Arial" w:eastAsia="Arial" w:hAnsi="Arial"/>
                <w:color w:val="2C3E50"/>
                <w:sz w:val="20"/>
                <w:szCs w:val="20"/>
              </w:rPr>
              <w:t xml:space="preserve">In government financial reporting, colour carries meaning. Red ALWAYS means governance risk. Using red for overruns AND for negative bars AND for flagged transactions creates a consistent visual language — any chart in this notebook can be understood instantly because the colour conventions are universal. A new analyst joining the team can interpret every chart without reading a legend.</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Cell [04] — Load Dataset: Actual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LAGOS STATE GOVERNMENT — FINANCIAL TRANSACTION DATA</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Rows (transactions) : 1,451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Columns             : 22</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Memory usage        : 1,290.2 KB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ALL 22 COLUMNS: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1. transaction_id    2. fiscal_year       3. quarter</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4. month             5. transaction_date  6. day_of_week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7. mda_name          8. lga               9. transaction_type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10. classification   11. budget_amount    12. actual_amount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13. variance_amount  14. variance_pct     15. is_budget_overrun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16. util_rate_pct    17. payment_mode     18. bank_name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19. processing_days  20. approval_level   21. audit_status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22. fiscal_classification</w:t>
            </w:r>
          </w:p>
        </w:tc>
      </w:tr>
    </w:tbl>
    <w:p>
      <w:pPr>
        <w:spacing w:after="0" w:before="80"/>
      </w:pPr>
      <w:r>
        <w:t xml:space="preserve"/>
      </w:r>
    </w:p>
    <w:p>
      <w:pPr>
        <w:spacing w:after="60" w:before="60"/>
      </w:pPr>
      <w:r>
        <w:rPr>
          <w:rFonts w:ascii="Arial" w:cs="Arial" w:eastAsia="Arial" w:hAnsi="Arial"/>
          <w:color w:val="2C3E50"/>
          <w:sz w:val="21"/>
          <w:szCs w:val="21"/>
        </w:rPr>
        <w:t xml:space="preserve">Interpreting the load output:</w:t>
      </w:r>
    </w:p>
    <w:p>
      <w:pPr>
        <w:pStyle w:val="ListParagraph"/>
        <w:numPr>
          <w:ilvl w:val="0"/>
          <w:numId w:val="2"/>
        </w:numPr>
        <w:spacing w:after="40" w:before="40"/>
      </w:pPr>
      <w:r>
        <w:rPr>
          <w:rFonts w:ascii="Arial" w:cs="Arial" w:eastAsia="Arial" w:hAnsi="Arial"/>
          <w:color w:val="2C3E50"/>
          <w:sz w:val="21"/>
          <w:szCs w:val="21"/>
        </w:rPr>
        <w:t xml:space="preserve">1,451 transactions = approximately 484 financial events per year. Government financial activity is not continuous — it is batch-processed in monthly and quarterly cycles.</w:t>
      </w:r>
    </w:p>
    <w:p>
      <w:pPr>
        <w:pStyle w:val="ListParagraph"/>
        <w:numPr>
          <w:ilvl w:val="0"/>
          <w:numId w:val="2"/>
        </w:numPr>
        <w:spacing w:after="40" w:before="40"/>
      </w:pPr>
      <w:r>
        <w:rPr>
          <w:rFonts w:ascii="Arial" w:cs="Arial" w:eastAsia="Arial" w:hAnsi="Arial"/>
          <w:color w:val="2C3E50"/>
          <w:sz w:val="21"/>
          <w:szCs w:val="21"/>
        </w:rPr>
        <w:t xml:space="preserve">22 columns = complete transaction lifecycle. Columns 1–6 identify WHEN and WHERE. Columns 7–9 identify WHO and WHAT. Columns 11–15 capture the FINANCIAL PERFORMANCE. Columns 20–21 show COMPLIANCE STATUS.</w:t>
      </w:r>
    </w:p>
    <w:p>
      <w:pPr>
        <w:pStyle w:val="ListParagraph"/>
        <w:numPr>
          <w:ilvl w:val="0"/>
          <w:numId w:val="2"/>
        </w:numPr>
        <w:spacing w:after="40" w:before="40"/>
      </w:pPr>
      <w:r>
        <w:rPr>
          <w:rFonts w:ascii="Arial" w:cs="Arial" w:eastAsia="Arial" w:hAnsi="Arial"/>
          <w:color w:val="2C3E50"/>
          <w:sz w:val="21"/>
          <w:szCs w:val="21"/>
        </w:rPr>
        <w:t xml:space="preserve">Memory 1,290.2 KB = small training dataset. Production Lagos State financial systems process millions of rows requiring cloud-based distributed computing.</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Cell [10] — describe(): Actual Output and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budget_amount   actual_amount  variance_pct  util_rate  proc_days  is_overrun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count          1,451.00         1,451.00         1,451.00    1,392.00   1,406.00    1,451.00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mean     190,200,495.70   190,398,195.90             0.37       71.95      23.68        0.51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std      361,941,172.31   372,320,377.66            21.83       19.56      13.22        0.50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min          162,039.44        10,000.00          -100.00        5.00       1.00        0.00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25%       10,607,650.75    10,707,558.78           -11.08       59.40      12.00        0.00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50%       43,058,614.56    42,275,263.06             0.44       73.30      24.00        1.00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75%      171,249,277.00   161,711,803.75            11.76       86.90      36.00        1.00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max    1,991,587,491.70 2,513,248,700.00            78.38      100.00      45.00        1.00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2200"/>
        <w:gridCol w:w="3060"/>
      </w:tblGrid>
      <w:tr>
        <w:trPr>
          <w:tblHeader/>
        </w:trPr>
        <w:tc>
          <w:tcPr>
            <w:tcW w:type="dxa" w:w="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Row</w:t>
            </w:r>
          </w:p>
        </w:tc>
        <w:tc>
          <w:tcPr>
            <w:tcW w:type="dxa" w:w="1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2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c>
          <w:tcPr>
            <w:tcW w:type="dxa" w:w="30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Government Implication</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utilisation_rate_pct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1,392</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 fewer than 1,451 rows</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 capital projects have not reported utilisation yet — they are in progress</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count</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processing_days</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1,406</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45 missing</w:t>
            </w:r>
          </w:p>
        </w:tc>
        <w:tc>
          <w:tcPr>
            <w:tcW w:type="dxa" w:w="3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45 transactions are still in the approval pipeline — not yet completed</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is_budget_overrun</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0.51</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51.5% overrun rate</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HEADLINE FINDING: over half of all government transactions exceed budget</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max</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actual_amount</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2,513,248,700</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₦2.51 billion single transaction</w:t>
            </w:r>
          </w:p>
        </w:tc>
        <w:tc>
          <w:tcPr>
            <w:tcW w:type="dxa" w:w="3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largest FAAC transfer. More than the entire annual budget of some MDAs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50%</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actual_amount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42,275,263</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₦42.3M is the median</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TRUE typical transaction — not the inflated mean of ₦190.4M</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min</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variance_pct</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-100.00%</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Some transactions spent zero</w:t>
            </w:r>
          </w:p>
        </w:tc>
        <w:tc>
          <w:tcPr>
            <w:tcW w:type="dxa" w:w="3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 was approved but nothing was spent — project not initiated</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max</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variance_pct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+78.38%</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One transaction 78% over budget</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worst single overrun — requires immediate audit investigation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The 0.51 Mean — Most Important Number in describe()</w:t>
            </w:r>
          </w:p>
          <w:p>
            <w:pPr>
              <w:spacing w:after="0" w:before="0"/>
            </w:pPr>
            <w:r>
              <w:rPr>
                <w:rFonts w:ascii="Arial" w:cs="Arial" w:eastAsia="Arial" w:hAnsi="Arial"/>
                <w:color w:val="2C3E50"/>
                <w:sz w:val="20"/>
                <w:szCs w:val="20"/>
              </w:rPr>
              <w:t xml:space="preserve">is_budget_overrun mean = 0.51 is the most governance-critical number in the entire project. It means: of 1,451 transactions reviewed, 747 (51.5%) exceeded their approved budget. This single statistic — derived from one function call — tells the Commissioner for Finance that budget discipline is failing across more than half the government's financial activity.</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Sections 1 and 2: Missing Values and Data Cleaning</w:t>
      </w:r>
    </w:p>
    <w:p>
      <w:pPr>
        <w:pStyle w:val="Heading2"/>
        <w:spacing w:after="100" w:before="280"/>
      </w:pPr>
      <w:r>
        <w:rPr>
          <w:rFonts w:ascii="Arial" w:cs="Arial" w:eastAsia="Arial" w:hAnsi="Arial"/>
          <w:b/>
          <w:bCs/>
          <w:color w:val="1A5276"/>
          <w:sz w:val="26"/>
          <w:szCs w:val="26"/>
        </w:rPr>
        <w:t xml:space="preserve">4.1 — Missing Values: Actual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MISSING VALUES AUDIT REPORT: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Column                       Missing   % of Rows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utilisation_rate_pct              59        4.1%  ▓▓▓▓▓▓▓▓▓▓▓▓▓▓▓▓</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bank_name                         37        2.5%  ▓▓▓▓▓▓▓▓▓▓</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processing_days                   45        3.1%  ▓▓▓▓▓▓▓▓▓▓▓▓</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approval_level                    37        2.5%  ▓▓▓▓▓▓▓▓▓▓</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MISSING                    178        0.55% of all cells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Complete rows (zero missing)  : 1,280 of 1,451</w:t>
            </w:r>
          </w:p>
        </w:tc>
      </w:tr>
    </w:tbl>
    <w:p>
      <w:pPr>
        <w:spacing w:after="0" w:before="80"/>
      </w:pPr>
      <w:r>
        <w:t xml:space="preserve"/>
      </w:r>
    </w:p>
    <w:p>
      <w:pPr>
        <w:spacing w:after="60" w:before="60"/>
      </w:pPr>
      <w:r>
        <w:rPr>
          <w:rFonts w:ascii="Arial" w:cs="Arial" w:eastAsia="Arial" w:hAnsi="Arial"/>
          <w:color w:val="2C3E50"/>
          <w:sz w:val="21"/>
          <w:szCs w:val="21"/>
        </w:rPr>
        <w:t xml:space="preserve">Why each column is missing — the government finance explanation:</w:t>
      </w:r>
    </w:p>
    <w:p>
      <w:pPr>
        <w:pStyle w:val="ListParagraph"/>
        <w:numPr>
          <w:ilvl w:val="0"/>
          <w:numId w:val="2"/>
        </w:numPr>
        <w:spacing w:after="40" w:before="40"/>
      </w:pPr>
      <w:r>
        <w:rPr>
          <w:rFonts w:ascii="Arial" w:cs="Arial" w:eastAsia="Arial" w:hAnsi="Arial"/>
          <w:color w:val="2C3E50"/>
          <w:sz w:val="21"/>
          <w:szCs w:val="21"/>
        </w:rPr>
        <w:t xml:space="preserve">utilisation_rate_pct (4.1%): Capital projects at various stages of implementation. A road project contracted in November 2023 has disbursed money (actual_amount populated) but has no completed output to report yet. The utilisation figure will be populated in the next quarterly report.</w:t>
      </w:r>
    </w:p>
    <w:p>
      <w:pPr>
        <w:pStyle w:val="ListParagraph"/>
        <w:numPr>
          <w:ilvl w:val="0"/>
          <w:numId w:val="2"/>
        </w:numPr>
        <w:spacing w:after="40" w:before="40"/>
      </w:pPr>
      <w:r>
        <w:rPr>
          <w:rFonts w:ascii="Arial" w:cs="Arial" w:eastAsia="Arial" w:hAnsi="Arial"/>
          <w:color w:val="2C3E50"/>
          <w:sz w:val="21"/>
          <w:szCs w:val="21"/>
        </w:rPr>
        <w:t xml:space="preserve">processing_days (3.1%): 45 transactions were still in the approval pipeline when data was extracted. The approval is not yet completed so processing_days cannot be calculated. These become 'Pending Assignment' in the approval column.</w:t>
      </w:r>
    </w:p>
    <w:p>
      <w:pPr>
        <w:pStyle w:val="ListParagraph"/>
        <w:numPr>
          <w:ilvl w:val="0"/>
          <w:numId w:val="2"/>
        </w:numPr>
        <w:spacing w:after="40" w:before="40"/>
      </w:pPr>
      <w:r>
        <w:rPr>
          <w:rFonts w:ascii="Arial" w:cs="Arial" w:eastAsia="Arial" w:hAnsi="Arial"/>
          <w:color w:val="2C3E50"/>
          <w:sz w:val="21"/>
          <w:szCs w:val="21"/>
        </w:rPr>
        <w:t xml:space="preserve">bank_name (2.5%): TSA (Treasury Single Account) requires all government funds to flow through designated banks. 37 transactions have not yet completed bank linkage in the TSA system — a real operational gap that the Treasury department must resolve.</w:t>
      </w:r>
    </w:p>
    <w:p>
      <w:pPr>
        <w:pStyle w:val="ListParagraph"/>
        <w:numPr>
          <w:ilvl w:val="0"/>
          <w:numId w:val="2"/>
        </w:numPr>
        <w:spacing w:after="40" w:before="40"/>
      </w:pPr>
      <w:r>
        <w:rPr>
          <w:rFonts w:ascii="Arial" w:cs="Arial" w:eastAsia="Arial" w:hAnsi="Arial"/>
          <w:color w:val="2C3E50"/>
          <w:sz w:val="21"/>
          <w:szCs w:val="21"/>
        </w:rPr>
        <w:t xml:space="preserve">approval_level (2.5%): Transactions in routing queue. They have been initiated but not yet routed to the appropriate approval authority (Director/Commissioner/Governor).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Strategy: Why NOT Use dropna()</w:t>
            </w:r>
          </w:p>
          <w:p>
            <w:pPr>
              <w:spacing w:after="0" w:before="0"/>
            </w:pPr>
            <w:r>
              <w:rPr>
                <w:rFonts w:ascii="Arial" w:cs="Arial" w:eastAsia="Arial" w:hAnsi="Arial"/>
                <w:color w:val="2C3E50"/>
                <w:sz w:val="20"/>
                <w:szCs w:val="20"/>
              </w:rPr>
              <w:t xml:space="preserve">If we ran df.dropna() to remove all incomplete rows, we would lose 171 transactions — reducing from 1,451 to 1,280. Those 171 missing rows include 15 Capital Expenditure projects and 12 Contract Payments that are LEGITIMATE transactions, just with incomplete administrative records. Dropping them would undercount Lagos State's capital investment by billions of naira. Strategic imputation — using group-specific medians — retains all data while filling gaps intelligently.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AFTER MISSING VALUE TREATMENT: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approval_level       : 37 rows → 'Pending Assignment'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bank_name            : 37 rows → 'Unknown Bank'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processing_days      : 45 rows → transaction-type median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utilisation_rate_pct : 59 rows → transaction-type median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Missing values remaining : 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All 1,451 rows retained.</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4.2 — Data Cleaning: Actual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DATETIME CONVERSION: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Before: str           → After: datetime64[us]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Range: 2021-01-01 to 2023-12-28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All 12 months present in every fiscal year</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is_year_end: {0: 1189 weekday months, 1: 262 Nov-Dec transactions}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TRANSACTION SIZE BANDS: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Micro (&lt;N10M)          :   347  (23.9%)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Small (N10M–N100M)     :   617  (42.5%)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Medium (N100M–N500M)   :   334  (23.0%)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Large (N500M+)         :   153  (10.5%)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PERFORMANCE CLASSIFICATION: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Compliant              :   550  (37.9%)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Moderate Overrun       :   424  (29.2%)</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High Overrun           :   193  (13.3%)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Under Review           :   173  (11.9%)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Non-Compliant          :    90  ( 6.2%)</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Underutilised          :    21  ( 1.4%)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VERIFY: Rows=1,451 | Cols=26 | Missing=0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Budget : N275,980,919,256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Actual : N276,267,782,248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Net Variance : +N286,862,991  (+0.1%)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BDC3C7" w:sz="1"/>
              <w:right w:val="single" w:color="BDC3C7" w:sz="1"/>
            </w:tcBorders>
            <w:shd w:fill="FDEBD0" w:val="clear"/>
            <w:tcMar>
              <w:top w:type="dxa" w:w="100"/>
              <w:left w:type="dxa" w:w="180"/>
              <w:bottom w:type="dxa" w:w="100"/>
              <w:right w:type="dxa" w:w="180"/>
            </w:tcMar>
          </w:tcPr>
          <w:p>
            <w:pPr>
              <w:spacing w:after="60" w:before="0"/>
            </w:pPr>
            <w:r>
              <w:rPr>
                <w:rFonts w:ascii="Arial" w:cs="Arial" w:eastAsia="Arial" w:hAnsi="Arial"/>
                <w:b/>
                <w:bCs/>
                <w:color w:val="CA6F1E"/>
                <w:sz w:val="20"/>
                <w:szCs w:val="20"/>
              </w:rPr>
              <w:t xml:space="preserve">The +0.1% Aggregate Variance Paradox</w:t>
            </w:r>
          </w:p>
          <w:p>
            <w:pPr>
              <w:spacing w:after="0" w:before="0"/>
            </w:pPr>
            <w:r>
              <w:rPr>
                <w:rFonts w:ascii="Arial" w:cs="Arial" w:eastAsia="Arial" w:hAnsi="Arial"/>
                <w:color w:val="2C3E50"/>
                <w:sz w:val="20"/>
                <w:szCs w:val="20"/>
              </w:rPr>
              <w:t xml:space="preserve">Total budget variance is only +N286.9 million on N276 billion — a remarkable 0.1% — yet 51.5% of individual transactions are over budget. How? Because large FAAC revenue transfers (which have POSITIVE variances: more collected than budgeted) mathematically offset the overruns in capital projects. The aggregate figure hides the crisis. This is why the project analyses at MDA level, not just in total.</w:t>
            </w:r>
          </w:p>
        </w:tc>
      </w:tr>
    </w:tbl>
    <w:p>
      <w:pPr>
        <w:spacing w:after="0" w:before="80"/>
      </w:pPr>
      <w:r>
        <w:t xml:space="preserve"/>
      </w:r>
    </w:p>
    <w:p>
      <w:pPr>
        <w:spacing w:after="60" w:before="60"/>
      </w:pPr>
      <w:r>
        <w:rPr>
          <w:rFonts w:ascii="Arial" w:cs="Arial" w:eastAsia="Arial" w:hAnsi="Arial"/>
          <w:color w:val="2C3E50"/>
          <w:sz w:val="21"/>
          <w:szCs w:val="21"/>
        </w:rPr>
        <w:t xml:space="preserve">Performance classification distribution explained:</w:t>
      </w:r>
    </w:p>
    <w:p>
      <w:pPr>
        <w:pStyle w:val="ListParagraph"/>
        <w:numPr>
          <w:ilvl w:val="0"/>
          <w:numId w:val="2"/>
        </w:numPr>
        <w:spacing w:after="40" w:before="40"/>
      </w:pPr>
      <w:r>
        <w:rPr>
          <w:rFonts w:ascii="Arial" w:cs="Arial" w:eastAsia="Arial" w:hAnsi="Arial"/>
          <w:color w:val="2C3E50"/>
          <w:sz w:val="21"/>
          <w:szCs w:val="21"/>
        </w:rPr>
        <w:t xml:space="preserve">Compliant (37.9%) — only 550 of 1,451 transactions are fully within budget and audit-clean. Lagos State should be targeting 70%+ compliant.</w:t>
      </w:r>
    </w:p>
    <w:p>
      <w:pPr>
        <w:pStyle w:val="ListParagraph"/>
        <w:numPr>
          <w:ilvl w:val="0"/>
          <w:numId w:val="2"/>
        </w:numPr>
        <w:spacing w:after="40" w:before="40"/>
      </w:pPr>
      <w:r>
        <w:rPr>
          <w:rFonts w:ascii="Arial" w:cs="Arial" w:eastAsia="Arial" w:hAnsi="Arial"/>
          <w:color w:val="2C3E50"/>
          <w:sz w:val="21"/>
          <w:szCs w:val="21"/>
        </w:rPr>
        <w:t xml:space="preserve">Moderate Overrun (29.2%) — over budget but within 20%. Common in government due to price inflation and scope changes.</w:t>
      </w:r>
    </w:p>
    <w:p>
      <w:pPr>
        <w:pStyle w:val="ListParagraph"/>
        <w:numPr>
          <w:ilvl w:val="0"/>
          <w:numId w:val="2"/>
        </w:numPr>
        <w:spacing w:after="40" w:before="40"/>
      </w:pPr>
      <w:r>
        <w:rPr>
          <w:rFonts w:ascii="Arial" w:cs="Arial" w:eastAsia="Arial" w:hAnsi="Arial"/>
          <w:color w:val="2C3E50"/>
          <w:sz w:val="21"/>
          <w:szCs w:val="21"/>
        </w:rPr>
        <w:t xml:space="preserve">High Overrun (13.3%) — 193 transactions exceed budget by more than 20%. These require supplementary appropriation or recovery action.</w:t>
      </w:r>
    </w:p>
    <w:p>
      <w:pPr>
        <w:pStyle w:val="ListParagraph"/>
        <w:numPr>
          <w:ilvl w:val="0"/>
          <w:numId w:val="2"/>
        </w:numPr>
        <w:spacing w:after="40" w:before="40"/>
      </w:pPr>
      <w:r>
        <w:rPr>
          <w:rFonts w:ascii="Arial" w:cs="Arial" w:eastAsia="Arial" w:hAnsi="Arial"/>
          <w:color w:val="2C3E50"/>
          <w:sz w:val="21"/>
          <w:szCs w:val="21"/>
        </w:rPr>
        <w:t xml:space="preserve">Under Review (11.9%) — 173 flagged transactions. Outcome unknown — the audit process is ongoing.</w:t>
      </w:r>
    </w:p>
    <w:p>
      <w:pPr>
        <w:pStyle w:val="ListParagraph"/>
        <w:numPr>
          <w:ilvl w:val="0"/>
          <w:numId w:val="2"/>
        </w:numPr>
        <w:spacing w:after="40" w:before="40"/>
      </w:pPr>
      <w:r>
        <w:rPr>
          <w:rFonts w:ascii="Arial" w:cs="Arial" w:eastAsia="Arial" w:hAnsi="Arial"/>
          <w:color w:val="2C3E50"/>
          <w:sz w:val="21"/>
          <w:szCs w:val="21"/>
        </w:rPr>
        <w:t xml:space="preserve">Non-Compliant (6.2%) — 90 queried transactions. The Auditor General has found specific issues. These must be resolved.</w:t>
      </w:r>
    </w:p>
    <w:p>
      <w:pPr>
        <w:pStyle w:val="ListParagraph"/>
        <w:numPr>
          <w:ilvl w:val="0"/>
          <w:numId w:val="2"/>
        </w:numPr>
        <w:spacing w:after="40" w:before="40"/>
      </w:pPr>
      <w:r>
        <w:rPr>
          <w:rFonts w:ascii="Arial" w:cs="Arial" w:eastAsia="Arial" w:hAnsi="Arial"/>
          <w:color w:val="2C3E50"/>
          <w:sz w:val="21"/>
          <w:szCs w:val="21"/>
        </w:rPr>
        <w:t xml:space="preserve">Underutilised (1.4%) — 21 transactions where money was budgeted but barely spent. Projects not started or severely delayed.</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Sections 3, 4, and 5: Analysis Core</w:t>
      </w:r>
    </w:p>
    <w:p>
      <w:pPr>
        <w:pStyle w:val="Heading2"/>
        <w:spacing w:after="100" w:before="280"/>
      </w:pPr>
      <w:r>
        <w:rPr>
          <w:rFonts w:ascii="Arial" w:cs="Arial" w:eastAsia="Arial" w:hAnsi="Arial"/>
          <w:b/>
          <w:bCs/>
          <w:color w:val="1A5276"/>
          <w:sz w:val="26"/>
          <w:szCs w:val="26"/>
        </w:rPr>
        <w:t xml:space="preserve">5.1 — Section 3: Extraction — Actual Filter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BOOLEAN FILTER RESULTS: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Queried transactions (audit)  :  90  — exposure: N11.01B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High overruns (&gt;20%)          : 228  — excess: +N18,036.5M</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Capital Expenditure 2023      :  40  — total: N9.80B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Revenue transactions          : 371  — total: N205.86B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Slow processing (&gt;35 days)    : 367  — overrun rate: 49.0%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LARGEST SINGLE TRANSACTION: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LGS-2023-011163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Ministry Of Finance | Federal Allocation (Faac)</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Actual: N2,513,248,763  |  Variance: +36.9%  |  Status: Pending Audit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TOP 10 LARGEST TRANSACTIONS — ALL ARE FAAC TRANSFERS: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LGS-2023-011163  N2.51B  +36.9%  Pending Audit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LGS-2023-011253  N2.39B  +23.0%  Cleared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LGS-2022-010788  N2.27B  +18.5%  Cleared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LGS-2021-010334  N2.21B  +11.1%  Cleared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LGS-2023-011178  N2.08B  +23.8%  Flagged For Review</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Flagged AND &gt;10% overrun: 43 transactions | Excess: +N3,069.8M</w:t>
            </w:r>
          </w:p>
        </w:tc>
      </w:tr>
    </w:tbl>
    <w:p>
      <w:pPr>
        <w:spacing w:after="0" w:before="80"/>
      </w:pPr>
      <w:r>
        <w:t xml:space="preserve"/>
      </w:r>
    </w:p>
    <w:p>
      <w:pPr>
        <w:spacing w:after="60" w:before="60"/>
      </w:pPr>
      <w:r>
        <w:rPr>
          <w:rFonts w:ascii="Arial" w:cs="Arial" w:eastAsia="Arial" w:hAnsi="Arial"/>
          <w:color w:val="2C3E50"/>
          <w:sz w:val="21"/>
          <w:szCs w:val="21"/>
        </w:rPr>
        <w:t xml:space="preserve">Business meaning of each filter:</w:t>
      </w:r>
    </w:p>
    <w:p>
      <w:pPr>
        <w:pStyle w:val="ListParagraph"/>
        <w:numPr>
          <w:ilvl w:val="0"/>
          <w:numId w:val="2"/>
        </w:numPr>
        <w:spacing w:after="40" w:before="40"/>
      </w:pPr>
      <w:r>
        <w:rPr>
          <w:rFonts w:ascii="Arial" w:cs="Arial" w:eastAsia="Arial" w:hAnsi="Arial"/>
          <w:color w:val="2C3E50"/>
          <w:sz w:val="21"/>
          <w:szCs w:val="21"/>
        </w:rPr>
        <w:t xml:space="preserve">90 queried (₦11.01B): This is the Auditor General's immediate action list. ₦11 billion of government money is under active investigation. Each of these 90 transactions must be resolved within 90 days or escalated to the Public Accounts Committee.</w:t>
      </w:r>
    </w:p>
    <w:p>
      <w:pPr>
        <w:pStyle w:val="ListParagraph"/>
        <w:numPr>
          <w:ilvl w:val="0"/>
          <w:numId w:val="2"/>
        </w:numPr>
        <w:spacing w:after="40" w:before="40"/>
      </w:pPr>
      <w:r>
        <w:rPr>
          <w:rFonts w:ascii="Arial" w:cs="Arial" w:eastAsia="Arial" w:hAnsi="Arial"/>
          <w:color w:val="2C3E50"/>
          <w:sz w:val="21"/>
          <w:szCs w:val="21"/>
        </w:rPr>
        <w:t xml:space="preserve">228 high overruns (₦18.04B excess): ₦18 billion was spent beyond approved budgets. This is NOT trivial — this money was spent without proper legislative authority and must be either retrospectively approved or recovered.</w:t>
      </w:r>
    </w:p>
    <w:p>
      <w:pPr>
        <w:pStyle w:val="ListParagraph"/>
        <w:numPr>
          <w:ilvl w:val="0"/>
          <w:numId w:val="2"/>
        </w:numPr>
        <w:spacing w:after="40" w:before="40"/>
      </w:pPr>
      <w:r>
        <w:rPr>
          <w:rFonts w:ascii="Arial" w:cs="Arial" w:eastAsia="Arial" w:hAnsi="Arial"/>
          <w:color w:val="2C3E50"/>
          <w:sz w:val="21"/>
          <w:szCs w:val="21"/>
        </w:rPr>
        <w:t xml:space="preserve">40 CapEx 2023 (₦9.80B): All capital infrastructure investment in 2023. The 40 projects range from road construction to hospital equipment. The 2023 total is slightly higher than 2021 (₦9.30B) and 2022 (₦8.64B) — suggesting capital investment is recovering.</w:t>
      </w:r>
    </w:p>
    <w:p>
      <w:pPr>
        <w:pStyle w:val="ListParagraph"/>
        <w:numPr>
          <w:ilvl w:val="0"/>
          <w:numId w:val="2"/>
        </w:numPr>
        <w:spacing w:after="40" w:before="40"/>
      </w:pPr>
      <w:r>
        <w:rPr>
          <w:rFonts w:ascii="Arial" w:cs="Arial" w:eastAsia="Arial" w:hAnsi="Arial"/>
          <w:color w:val="2C3E50"/>
          <w:sz w:val="21"/>
          <w:szCs w:val="21"/>
        </w:rPr>
        <w:t xml:space="preserve">371 revenue transactions (₦205.86B): ALL government income — FAAC + IGR + VAT. Revenue exceeds expenditure by ₦135.5B. This single filter number tells you Lagos State is fiscally healthy at the aggregate level.</w:t>
      </w:r>
    </w:p>
    <w:p>
      <w:pPr>
        <w:pStyle w:val="ListParagraph"/>
        <w:numPr>
          <w:ilvl w:val="0"/>
          <w:numId w:val="2"/>
        </w:numPr>
        <w:spacing w:after="40" w:before="40"/>
      </w:pPr>
      <w:r>
        <w:rPr>
          <w:rFonts w:ascii="Arial" w:cs="Arial" w:eastAsia="Arial" w:hAnsi="Arial"/>
          <w:color w:val="2C3E50"/>
          <w:sz w:val="21"/>
          <w:szCs w:val="21"/>
        </w:rPr>
        <w:t xml:space="preserve">The largest transaction (₦2.51B FAAC, Pending Audit): The biggest single cash flow in the dataset is not yet cleared by the Auditor General. This is standard for mega-transactions — the audit process takes time — but it means ₦2.51 billion in government funds lacks final audit sign-off.</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5.2 — Section 4: MDA Performance — Complete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000"/>
        <w:gridCol w:w="900"/>
        <w:gridCol w:w="700"/>
        <w:gridCol w:w="1000"/>
        <w:gridCol w:w="900"/>
        <w:gridCol w:w="900"/>
      </w:tblGrid>
      <w:tr>
        <w:trPr>
          <w:tblHeader/>
        </w:trPr>
        <w:tc>
          <w:tcPr>
            <w:tcW w:type="dxa" w:w="24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MDA Name</w:t>
            </w:r>
          </w:p>
        </w:tc>
        <w:tc>
          <w:tcPr>
            <w:tcW w:type="dxa" w:w="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Txns</w:t>
            </w:r>
          </w:p>
        </w:tc>
        <w:tc>
          <w:tcPr>
            <w:tcW w:type="dxa" w:w="1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 (₦B)</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Overrun %</w:t>
            </w:r>
          </w:p>
        </w:tc>
        <w:tc>
          <w:tcPr>
            <w:tcW w:type="dxa" w:w="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Util %</w:t>
            </w:r>
          </w:p>
        </w:tc>
        <w:tc>
          <w:tcPr>
            <w:tcW w:type="dxa" w:w="1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Proc Days</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Flagged</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Queried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LSETF</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79</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21.32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50.6%</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26.9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LIRS</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20.57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59.1%</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73.1%</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Finance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17.81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61.0%</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71.5%</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23.8</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LASUTH</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17.74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51.2%</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75.2%</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Works &amp; Infrastructure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17.69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59.2%</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Office Of The Governor</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83</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16.13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54.2%</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73.7%</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Health</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82</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14.96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48.8%</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70.1%</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Ministry Of Education</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85</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14.26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41.2%</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71.8%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Environment</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66</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14.13</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54.5%</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70.8%</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LAMATA</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13.55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51.4%</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Public Works Corp</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13.12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50.0%</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70.4%</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24.1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LASEMA</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12.98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50.0%</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74.0%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Justice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69</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12.37</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53.6%</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70.9%</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SUBEB</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63</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11.73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55.6%</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70.4%</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21.7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Water Corporation</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64</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11.33</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53.1%</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72.2%</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22.8</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Lagos Island Hospital</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63</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10.89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46.0%</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69.8%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Agriculture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72</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10.35</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54.2%</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72.7%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LAWMA</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8.98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43.6%</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70.2%</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21.4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LASBCA</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75</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8.83</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49.3%</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68.7%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26.4</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Ministry Of Housing</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7.52</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45.6%</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78.3%</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26.6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The Ministry of Finance Paradox — 61% Overrun Rate</w:t>
            </w:r>
          </w:p>
          <w:p>
            <w:pPr>
              <w:spacing w:after="0" w:before="0"/>
            </w:pPr>
            <w:r>
              <w:rPr>
                <w:rFonts w:ascii="Arial" w:cs="Arial" w:eastAsia="Arial" w:hAnsi="Arial"/>
                <w:color w:val="2C3E50"/>
                <w:sz w:val="20"/>
                <w:szCs w:val="20"/>
              </w:rPr>
              <w:t xml:space="preserve">The single most alarming finding in this table: the Ministry of Finance has the highest budget overrun rate (61.0%) of all 20 MDAs. This is the ministry responsible for enforcing budget discipline across the entire government. The regulator cannot regulate itself. This suggests either: (1) the Finance Ministry's own budget is deliberately set conservatively to create fiscal headroom — a common practice that inflates the overrun rate artificially; or (2) the ministry genuinely overspends — a governance crisis that the Governor must address directly.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Office of the Governor — Most Audit Issues (24 total)</w:t>
            </w:r>
          </w:p>
          <w:p>
            <w:pPr>
              <w:spacing w:after="0" w:before="0"/>
            </w:pPr>
            <w:r>
              <w:rPr>
                <w:rFonts w:ascii="Arial" w:cs="Arial" w:eastAsia="Arial" w:hAnsi="Arial"/>
                <w:color w:val="2C3E50"/>
                <w:sz w:val="20"/>
                <w:szCs w:val="20"/>
              </w:rPr>
              <w:t xml:space="preserve">The Governor's Office has 17 Flagged + 7 Queried = 24 audit concerns — the most of any MDA. An institution that should model fiscal discipline is generating the most audit flags. This could reflect the complexity of governor's office operations (discretionary expenditure is harder to budget precisely) but it requires direct attention from the Accountant General.</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5.3 — Section 4: Pivot Table — Year-over-Year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ACTUAL SPEND BY TYPE × FISCAL YEAR (N Billions):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fiscal_year                 2021    2022    2023   Growth</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Capital Expenditure         9.30    8.64    9.80   +5.4%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Contract Payment            5.47    4.85    4.37  -20.1%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Federal Allocation (Faac)  48.00   54.06   50.79   +5.8%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Igr Collection             16.57   13.15   14.82  -10.6%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Loan Repayment              4.83    3.73    4.93   +2.1%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Overhead Cost               0.48    0.58    0.40  -16.7%</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Pension &amp; Gratuity          1.13    0.66    1.01  -10.6%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Personnel Cost              1.87    1.32    2.05   +9.6%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Subvention/Grant            1.24    1.06    1.45  +16.9%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Training &amp; Development      0.24    0.16    0.12  -50.0%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Utility Payment             0.23    0.32    0.17  -26.1%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Vat Refund                  3.32    2.79    2.36  -28.9%</w:t>
            </w:r>
          </w:p>
        </w:tc>
      </w:tr>
    </w:tbl>
    <w:p>
      <w:pPr>
        <w:spacing w:after="0" w:before="80"/>
      </w:pPr>
      <w:r>
        <w:t xml:space="preserve"/>
      </w:r>
    </w:p>
    <w:p>
      <w:pPr>
        <w:spacing w:after="60" w:before="60"/>
      </w:pPr>
      <w:r>
        <w:rPr>
          <w:rFonts w:ascii="Arial" w:cs="Arial" w:eastAsia="Arial" w:hAnsi="Arial"/>
          <w:color w:val="2C3E50"/>
          <w:sz w:val="21"/>
          <w:szCs w:val="21"/>
        </w:rPr>
        <w:t xml:space="preserve">Critical year-over-year policy findings:</w:t>
      </w:r>
    </w:p>
    <w:p>
      <w:pPr>
        <w:pStyle w:val="ListParagraph"/>
        <w:numPr>
          <w:ilvl w:val="0"/>
          <w:numId w:val="2"/>
        </w:numPr>
        <w:spacing w:after="40" w:before="40"/>
      </w:pPr>
      <w:r>
        <w:rPr>
          <w:rFonts w:ascii="Arial" w:cs="Arial" w:eastAsia="Arial" w:hAnsi="Arial"/>
          <w:color w:val="2C3E50"/>
          <w:sz w:val="21"/>
          <w:szCs w:val="21"/>
        </w:rPr>
        <w:t xml:space="preserve">Training &amp; Development -50.0% (N0.24B → N0.12B): The deepest decline of any line item. The government is halving investment in civil servant capacity building. Long-term consequence: institutional knowledge degrades, service delivery worsens, errors increase.</w:t>
      </w:r>
    </w:p>
    <w:p>
      <w:pPr>
        <w:pStyle w:val="ListParagraph"/>
        <w:numPr>
          <w:ilvl w:val="0"/>
          <w:numId w:val="2"/>
        </w:numPr>
        <w:spacing w:after="40" w:before="40"/>
      </w:pPr>
      <w:r>
        <w:rPr>
          <w:rFonts w:ascii="Arial" w:cs="Arial" w:eastAsia="Arial" w:hAnsi="Arial"/>
          <w:color w:val="2C3E50"/>
          <w:sz w:val="21"/>
          <w:szCs w:val="21"/>
        </w:rPr>
        <w:t xml:space="preserve">IGR Collection -10.6% (N16.57B → N14.82B): Own-source revenue is shrinking. This is the most strategically dangerous trend — it means Lagos State is becoming MORE dependent on Abuja every year, not less.</w:t>
      </w:r>
    </w:p>
    <w:p>
      <w:pPr>
        <w:pStyle w:val="ListParagraph"/>
        <w:numPr>
          <w:ilvl w:val="0"/>
          <w:numId w:val="2"/>
        </w:numPr>
        <w:spacing w:after="40" w:before="40"/>
      </w:pPr>
      <w:r>
        <w:rPr>
          <w:rFonts w:ascii="Arial" w:cs="Arial" w:eastAsia="Arial" w:hAnsi="Arial"/>
          <w:color w:val="2C3E50"/>
          <w:sz w:val="21"/>
          <w:szCs w:val="21"/>
        </w:rPr>
        <w:t xml:space="preserve">Personnel Cost +9.6% (N1.87B → N2.05B): The wage bill is growing. If personnel cost growth (+9.6%) continues to exceed IGR growth (-10.6%), the recurrent expenditure will eventually crowd out capital investment.</w:t>
      </w:r>
    </w:p>
    <w:p>
      <w:pPr>
        <w:pStyle w:val="ListParagraph"/>
        <w:numPr>
          <w:ilvl w:val="0"/>
          <w:numId w:val="2"/>
        </w:numPr>
        <w:spacing w:after="40" w:before="40"/>
      </w:pPr>
      <w:r>
        <w:rPr>
          <w:rFonts w:ascii="Arial" w:cs="Arial" w:eastAsia="Arial" w:hAnsi="Arial"/>
          <w:color w:val="2C3E50"/>
          <w:sz w:val="21"/>
          <w:szCs w:val="21"/>
        </w:rPr>
        <w:t xml:space="preserve">Contract Payment -20.1%: Fewer new contracts initiated in 2023. This could mean better project completion (old contracts finishing) or a shrinking infrastructure pipeline.</w:t>
      </w:r>
    </w:p>
    <w:p>
      <w:pPr>
        <w:pStyle w:val="ListParagraph"/>
        <w:numPr>
          <w:ilvl w:val="0"/>
          <w:numId w:val="2"/>
        </w:numPr>
        <w:spacing w:after="40" w:before="40"/>
      </w:pPr>
      <w:r>
        <w:rPr>
          <w:rFonts w:ascii="Arial" w:cs="Arial" w:eastAsia="Arial" w:hAnsi="Arial"/>
          <w:color w:val="2C3E50"/>
          <w:sz w:val="21"/>
          <w:szCs w:val="21"/>
        </w:rPr>
        <w:t xml:space="preserve">FAAC +5.8%: Federal allocation grew modestly. But Lagos State has NO control over this — it depends on Federal Government decisions about the FAAC formula.</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5.4 — Section 5: Key Statistical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900"/>
        <w:gridCol w:w="3060"/>
      </w:tblGrid>
      <w:tr>
        <w:trPr>
          <w:tblHeader/>
        </w:trPr>
        <w:tc>
          <w:tcPr>
            <w:tcW w:type="dxa" w:w="2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1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w:t>
            </w:r>
          </w:p>
        </w:tc>
        <w:tc>
          <w:tcPr>
            <w:tcW w:type="dxa" w:w="1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Median</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Skewness</w:t>
            </w:r>
          </w:p>
        </w:tc>
        <w:tc>
          <w:tcPr>
            <w:tcW w:type="dxa" w:w="30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Government Finance Implication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actual_amount</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N190,398,196</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N42,275,263</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+3.114 (strong right)</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is 4.5x median. Always report median as 'typical transaction'. Mean is inflated by FAAC mega-transfers.</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budget_amount</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N190,200,496</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N43,058,615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+2.950 (strong right)</w:t>
            </w:r>
          </w:p>
        </w:tc>
        <w:tc>
          <w:tcPr>
            <w:tcW w:type="dxa" w:w="3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 planning closely mirrors actual spending — the +0.970 correlation is visible in matching statistics.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variance_pct</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+0.37%</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+0.44%</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-0.212 (symmetric)</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Overruns and underspends are balanced at aggregate level. Hides the 51.5% individual overrun rate.</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utilisation_rate_pct</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72.04%</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73.40%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-0.486 (left-skew)</w:t>
            </w:r>
          </w:p>
        </w:tc>
        <w:tc>
          <w:tcPr>
            <w:tcW w:type="dxa" w:w="3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Most projects either at 100% or at 5-40%. Bimodal pattern: successful projects vs stalled projects.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processing_days</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23.68 days</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24.00 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-0.080 (symmetric)</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Consistent processing. No extreme slowdowns. Government approval cycles are reliable at ~24 days.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PERCENTILE LADDER — ACTUAL AMOUNT: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P10  (10% below this) : N      3,955,302   small operational payments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Q1   (25% below)      : N     10,707,559   routine government activity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Median               : N     42,275,263   THE typical Lagos transaction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Q3   (75% below)      : N    161,711,804   significant payments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P90  (top 10%)        : N    554,122,194   large project payments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P99  (top 1%)         : N  1,800,990,464   mega-transfers only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IQR (Q3-Q1)           : N    151,004,245   middle 50% span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Upper fence           : N    388,218,171   statistical outlier threshold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Outliers              : 195 transactions (13.4%) — all LEGITIMATE large transfers</w:t>
            </w:r>
          </w:p>
        </w:tc>
      </w:tr>
    </w:tbl>
    <w:p>
      <w:pPr>
        <w:spacing w:after="0" w:before="80"/>
      </w:pPr>
      <w:r>
        <w:t xml:space="preserve"/>
      </w:r>
    </w:p>
    <w:p>
      <w:pPr>
        <w:spacing w:after="60" w:before="60"/>
      </w:pPr>
      <w:r>
        <w:rPr>
          <w:rFonts w:ascii="Arial" w:cs="Arial" w:eastAsia="Arial" w:hAnsi="Arial"/>
          <w:color w:val="2C3E50"/>
          <w:sz w:val="21"/>
          <w:szCs w:val="21"/>
        </w:rPr>
        <w:t xml:space="preserve">The percentile ladder for government audit threshold setting:</w:t>
      </w:r>
    </w:p>
    <w:p>
      <w:pPr>
        <w:pStyle w:val="ListParagraph"/>
        <w:numPr>
          <w:ilvl w:val="0"/>
          <w:numId w:val="2"/>
        </w:numPr>
        <w:spacing w:after="40" w:before="40"/>
      </w:pPr>
      <w:r>
        <w:rPr>
          <w:rFonts w:ascii="Arial" w:cs="Arial" w:eastAsia="Arial" w:hAnsi="Arial"/>
          <w:color w:val="2C3E50"/>
          <w:sz w:val="21"/>
          <w:szCs w:val="21"/>
        </w:rPr>
        <w:t xml:space="preserve">P90 = N554M: Transactions above this value (the top 10%) represent large project payments and FAAC transfers. These warrant enhanced audit scrutiny — mandatory second-signature approval.</w:t>
      </w:r>
    </w:p>
    <w:p>
      <w:pPr>
        <w:pStyle w:val="ListParagraph"/>
        <w:numPr>
          <w:ilvl w:val="0"/>
          <w:numId w:val="2"/>
        </w:numPr>
        <w:spacing w:after="40" w:before="40"/>
      </w:pPr>
      <w:r>
        <w:rPr>
          <w:rFonts w:ascii="Arial" w:cs="Arial" w:eastAsia="Arial" w:hAnsi="Arial"/>
          <w:color w:val="2C3E50"/>
          <w:sz w:val="21"/>
          <w:szCs w:val="21"/>
        </w:rPr>
        <w:t xml:space="preserve">P99 = N1.8B: Only 15 transactions exceed this level — exclusively FAAC and mega-IGR collections. These require Accountant General personal sign-off and immediate audit.</w:t>
      </w:r>
    </w:p>
    <w:p>
      <w:pPr>
        <w:pStyle w:val="ListParagraph"/>
        <w:numPr>
          <w:ilvl w:val="0"/>
          <w:numId w:val="2"/>
        </w:numPr>
        <w:spacing w:after="40" w:before="40"/>
      </w:pPr>
      <w:r>
        <w:rPr>
          <w:rFonts w:ascii="Arial" w:cs="Arial" w:eastAsia="Arial" w:hAnsi="Arial"/>
          <w:color w:val="2C3E50"/>
          <w:sz w:val="21"/>
          <w:szCs w:val="21"/>
        </w:rPr>
        <w:t xml:space="preserve">195 outliers (13.4%): Statistically above the N388M fence but ALL legitimate. Government financial analysis must NEVER delete outliers automatically — they are often the most important transactions.</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6 — Financial KPI Dashboard and Policy Recommendations</w:t>
      </w:r>
    </w:p>
    <w:p>
      <w:pPr>
        <w:pStyle w:val="Heading2"/>
        <w:spacing w:after="100" w:before="280"/>
      </w:pPr>
      <w:r>
        <w:rPr>
          <w:rFonts w:ascii="Arial" w:cs="Arial" w:eastAsia="Arial" w:hAnsi="Arial"/>
          <w:b/>
          <w:bCs/>
          <w:color w:val="1A5276"/>
          <w:sz w:val="26"/>
          <w:szCs w:val="26"/>
        </w:rPr>
        <w:t xml:space="preserve">6.1 — The KPI Dashboard: Actual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LAGOS STATE GOVERNMENT — KPI DASHBOARD (2021–2023)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Transactions            :         1,451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Budgeted (N)            : N  275,980,919,256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Actual (N)              : N  276,267,782,248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Overall Budget Variance       : N     +286,862,991  (+0.1%)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Revenue (N)             : N  205,858,913,473  (N205.86B)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Expenditure (N)         : N   70,408,868,775  (N70.41B)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Net Fiscal Balance            : N+135,450,044,698  (+N135.45B SURPLUS)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Budget Overrun Rate           :            51.5%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Audit Flagged Count           :              173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Audit Queried Count           :               90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Processing Days           :            23.7 days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Budget Utilisation %      :            72.0%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IGR Dependency Ratio          :            21.6%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FAAC Dependency Ratio         :            74.2%</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Revenue: Expenditure Ratio    :             2.92x</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Unique MDAs                   :               20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300"/>
        <w:gridCol w:w="3260"/>
      </w:tblGrid>
      <w:tr>
        <w:trPr>
          <w:tblHeader/>
        </w:trPr>
        <w:tc>
          <w:tcPr>
            <w:tcW w:type="dxa" w:w="2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KPI</w:t>
            </w:r>
          </w:p>
        </w:tc>
        <w:tc>
          <w:tcPr>
            <w:tcW w:type="dxa" w:w="1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13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Benchmark</w:t>
            </w:r>
          </w:p>
        </w:tc>
        <w:tc>
          <w:tcPr>
            <w:tcW w:type="dxa" w:w="13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Status</w:t>
            </w:r>
          </w:p>
        </w:tc>
        <w:tc>
          <w:tcPr>
            <w:tcW w:type="dxa" w:w="32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Action Required</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Budget Overrun Rate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51.5%</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&lt;25%</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Mandatory mid-year reviews; performance bonds for repeat offenders</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Avg Utilisation %</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72.0%</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&gt;=85%</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BELOW TARGET</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Reform capital procurement timelines; penalise late project starts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FAAC Dependency</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74.2%</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&lt;50%</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HIGH RISK</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Double IGR through property tax digitisation; expand Land Use Charge</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IGR 3-Year Growth</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-10.6%</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&gt;=+10%/yr</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DECLINING</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Enforce consumption tax; automate property tax billing</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Queried Transactions</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90 (N11.01B)</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&lt;2% of total</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90-day resolution mandate from Auditor General</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High Overruns</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193 transactions</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&lt;5%</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CRITICAL</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Supplementary appropriation or budget recovery proceedings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Processing Days</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23.7 days</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&lt;21 days</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 TARGET</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Implement e-approval system to close 3-day gap</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Net Fiscal Balance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+N135.45B surplus</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Positive</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STRONG</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Maintain; consider infrastructure bond investment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Revenue:Expenditure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2.92x</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&gt;=2.0x</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STRONG</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Healthy — Lagos generates nearly N3 for every N1 spent</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6.2 — The Policy Recommendations: Data-Justified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DATA-DRIVEN POLICY RECOMMENDATIONS: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1. FISCAL POSITION: Strong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Revenue N205.86B | Expenditure N70.41B | Net +N135.45B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Budget control: +0.1% aggregate (excellent)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Maintain fiscal discipline at the aggregate level.</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2. BUDGET DISCIPLINE: Critical (51.5% overrun rate)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Worst MDA: Ministry Of Finance (61.0%)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High overrun transactions: 193 | Excess: N18,036.5M</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Mandatory mid-year budget reviews for all MDAs &gt;50% overrun.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Ministry of Finance must submit to external budget audit.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3. REVENUE INDEPENDENCE: Strategic Priority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FAAC dependency: 74.2% (target: &lt;50%)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IGR: N16.57B (2021) -&gt; N14.82B (2023) = -10.6%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Digitise property tax and consumption tax collection.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Target IGR growth of +15% per year for 3 years.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4. AUDIT COMPLIANCE: Urgent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Queried: 90 transactions | Exposure: N11.01B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Flagged: 173 transactions | Risk: unresolved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90-day resolution mandate from Auditor General.</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MDAs with &gt;5 queried transactions: mandatory special audit.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5. CAPITAL EXECUTION: Operational Reform</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utilisation: 72.0% (target: 85%+)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Best MDA: Ministry Of Housing (78.3%)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Training cut -50%: long-term governance risk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Reform procurement start timelines.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Restore Training &amp; Development budget.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4A" w:sz="8"/>
              <w:left w:val="single" w:color="00704A" w:sz="8"/>
              <w:bottom w:val="single" w:color="BDC3C7" w:sz="1"/>
              <w:right w:val="single" w:color="BDC3C7" w:sz="1"/>
            </w:tcBorders>
            <w:shd w:fill="E6F4F0" w:val="clear"/>
            <w:tcMar>
              <w:top w:type="dxa" w:w="100"/>
              <w:left w:type="dxa" w:w="180"/>
              <w:bottom w:type="dxa" w:w="100"/>
              <w:right w:type="dxa" w:w="180"/>
            </w:tcMar>
          </w:tcPr>
          <w:p>
            <w:pPr>
              <w:spacing w:after="60" w:before="0"/>
            </w:pPr>
            <w:r>
              <w:rPr>
                <w:rFonts w:ascii="Arial" w:cs="Arial" w:eastAsia="Arial" w:hAnsi="Arial"/>
                <w:b/>
                <w:bCs/>
                <w:color w:val="00704A"/>
                <w:sz w:val="20"/>
                <w:szCs w:val="20"/>
              </w:rPr>
              <w:t xml:space="preserve">How the Analysis Flows to Policy</w:t>
            </w:r>
          </w:p>
          <w:p>
            <w:pPr>
              <w:spacing w:after="0" w:before="0"/>
            </w:pPr>
            <w:r>
              <w:rPr>
                <w:rFonts w:ascii="Arial" w:cs="Arial" w:eastAsia="Arial" w:hAnsi="Arial"/>
                <w:color w:val="2C3E50"/>
                <w:sz w:val="20"/>
                <w:szCs w:val="20"/>
              </w:rPr>
              <w:t xml:space="preserve">Every recommendation traces directly to a specific cell output: overrun rate (51.5%) from describe() and groupby; IGR decline from pivot_table; N11.01B audit exposure from boolean filter; 72% utilisation from KPI dashboard. This is the defining characteristic of data-driven governance: every policy decision is supported by a specific, verifiable number — not intuition or anecdote.</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6.3 — The Complete Analytical Workflow</w:t>
      </w:r>
    </w:p>
    <w:p>
      <w:pPr>
        <w:spacing w:after="60" w:before="60"/>
      </w:pPr>
      <w:r>
        <w:rPr>
          <w:rFonts w:ascii="Arial" w:cs="Arial" w:eastAsia="Arial" w:hAnsi="Arial"/>
          <w:color w:val="2C3E50"/>
          <w:sz w:val="21"/>
          <w:szCs w:val="21"/>
        </w:rPr>
        <w:t xml:space="preserve">This project demonstrates the full pipeline from raw government data to policy intelligence: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Raw Transaction Data (1,451 rows, 22 columns)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0: Load &amp; Inspect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1: Fill 178 Missing Values (4 strategies)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2: Convert Types + Add 4 New Columns (26 total)</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3: Extract 5 Targeted Subsets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4: Aggregate into MDA Table + Pivot + Audit Scores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5: Compute 15 Statistical Measures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6: Build Distribution + Correlation Charts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7: Produce 7 Chart Types (bar, line, pie, box, scatter...)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8: Calculate 16 Governance KPIs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9: 9-Panel Executive Dashboard + 5 Policy Recommendations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DATA-DRIVEN GOVERNMENT FINANCIAL GOVERNANCE</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LAGOS STATE GOVERNMENT FINANCIAL ANALYTICS | COMPREHENSIVE STUDY NOTES</w:t>
      </w:r>
    </w:p>
    <w:p>
      <w:pPr>
        <w:spacing w:after="60" w:before="0"/>
        <w:jc w:val="center"/>
      </w:pPr>
      <w:r>
        <w:rPr>
          <w:rFonts w:ascii="Arial" w:cs="Arial" w:eastAsia="Arial" w:hAnsi="Arial"/>
          <w:color w:val="BDC3C7"/>
          <w:sz w:val="18"/>
          <w:szCs w:val="18"/>
        </w:rPr>
        <w:t xml:space="preserve">Trainer: Kajola Gbenga Adewale | Prodigy Training Hub | Zedcrest Capital Data Analyst Training Programme | 2026</w:t>
      </w:r>
    </w:p>
    <w:p>
      <w:pPr>
        <w:spacing w:after="0" w:before="0"/>
        <w:jc w:val="center"/>
      </w:pPr>
      <w:r>
        <w:rPr>
          <w:rFonts w:ascii="Arial" w:cs="Arial" w:eastAsia="Arial" w:hAnsi="Arial"/>
          <w:color w:val="BDC3C7"/>
          <w:sz w:val="17"/>
          <w:szCs w:val="17"/>
        </w:rPr>
        <w:t xml:space="preserve">CONFIDENTIAL — All outputs verified from actual execution of Lagos_Finance_Analytics.ipynb</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Zedcrest Capital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Lagos State Government Financial Analytics | Comprehensive Study Notes | All Outputs Verified | Zedcrest Capital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2026-06-07T09:24:18.836Z</dcterms:created>
  <dcterms:modified xsi:type="dcterms:W3CDTF">2026-06-07T09:24:18.849Z</dcterms:modified>
</cp:coreProperties>
</file>

<file path=docProps/custom.xml><?xml version="1.0" encoding="utf-8"?>
<Properties xmlns="http://schemas.openxmlformats.org/officeDocument/2006/custom-properties" xmlns:vt="http://schemas.openxmlformats.org/officeDocument/2006/docPropsVTypes"/>
</file>