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40" w:val="clear"/>
            <w:tcMar>
              <w:top w:type="dxa" w:w="480"/>
              <w:left w:type="dxa" w:w="400"/>
              <w:bottom w:type="dxa" w:w="480"/>
              <w:right w:type="dxa" w:w="400"/>
            </w:tcMar>
          </w:tcPr>
          <w:p>
            <w:pPr>
              <w:spacing w:after="80" w:before="0"/>
              <w:jc w:val="center"/>
            </w:pPr>
            <w:r>
              <w:rPr>
                <w:rFonts w:ascii="Arial" w:cs="Arial" w:eastAsia="Arial" w:hAnsi="Arial"/>
                <w:b/>
                <w:bCs/>
                <w:color w:val="D4AC0D"/>
                <w:sz w:val="36"/>
                <w:szCs w:val="36"/>
              </w:rPr>
              <w:t xml:space="preserve">UNIVERSITY OF LAGOS TEACHING HOSPITAL (LUTH)</w:t>
            </w:r>
          </w:p>
          <w:p>
            <w:pPr>
              <w:spacing w:after="200" w:before="0"/>
              <w:jc w:val="center"/>
            </w:pPr>
            <w:r>
              <w:rPr>
                <w:rFonts w:ascii="Arial" w:cs="Arial" w:eastAsia="Arial" w:hAnsi="Arial"/>
                <w:b/>
                <w:bCs/>
                <w:color w:val="FFFFFF"/>
                <w:sz w:val="26"/>
                <w:szCs w:val="26"/>
              </w:rPr>
              <w:t xml:space="preserve">HOSPITAL REVENUE &amp; BILLING ANALYTICS</w:t>
            </w:r>
          </w:p>
          <w:p>
            <w:pPr>
              <w:spacing w:after="60" w:before="0"/>
              <w:jc w:val="center"/>
            </w:pPr>
            <w:r>
              <w:rPr>
                <w:rFonts w:ascii="Arial" w:cs="Arial" w:eastAsia="Arial" w:hAnsi="Arial"/>
                <w:color w:val="94A3B8"/>
                <w:sz w:val="20"/>
                <w:szCs w:val="20"/>
              </w:rPr>
              <w:t xml:space="preserve">COMPREHENSIVE STUDY NOTES — VERIFIED EDITION</w:t>
            </w:r>
          </w:p>
          <w:p>
            <w:pPr>
              <w:spacing w:after="60" w:before="200"/>
              <w:jc w:val="center"/>
            </w:pPr>
            <w:r>
              <w:rPr>
                <w:rFonts w:ascii="Arial" w:cs="Arial" w:eastAsia="Arial" w:hAnsi="Arial"/>
                <w:b/>
                <w:bCs/>
                <w:color w:val="FFFFFF"/>
                <w:sz w:val="22"/>
                <w:szCs w:val="22"/>
              </w:rPr>
              <w:t xml:space="preserve">2,943 Patient Visits  |  26 Columns  |  2022–2024</w:t>
            </w:r>
          </w:p>
          <w:p>
            <w:pPr>
              <w:spacing w:after="80" w:before="0"/>
              <w:jc w:val="center"/>
            </w:pPr>
            <w:r>
              <w:rPr>
                <w:rFonts w:ascii="Arial" w:cs="Arial" w:eastAsia="Arial" w:hAnsi="Arial"/>
                <w:color w:val="D4AC0D"/>
                <w:sz w:val="19"/>
                <w:szCs w:val="19"/>
              </w:rPr>
              <w:t xml:space="preserve">Total Billed: ₦317.6M  |  Collected: ₦202.6M  |  Outstanding: ₦115.0M  |  Collection Rate: 63.8%</w:t>
            </w:r>
          </w:p>
          <w:p>
            <w:pPr>
              <w:spacing w:after="40" w:before="180"/>
              <w:jc w:val="center"/>
            </w:pPr>
            <w:r>
              <w:rPr>
                <w:rFonts w:ascii="Arial" w:cs="Arial" w:eastAsia="Arial" w:hAnsi="Arial"/>
                <w:b/>
                <w:bCs/>
                <w:color w:val="FFFFFF"/>
                <w:sz w:val="19"/>
                <w:szCs w:val="19"/>
              </w:rPr>
              <w:t xml:space="preserve">Zedcrest Capital  |  Prodigy Training Hub  |  Kajola Gbenga Adewale  |  2026</w:t>
            </w:r>
          </w:p>
          <w:p>
            <w:pPr>
              <w:spacing w:after="0" w:before="0"/>
              <w:jc w:val="center"/>
            </w:pPr>
            <w:r>
              <w:rPr>
                <w:rFonts w:ascii="Arial" w:cs="Arial" w:eastAsia="Arial" w:hAnsi="Arial"/>
                <w:color w:val="475569"/>
                <w:sz w:val="17"/>
                <w:szCs w:val="17"/>
              </w:rPr>
              <w:t xml:space="preserve">CONFIDENTIAL — All outputs verified from actual notebook execution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About This Document</w:t>
            </w:r>
          </w:p>
          <w:p>
            <w:pPr>
              <w:spacing w:after="0" w:before="0"/>
            </w:pPr>
            <w:r>
              <w:rPr>
                <w:rFonts w:ascii="Arial" w:cs="Arial" w:eastAsia="Arial" w:hAnsi="Arial"/>
                <w:color w:val="2C3E50"/>
                <w:sz w:val="20"/>
                <w:szCs w:val="20"/>
              </w:rPr>
              <w:t xml:space="preserve">This is the complete companion to LUTH_Revenue_Analytics.ipynb and luth_revenue_data.csv. It covers: the aim of the project and why hospital revenue analytics matters; every column in the dataset with its clinical and financial meaning; every code cell explained line by line with the exact output it produces; every chart and statistical result interpreted in a Nigerian teaching hospital context; the complete KPI dashboard with benchmarks; and five data-driven revenue recommendations. Nothing is assumed. Everything is explained as if you are teaching it in a classroom.</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Aim and Impact of This Project</w:t>
      </w:r>
    </w:p>
    <w:p>
      <w:pPr>
        <w:pStyle w:val="Heading2"/>
        <w:spacing w:after="100" w:before="280"/>
      </w:pPr>
      <w:r>
        <w:rPr>
          <w:rFonts w:ascii="Arial" w:cs="Arial" w:eastAsia="Arial" w:hAnsi="Arial"/>
          <w:b/>
          <w:bCs/>
          <w:color w:val="003087"/>
          <w:sz w:val="26"/>
          <w:szCs w:val="26"/>
        </w:rPr>
        <w:t xml:space="preserve">1.1 — The Core Problem: Hospital Revenue Leakage</w:t>
      </w:r>
    </w:p>
    <w:p>
      <w:pPr>
        <w:spacing w:after="60" w:before="60"/>
      </w:pPr>
      <w:r>
        <w:rPr>
          <w:rFonts w:ascii="Arial" w:cs="Arial" w:eastAsia="Arial" w:hAnsi="Arial"/>
          <w:color w:val="2C3E50"/>
          <w:sz w:val="21"/>
          <w:szCs w:val="21"/>
        </w:rPr>
        <w:t xml:space="preserve">LUTH is one of Nigeria's premier teaching hospitals — but excellence in clinical care does not automatically translate to financial sustainability. Every patient visit generates a bill. Every bill must be collected, reconciled with insurance, or written off. Without data analytics, this process is invisible:</w:t>
      </w:r>
    </w:p>
    <w:p>
      <w:pPr>
        <w:spacing w:after="0" w:before="60"/>
      </w:pPr>
      <w:r>
        <w:t xml:space="preserve"/>
      </w:r>
    </w:p>
    <w:p>
      <w:pPr>
        <w:pStyle w:val="ListParagraph"/>
        <w:numPr>
          <w:ilvl w:val="0"/>
          <w:numId w:val="2"/>
        </w:numPr>
        <w:spacing w:after="40" w:before="40"/>
      </w:pPr>
      <w:r>
        <w:rPr>
          <w:rFonts w:ascii="Arial" w:cs="Arial" w:eastAsia="Arial" w:hAnsi="Arial"/>
          <w:color w:val="2C3E50"/>
          <w:sz w:val="21"/>
          <w:szCs w:val="21"/>
        </w:rPr>
        <w:t xml:space="preserve">2,943 visits over 3 years generate 2,943 billing records — impossible to review manually</w:t>
      </w:r>
    </w:p>
    <w:p>
      <w:pPr>
        <w:pStyle w:val="ListParagraph"/>
        <w:numPr>
          <w:ilvl w:val="0"/>
          <w:numId w:val="2"/>
        </w:numPr>
        <w:spacing w:after="40" w:before="40"/>
      </w:pPr>
      <w:r>
        <w:rPr>
          <w:rFonts w:ascii="Arial" w:cs="Arial" w:eastAsia="Arial" w:hAnsi="Arial"/>
          <w:color w:val="2C3E50"/>
          <w:sz w:val="21"/>
          <w:szCs w:val="21"/>
        </w:rPr>
        <w:t xml:space="preserve">₦114.9 million is outstanding — money LUTH has earned but not received</w:t>
      </w:r>
    </w:p>
    <w:p>
      <w:pPr>
        <w:pStyle w:val="ListParagraph"/>
        <w:numPr>
          <w:ilvl w:val="0"/>
          <w:numId w:val="2"/>
        </w:numPr>
        <w:spacing w:after="40" w:before="40"/>
      </w:pPr>
      <w:r>
        <w:rPr>
          <w:rFonts w:ascii="Arial" w:cs="Arial" w:eastAsia="Arial" w:hAnsi="Arial"/>
          <w:color w:val="2C3E50"/>
          <w:sz w:val="21"/>
          <w:szCs w:val="21"/>
        </w:rPr>
        <w:t xml:space="preserve">The collection rate (63.8%) is 16 percentage points below the 80% target</w:t>
      </w:r>
    </w:p>
    <w:p>
      <w:pPr>
        <w:pStyle w:val="ListParagraph"/>
        <w:numPr>
          <w:ilvl w:val="0"/>
          <w:numId w:val="2"/>
        </w:numPr>
        <w:spacing w:after="40" w:before="40"/>
      </w:pPr>
      <w:r>
        <w:rPr>
          <w:rFonts w:ascii="Arial" w:cs="Arial" w:eastAsia="Arial" w:hAnsi="Arial"/>
          <w:color w:val="2C3E50"/>
          <w:sz w:val="21"/>
          <w:szCs w:val="21"/>
        </w:rPr>
        <w:t xml:space="preserve">Revenue is declining: ₦112.7M (2022) → ₦98.0M (2024) — a 13% drop that went undetected without trend analysis</w:t>
      </w:r>
    </w:p>
    <w:p>
      <w:pPr>
        <w:pStyle w:val="ListParagraph"/>
        <w:numPr>
          <w:ilvl w:val="0"/>
          <w:numId w:val="2"/>
        </w:numPr>
        <w:spacing w:after="40" w:before="40"/>
      </w:pPr>
      <w:r>
        <w:rPr>
          <w:rFonts w:ascii="Arial" w:cs="Arial" w:eastAsia="Arial" w:hAnsi="Arial"/>
          <w:color w:val="2C3E50"/>
          <w:sz w:val="21"/>
          <w:szCs w:val="21"/>
        </w:rPr>
        <w:t xml:space="preserve">LASHMA has the worst collection rate (55.2%) — a fixable administrative problem that loses ₦13.2M per 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8"/>
              <w:left w:val="single" w:color="003087" w:sz="8"/>
              <w:bottom w:val="single" w:color="BDC3C7" w:sz="1"/>
              <w:right w:val="single" w:color="BDC3C7" w:sz="1"/>
            </w:tcBorders>
            <w:shd w:fill="E8F4F8" w:val="clear"/>
            <w:tcMar>
              <w:top w:type="dxa" w:w="100"/>
              <w:left w:type="dxa" w:w="180"/>
              <w:bottom w:type="dxa" w:w="100"/>
              <w:right w:type="dxa" w:w="180"/>
            </w:tcMar>
          </w:tcPr>
          <w:p>
            <w:pPr>
              <w:spacing w:after="60" w:before="0"/>
            </w:pPr>
            <w:r>
              <w:rPr>
                <w:rFonts w:ascii="Arial" w:cs="Arial" w:eastAsia="Arial" w:hAnsi="Arial"/>
                <w:b/>
                <w:bCs/>
                <w:color w:val="003087"/>
                <w:sz w:val="20"/>
                <w:szCs w:val="20"/>
              </w:rPr>
              <w:t xml:space="preserve">The Central Revenue Question</w:t>
            </w:r>
          </w:p>
          <w:p>
            <w:pPr>
              <w:spacing w:after="0" w:before="0"/>
            </w:pPr>
            <w:r>
              <w:rPr>
                <w:rFonts w:ascii="Arial" w:cs="Arial" w:eastAsia="Arial" w:hAnsi="Arial"/>
                <w:color w:val="2C3E50"/>
                <w:sz w:val="20"/>
                <w:szCs w:val="20"/>
              </w:rPr>
              <w:t xml:space="preserve">Every hospital CFO must answer: 'For every ₦100 of services we deliver, how much do we actually receive?' For LUTH in 2022–2024, the answer is ₦63.80. The missing ₦36.20 is the revenue analytics problem this project is designed to solve. Without Python analytics, this number is not known — it must be manually computed from thousands of billing records.</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1.2 — What This Analysis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360"/>
      </w:tblGrid>
      <w:tr>
        <w:trPr>
          <w:tblHeader/>
        </w:trPr>
        <w:tc>
          <w:tcPr>
            <w:tcW w:type="dxa" w:w="28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Without Data Analytics</w:t>
            </w:r>
          </w:p>
        </w:tc>
        <w:tc>
          <w:tcPr>
            <w:tcW w:type="dxa" w:w="34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 This Analysis</w:t>
            </w:r>
          </w:p>
        </w:tc>
        <w:tc>
          <w:tcPr>
            <w:tcW w:type="dxa" w:w="23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 Impact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Finance team reconciles 2,943 billing records by hand</w:t>
            </w:r>
          </w:p>
        </w:tc>
        <w:tc>
          <w:tcPr>
            <w:tcW w:type="dxa" w:w="3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metrics computed instantly</w:t>
            </w:r>
          </w:p>
        </w:tc>
        <w:tc>
          <w:tcPr>
            <w:tcW w:type="dxa" w:w="2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Weeks → Seconds</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Default rate unknown until year-end</w:t>
            </w:r>
          </w:p>
        </w:tc>
        <w:tc>
          <w:tcPr>
            <w:tcW w:type="dxa" w:w="3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204 defaulted visits (₦25.2M) identified and risk-ranked in real time</w:t>
            </w:r>
          </w:p>
        </w:tc>
        <w:tc>
          <w:tcPr>
            <w:tcW w:type="dxa" w:w="2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Immediate recovery action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 visibility into which department collects best/worst</w:t>
            </w:r>
          </w:p>
        </w:tc>
        <w:tc>
          <w:tcPr>
            <w:tcW w:type="dxa" w:w="3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20 departments ranked by collection rate — Neurology 47% vs Internal Medicine 75.8%</w:t>
            </w:r>
          </w:p>
        </w:tc>
        <w:tc>
          <w:tcPr>
            <w:tcW w:type="dxa" w:w="2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Targeted intervention</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NHIS claim rejection rate unknown</w:t>
            </w:r>
          </w:p>
        </w:tc>
        <w:tc>
          <w:tcPr>
            <w:tcW w:type="dxa" w:w="3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NHIS 74.2% rate vs 100% theoretical — 25.8% gap = ₦22.8M in rejected claims</w:t>
            </w:r>
          </w:p>
        </w:tc>
        <w:tc>
          <w:tcPr>
            <w:tcW w:type="dxa" w:w="2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Process fix = ₦22.8M recovered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decline invisible</w:t>
            </w:r>
          </w:p>
        </w:tc>
        <w:tc>
          <w:tcPr>
            <w:tcW w:type="dxa" w:w="3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 revenue decline 2022→2024 detected — pricing review triggered</w:t>
            </w:r>
          </w:p>
        </w:tc>
        <w:tc>
          <w:tcPr>
            <w:tcW w:type="dxa" w:w="2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Strategic decision enabled</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Outstanding ₦115M untracked</w:t>
            </w:r>
          </w:p>
        </w:tc>
        <w:tc>
          <w:tcPr>
            <w:tcW w:type="dxa" w:w="3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All unpaid visits risk-classified: Critical/High/Medium/Active — daily action list generated</w:t>
            </w:r>
          </w:p>
        </w:tc>
        <w:tc>
          <w:tcPr>
            <w:tcW w:type="dxa" w:w="2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₦111.7M recoverable pipeline</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1.3 — The Five Key Numbers</w:t>
      </w:r>
    </w:p>
    <w:p>
      <w:pPr>
        <w:spacing w:after="60" w:before="60"/>
      </w:pPr>
      <w:r>
        <w:rPr>
          <w:rFonts w:ascii="Arial" w:cs="Arial" w:eastAsia="Arial" w:hAnsi="Arial"/>
          <w:color w:val="2C3E50"/>
          <w:sz w:val="21"/>
          <w:szCs w:val="21"/>
        </w:rPr>
        <w:t xml:space="preserve">Five numbers drive every recommendation in this project. Understanding these numbers is the goal of the entire analysis: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200"/>
        <w:gridCol w:w="2560"/>
      </w:tblGrid>
      <w:tr>
        <w:trPr>
          <w:tblHeader/>
        </w:trPr>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Number</w:t>
            </w:r>
          </w:p>
        </w:tc>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18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w:t>
            </w:r>
          </w:p>
        </w:tc>
        <w:tc>
          <w:tcPr>
            <w:tcW w:type="dxa" w:w="22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Means</w:t>
            </w:r>
          </w:p>
        </w:tc>
        <w:tc>
          <w:tcPr>
            <w:tcW w:type="dxa" w:w="25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to Do About It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Collection Rate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63.8%</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8 KPI</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LUTH collects ₦63.80 per ₦100 billed. Target is ₦80.00.</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cycle reform: pre-admission counselling, 48-hour post-discharge follow-up</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Outstanding Balance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₦114,989,173</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3 filter</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Money earned by LUTH through service delivery not yet received</w:t>
            </w:r>
          </w:p>
        </w:tc>
        <w:tc>
          <w:tcPr>
            <w:tcW w:type="dxa" w:w="2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Active collection: 10% improvement = ₦11.5M without treating one more patient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Decline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 (2022→2024)</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4 pivot</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Billed revenue dropped ₦14.7M over 3 years</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Annual tariff review; patient volume analysis; pricing benchmarking</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Neurology Rate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47.0%</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4 groupby</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Lowest-collecting department — 53% of Neurology bills uncollected</w:t>
            </w:r>
          </w:p>
        </w:tc>
        <w:tc>
          <w:tcPr>
            <w:tcW w:type="dxa" w:w="2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Financial counselling at Neurology referral; NHIS pre-authorisation programme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Readmission Rate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14.8%</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8 KPI</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in 7 patients readmitted — clinical quality AND revenue risk</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Discharge planning improvement; Gynaecology (21% rate) priority department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All 26 Columns Explained</w:t>
      </w:r>
    </w:p>
    <w:p>
      <w:pPr>
        <w:spacing w:after="60" w:before="60"/>
      </w:pPr>
      <w:r>
        <w:rPr>
          <w:rFonts w:ascii="Arial" w:cs="Arial" w:eastAsia="Arial" w:hAnsi="Arial"/>
          <w:color w:val="2C3E50"/>
          <w:sz w:val="21"/>
          <w:szCs w:val="21"/>
        </w:rPr>
        <w:t xml:space="preserve">The dataset luth_revenue_data.csv contains 2,943 rows (one per patient visit/service event) and 26 columns. Each row is one complete billing record — from patient registration through service delivery to payment outcome.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500"/>
        <w:gridCol w:w="2500"/>
        <w:gridCol w:w="3160"/>
      </w:tblGrid>
      <w:tr>
        <w:trPr>
          <w:tblHeader/>
        </w:trPr>
        <w:tc>
          <w:tcPr>
            <w:tcW w:type="dxa" w:w="13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9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Description</w:t>
            </w:r>
          </w:p>
        </w:tc>
        <w:tc>
          <w:tcPr>
            <w:tcW w:type="dxa" w:w="31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Clinical/Financial Significance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visit_id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LUTH-V-020001</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ID per service event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key for billing audit trail. Format: LUTH-V-XXXXXX</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patient_id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LUTH-P-15432</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Patient identifier</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patient may appear across multiple visits. Not unique per row.</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visit_date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str→datetime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2022-04-15</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Date of service in YYYY-MM-DD</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Converted to datetime64 in Section 2 for trend analysis, monthly groupby, and year-over-year comparison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year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2023</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Calendar year (2022, 2023, 2024)</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Enables year-over-year billing and collection trend analysis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Q2</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Q1–Q4 label</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Quarterly revenue reporting for LUTH management board</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April</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Full month name</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Monthly trend analysis — peak months are July and August</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month_num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 as integer 1–12</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Used for sorted monthly groupby and chart x-axis ordering</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department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Cardiology</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Clinical department name (20 departments)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primary groupby dimension for revenue analysis. All department performance metrics use this column</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service_type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Surgery</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Category of service rendered (8 types)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Determines billing magnitude. Surgery = ₦150K–₦1.5M; Pharmacy = ₦2K–₦120K</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doctor_name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Dr. Adeyemi</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Attending physician name</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for doctor-level productivity analysis. 87 missing (3.0%) = 'Unassigned'</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ward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Surgical</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Ward where patient stayed (8 wards)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Inpatient ward assignment. Outpatient visits have no ward — 100 missing (3.4%) = 'Unspecified Ward'</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diagnosis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Hypertension</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Primary diagnosis/condition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Clinical coding for NHIS claim submission. 103 missing (3.5%) = 'Unspecified Diagnosis'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patient_age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Age in whole years (1–85)</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Used to create age_group bins. Affects NHIS capitation calculation and clinical complexity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patient_gender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Female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Male or Female</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Demographic segmentation for clinical and billing analysis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patient_state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Nigerian state of origin</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Geographic reach — LUTH serves patients from all 36 states. 77 missing = 'Unknown State'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payment_method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Nhis</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How bill is paid (6 methods)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MOST IMPORTANT payer classification. NHIS vs Cash vs Private Insurance have different collection rates and processes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billed_amount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₦87,306</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bill raised for the visit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revenue target. Ranges from ₦2,953 (pharmacy) to ₦1,498,170 (major surgery)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coverage_pct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0.84</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Fraction covered by insurer (0.60–1.00)</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Insurance coverage rate. Patient pays (1 - coverage_pct) × billed_amount</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patient_share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₦13,969</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Patient's portion (₦)</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 billed_amount × (1 - coverage_pct). This is what the patient owes out-of-pocket</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insurer_share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₦73,337</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Insurer's portion (₦)</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 billed_amount × coverage_pct. This is what NHIS/insurance company owes LUTH</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amount_collected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₦87,306</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 cash received by LUTH</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real cash flow. Paid visits: = billed_amount. Pending/Defaulted/Waived: = 0.00</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outstanding_balance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₦0.00</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Billed minus collected</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 billed_amount - amount_collected. The money LUTH is owed. Median = ₦0 (most visits settled)</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payment_status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Paid</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 outcome (5 statuses)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revenue cycle completion status. Paid=complete; Pending=in progress; Partial=part-paid; Defaulted=confirmed loss; Waived=write-off</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service_duration_mins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57</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Service time in minutes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Efficiency metric. Outpatient: 15–90 mins. Inpatient bed-day: 1,440 mins (24 hrs)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is_readmission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1=readmission visit; 0=first visit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Clinical quality and financial metric. Readmission rate = column mean × 100 = 14.8%</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discharge_status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Discharged</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How patient left (5 outcomes)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Clinical outcome with billing implications: Absconded=unpaid risk; Deceased=write-off consideration</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Section 0: Load and Inspect</w:t>
      </w:r>
    </w:p>
    <w:p>
      <w:pPr>
        <w:pStyle w:val="Heading2"/>
        <w:spacing w:after="100" w:before="280"/>
      </w:pPr>
      <w:r>
        <w:rPr>
          <w:rFonts w:ascii="Arial" w:cs="Arial" w:eastAsia="Arial" w:hAnsi="Arial"/>
          <w:b/>
          <w:bCs/>
          <w:color w:val="003087"/>
          <w:sz w:val="26"/>
          <w:szCs w:val="26"/>
        </w:rPr>
        <w:t xml:space="preserve">3.1 — Imports: What Each Library Does in Hospital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pandas as pd        # DataFrames, read_csv, groupby, pivot_table</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numpy as np         # arrays, percentile calc, correlation mask</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matplotlib.pyplot as plt  # all chart rendering</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import seaborn as sns      # heatmaps, statistical distribution plots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LUTH_BLUE    = '#003087'   # LUTH official blue — billing targets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LUTH_GREEN   = '#009B4E'   # health green — collected amounts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DANGER_RED   = '#DC2626'   # red — ALWAYS means defaults or revenue at risk</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ALERT_AMBER  = '#D97706'   # amber — pending, partial, monitor</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def fmt_N(val):            # converts 317633668 → '₦317.6M' for chart axes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8"/>
              <w:left w:val="single" w:color="003087" w:sz="8"/>
              <w:bottom w:val="single" w:color="BDC3C7" w:sz="1"/>
              <w:right w:val="single" w:color="BDC3C7" w:sz="1"/>
            </w:tcBorders>
            <w:shd w:fill="E8F4F8" w:val="clear"/>
            <w:tcMar>
              <w:top w:type="dxa" w:w="100"/>
              <w:left w:type="dxa" w:w="180"/>
              <w:bottom w:type="dxa" w:w="100"/>
              <w:right w:type="dxa" w:w="180"/>
            </w:tcMar>
          </w:tcPr>
          <w:p>
            <w:pPr>
              <w:spacing w:after="60" w:before="0"/>
            </w:pPr>
            <w:r>
              <w:rPr>
                <w:rFonts w:ascii="Arial" w:cs="Arial" w:eastAsia="Arial" w:hAnsi="Arial"/>
                <w:b/>
                <w:bCs/>
                <w:color w:val="003087"/>
                <w:sz w:val="20"/>
                <w:szCs w:val="20"/>
              </w:rPr>
              <w:t xml:space="preserve">Why Colour Discipline Matters in Healthcare Finance</w:t>
            </w:r>
          </w:p>
          <w:p>
            <w:pPr>
              <w:spacing w:after="0" w:before="0"/>
            </w:pPr>
            <w:r>
              <w:rPr>
                <w:rFonts w:ascii="Arial" w:cs="Arial" w:eastAsia="Arial" w:hAnsi="Arial"/>
                <w:color w:val="2C3E50"/>
                <w:sz w:val="20"/>
                <w:szCs w:val="20"/>
              </w:rPr>
              <w:t xml:space="preserve">In hospital billing reports presented to hospital boards, red must mean one thing: revenue at risk. Green means money collected. If a chart uses red for any other purpose — say, to highlight the most popular department — it creates confusion in high-stakes financial meetings. LUTH_BLUE = billing targets and LUTH_GREEN = collections are maintained consistently across all 9 chart types in this notebook.</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3.2 — Load: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UNIVERSITY OF LAGOS TEACHING HOSPITAL (LUTH)</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REVENUE &amp; BILLING DATASET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Rows (patient visits)  : 2,943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Columns                : 26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Memory usage           : 2,731.7 KB</w:t>
            </w:r>
          </w:p>
        </w:tc>
      </w:tr>
    </w:tbl>
    <w:p>
      <w:pPr>
        <w:spacing w:after="0" w:before="80"/>
      </w:pPr>
      <w:r>
        <w:t xml:space="preserve"/>
      </w:r>
    </w:p>
    <w:p>
      <w:pPr>
        <w:spacing w:after="60" w:before="60"/>
      </w:pPr>
      <w:r>
        <w:rPr>
          <w:rFonts w:ascii="Arial" w:cs="Arial" w:eastAsia="Arial" w:hAnsi="Arial"/>
          <w:color w:val="2C3E50"/>
          <w:sz w:val="21"/>
          <w:szCs w:val="21"/>
        </w:rPr>
        <w:t xml:space="preserve">Why 2,943 rows and not 2,943 unique patients:</w:t>
      </w:r>
    </w:p>
    <w:p>
      <w:pPr>
        <w:pStyle w:val="ListParagraph"/>
        <w:numPr>
          <w:ilvl w:val="0"/>
          <w:numId w:val="2"/>
        </w:numPr>
        <w:spacing w:after="40" w:before="40"/>
      </w:pPr>
      <w:r>
        <w:rPr>
          <w:rFonts w:ascii="Arial" w:cs="Arial" w:eastAsia="Arial" w:hAnsi="Arial"/>
          <w:color w:val="2C3E50"/>
          <w:sz w:val="21"/>
          <w:szCs w:val="21"/>
        </w:rPr>
        <w:t xml:space="preserve">Hospital billing data records ONE ROW PER SERVICE EVENT — not one row per patient. A patient admitted for surgery generates at least 4 rows: pre-op consultation, the surgery itself, pharmacy dispense post-surgery, and the inpatient bed charge.</w:t>
      </w:r>
    </w:p>
    <w:p>
      <w:pPr>
        <w:pStyle w:val="ListParagraph"/>
        <w:numPr>
          <w:ilvl w:val="0"/>
          <w:numId w:val="2"/>
        </w:numPr>
        <w:spacing w:after="40" w:before="40"/>
      </w:pPr>
      <w:r>
        <w:rPr>
          <w:rFonts w:ascii="Arial" w:cs="Arial" w:eastAsia="Arial" w:hAnsi="Arial"/>
          <w:color w:val="2C3E50"/>
          <w:sz w:val="21"/>
          <w:szCs w:val="21"/>
        </w:rPr>
        <w:t xml:space="preserve">2,943 rows across 3 years = approximately 981 service events per year. Divided by ~20 departments = ~49 events per department per year — a realistic outpatient and inpatient load for a Lagos teaching hospital.</w:t>
      </w:r>
    </w:p>
    <w:p>
      <w:pPr>
        <w:pStyle w:val="ListParagraph"/>
        <w:numPr>
          <w:ilvl w:val="0"/>
          <w:numId w:val="2"/>
        </w:numPr>
        <w:spacing w:after="40" w:before="40"/>
      </w:pPr>
      <w:r>
        <w:rPr>
          <w:rFonts w:ascii="Arial" w:cs="Arial" w:eastAsia="Arial" w:hAnsi="Arial"/>
          <w:color w:val="2C3E50"/>
          <w:sz w:val="21"/>
          <w:szCs w:val="21"/>
        </w:rPr>
        <w:t xml:space="preserve">2,731.7 KB memory — larger than expected for 2,943 rows because hospital data is text-heavy: long department names, doctor names with 'Dr.' prefix, full diagnosis names, Nigerian state names.</w:t>
      </w:r>
    </w:p>
    <w:p>
      <w:pPr>
        <w:spacing w:after="0" w:before="100"/>
      </w:pPr>
      <w:r>
        <w:t xml:space="preserve"/>
      </w:r>
    </w:p>
    <w:p>
      <w:pPr>
        <w:pStyle w:val="Heading2"/>
        <w:spacing w:after="100" w:before="280"/>
      </w:pPr>
      <w:r>
        <w:rPr>
          <w:rFonts w:ascii="Arial" w:cs="Arial" w:eastAsia="Arial" w:hAnsi="Arial"/>
          <w:b/>
          <w:bCs/>
          <w:color w:val="003087"/>
          <w:sz w:val="26"/>
          <w:szCs w:val="26"/>
        </w:rPr>
        <w:t xml:space="preserve">3.3 — describe(): Reading Every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billed_amount  amount_collected  outstanding_balance  coverage_pct  patient_age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count            2,943.00          2,943.00             2,943.00      2,943.00     2,943.00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mean           107,928.53         68,856.44            39,072.09          0.83        42.41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std            224,879.51        180,752.49           139,052.40          0.10        24.55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min              2,953.11              0.00                 0.00          0.60         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25%             18,842.56              0.00                 0.00          0.76        21.00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50%             39,396.52         18,511.14                 0.00          0.84        42.00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75%             87,306.00         58,771.24            22,222.46          0.91        63.00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max          1,498,170.12      1,498,170.12         1,462,933.72          1.00        85.00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400"/>
        <w:gridCol w:w="2560"/>
      </w:tblGrid>
      <w:tr>
        <w:trPr>
          <w:tblHeader/>
        </w:trPr>
        <w:tc>
          <w:tcPr>
            <w:tcW w:type="dxa" w:w="7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Row</w:t>
            </w:r>
          </w:p>
        </w:tc>
        <w:tc>
          <w:tcPr>
            <w:tcW w:type="dxa" w:w="18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24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c>
          <w:tcPr>
            <w:tcW w:type="dxa" w:w="25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Action Implication</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amount_collected</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0.00</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Bottom 25% of visits collected zero</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These are all Pending/Defaulted/Waived — a portfolio of uncollected revenue awaiting action</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outstanding_balance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0.00</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Median outstanding = zero</w:t>
            </w:r>
          </w:p>
        </w:tc>
        <w:tc>
          <w:tcPr>
            <w:tcW w:type="dxa" w:w="2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More than half of visits are either fully paid or waived — collection problem concentrated in specific visits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is_readmission</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0.15</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14.8% readmission rate</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Clinical quality AND revenue alert — each readmission is another billing event, another collection risk</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max</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billed_amount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1,498,170</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₦1.5M single visit</w:t>
            </w:r>
          </w:p>
        </w:tc>
        <w:tc>
          <w:tcPr>
            <w:tcW w:type="dxa" w:w="2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Major surgical procedures — these must have pre-authorisation verified BEFORE surgery, not after</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coverage_pct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0.83</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83% average insurance coverage</w:t>
            </w:r>
          </w:p>
        </w:tc>
        <w:tc>
          <w:tcPr>
            <w:tcW w:type="dxa" w:w="2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High coverage — the billing gap is NOT from poor coverage. It is from collection failures AFTER billing</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std</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billed_amount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224,879</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std &gt; mean (208% CV)</w:t>
            </w:r>
          </w:p>
        </w:tc>
        <w:tc>
          <w:tcPr>
            <w:tcW w:type="dxa" w:w="2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Extreme variability: ₦3K pharmacy vs ₦1.5M surgery in the same dataset. Never use mean for 'typical bill'</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Sections 1 and 2: Cleaning and Feature Engineering</w:t>
      </w:r>
    </w:p>
    <w:p>
      <w:pPr>
        <w:pStyle w:val="Heading2"/>
        <w:spacing w:after="100" w:before="280"/>
      </w:pPr>
      <w:r>
        <w:rPr>
          <w:rFonts w:ascii="Arial" w:cs="Arial" w:eastAsia="Arial" w:hAnsi="Arial"/>
          <w:b/>
          <w:bCs/>
          <w:color w:val="003087"/>
          <w:sz w:val="26"/>
          <w:szCs w:val="26"/>
        </w:rPr>
        <w:t xml:space="preserve">4.1 — Missing Values: Actual Output and Clinical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MISSING VALUES — LUTH BILLING DATA:</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diagnosis        :  103  (3.5%)  — emergency registrations before diagnosis confirmed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ward             :  100  (3.4%)  — outpatient visits have no ward assignment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doctor_name      :   87  (3.0%)  — nurse-led or group consultations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patient_state    :   77  (2.6%)  — A&amp;E registrations without state of origin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MISSING    :  367 cells   (0.54% of all cells)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Complete rows    : 2,587 of 2,943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Why NOT dropna() — The ₦38.2M Argument</w:t>
            </w:r>
          </w:p>
          <w:p>
            <w:pPr>
              <w:spacing w:after="0" w:before="0"/>
            </w:pPr>
            <w:r>
              <w:rPr>
                <w:rFonts w:ascii="Arial" w:cs="Arial" w:eastAsia="Arial" w:hAnsi="Arial"/>
                <w:color w:val="2C3E50"/>
                <w:sz w:val="20"/>
                <w:szCs w:val="20"/>
              </w:rPr>
              <w:t xml:space="preserve">If we ran df.dropna() to drop any row with any missing value, we would lose 356 rows. Those 356 rows include ₦38.2M in billed services — real treatments delivered to real patients. Dropping those rows would make LUTH's billing appear ₦38.2M smaller than reality. Strategic imputation — using explicit labels like 'Unspecified Diagnosis' — retains all financial data while being honest about the administrative gaps.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TREATMENT APPLIED: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diagnosis     : 103 NaN → 'Unspecified Diagnosis'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ward          : 100 NaN → 'Unspecified Ward'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doctor_name   :  87 NaN → 'Unassigned'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patient_state :  77 NaN → 'Unknown State'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Missing remaining: 0  |  All 2,943 visits retained</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4.2 — Feature Engineering: New Columns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3760"/>
      </w:tblGrid>
      <w:tr>
        <w:trPr>
          <w:tblHeader/>
        </w:trPr>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New Column</w:t>
            </w:r>
          </w:p>
        </w:tc>
        <w:tc>
          <w:tcPr>
            <w:tcW w:type="dxa" w:w="22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How Created</w:t>
            </w:r>
          </w:p>
        </w:tc>
        <w:tc>
          <w:tcPr>
            <w:tcW w:type="dxa" w:w="16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Values</w:t>
            </w:r>
          </w:p>
        </w:tc>
        <w:tc>
          <w:tcPr>
            <w:tcW w:type="dxa" w:w="37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Column Matters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day_of_week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df['visit_date'].dt.day_name()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Monday...Sunday</w:t>
            </w:r>
          </w:p>
        </w:tc>
        <w:tc>
          <w:tcPr>
            <w:tcW w:type="dxa" w:w="3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Detects weekend visit patterns — A&amp;E weekend volume has different payer mix and collection risk</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is_weekend</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dayofweek.isin([5,6]).astype(int)</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 or 1</w:t>
            </w:r>
          </w:p>
        </w:tc>
        <w:tc>
          <w:tcPr>
            <w:tcW w:type="dxa" w:w="3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Binary flag: 814 weekend visits (27.7%) vs 2,129 weekday. Enables weekend collection strategy analysis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age_group</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pd.cut(patient_age, [0,17,35,60,85])</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 WHO-standard bands</w:t>
            </w:r>
          </w:p>
        </w:tc>
        <w:tc>
          <w:tcPr>
            <w:tcW w:type="dxa" w:w="3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WHO clinical age categories. Seniors (61+) at 27.9% = highest complexity, highest NHIS entanglement</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billing_band</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pd.cut(billed_amount, [0,20K,100K,500K,∞])</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financial tiers</w:t>
            </w:r>
          </w:p>
        </w:tc>
        <w:tc>
          <w:tcPr>
            <w:tcW w:type="dxa" w:w="3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Micro to Premium — reveals that Premium bills collect BETTER (77.4%) than Micro bills (47.2%)</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revenue_risk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apply(risk_function, axis=1)</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 risk tiers</w:t>
            </w:r>
          </w:p>
        </w:tc>
        <w:tc>
          <w:tcPr>
            <w:tcW w:type="dxa" w:w="3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Converts payment status + bill size into actionable collection priority score for billing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VERIFY AFTER CLEANING: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Rows     : 2,943    Columns  : 28 (was 26 — 2 new feature columns)    Missing  : 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Date range: 2022-01-01 to 2024-12-30    All 3 years and 12 months confirmed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Billed  : N317,633,668    Total Collected : N202,644,495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Collection Rate: 63.8%    (the central KPI of the entire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The Inverse Collection Rate Paradox — Revealed by Billing Bands</w:t>
            </w:r>
          </w:p>
          <w:p>
            <w:pPr>
              <w:spacing w:after="0" w:before="0"/>
            </w:pPr>
            <w:r>
              <w:rPr>
                <w:rFonts w:ascii="Arial" w:cs="Arial" w:eastAsia="Arial" w:hAnsi="Arial"/>
                <w:color w:val="2C3E50"/>
                <w:sz w:val="20"/>
                <w:szCs w:val="20"/>
              </w:rPr>
              <w:t xml:space="preserve">Standard expectation: small bills are easier to collect. Actual LUTH data: Micro bills (&lt;₦20K) collect at only 47.2%, while Premium bills (₦500K+) collect at 77.4%. Why? Premium surgical patients use private insurance and employer schemes that pay reliably. Micro outpatient patients pay cash and often skip follow-up bills. This insight fundamentally changes LUTH's collection strategy: focus collection effort on Micro and Standard bands, not Premium.</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Sections 3, 4, and 5: Analysis Core</w:t>
      </w:r>
    </w:p>
    <w:p>
      <w:pPr>
        <w:pStyle w:val="Heading2"/>
        <w:spacing w:after="100" w:before="280"/>
      </w:pPr>
      <w:r>
        <w:rPr>
          <w:rFonts w:ascii="Arial" w:cs="Arial" w:eastAsia="Arial" w:hAnsi="Arial"/>
          <w:b/>
          <w:bCs/>
          <w:color w:val="003087"/>
          <w:sz w:val="26"/>
          <w:szCs w:val="26"/>
        </w:rPr>
        <w:t xml:space="preserve">5.1 — Section 3: Key Filter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FILTER RESULTS: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Unpaid/partial visits    : 1,098  (37.3%) — N100.2M outstanding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Surgery visits           :   187           — N157.9M billed | 79.3% collection rate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NHIS visits              :   850  (28.9%) — avg N103,828 per visit | 74.2% rate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Senior patients defaulted:    59           — N5.8M+ outstanding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Readmissions             :   435  (14.8%) — avg N110,576 per readmission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TOP 5 BILLED VISITS — ALL SURGERIES: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LUTH-V-020724  Gastroenterology  Surgery  N1,498,170  Paid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LUTH-V-020636  Paediatrics       Surgery  N1,497,803  Paid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LUTH-V-021609  Haematology       Surgery  N1,494,391  Paid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LUTH-V-021515  Haematology       Surgery  N1,491,808  Partial</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LUTH-V-020960  Paediatrics       Surgery  N1,488,436  Partial</w:t>
            </w:r>
          </w:p>
        </w:tc>
      </w:tr>
    </w:tbl>
    <w:p>
      <w:pPr>
        <w:spacing w:after="0" w:before="80"/>
      </w:pPr>
      <w:r>
        <w:t xml:space="preserve"/>
      </w:r>
    </w:p>
    <w:p>
      <w:pPr>
        <w:spacing w:after="60" w:before="60"/>
      </w:pPr>
      <w:r>
        <w:rPr>
          <w:rFonts w:ascii="Arial" w:cs="Arial" w:eastAsia="Arial" w:hAnsi="Arial"/>
          <w:color w:val="2C3E50"/>
          <w:sz w:val="21"/>
          <w:szCs w:val="21"/>
        </w:rPr>
        <w:t xml:space="preserve">Revenue implications of each filter:</w:t>
      </w:r>
    </w:p>
    <w:p>
      <w:pPr>
        <w:pStyle w:val="ListParagraph"/>
        <w:numPr>
          <w:ilvl w:val="0"/>
          <w:numId w:val="2"/>
        </w:numPr>
        <w:spacing w:after="40" w:before="40"/>
      </w:pPr>
      <w:r>
        <w:rPr>
          <w:rFonts w:ascii="Arial" w:cs="Arial" w:eastAsia="Arial" w:hAnsi="Arial"/>
          <w:color w:val="2C3E50"/>
          <w:sz w:val="21"/>
          <w:szCs w:val="21"/>
        </w:rPr>
        <w:t xml:space="preserve">1,098 unpaid visits (₦100.2M outstanding): This is the primary collection target. Every percentage point improvement in collecting from this group = ₦1.0M in revenue without treating a single additional patient.</w:t>
      </w:r>
    </w:p>
    <w:p>
      <w:pPr>
        <w:pStyle w:val="ListParagraph"/>
        <w:numPr>
          <w:ilvl w:val="0"/>
          <w:numId w:val="2"/>
        </w:numPr>
        <w:spacing w:after="40" w:before="40"/>
      </w:pPr>
      <w:r>
        <w:rPr>
          <w:rFonts w:ascii="Arial" w:cs="Arial" w:eastAsia="Arial" w:hAnsi="Arial"/>
          <w:color w:val="2C3E50"/>
          <w:sz w:val="21"/>
          <w:szCs w:val="21"/>
        </w:rPr>
        <w:t xml:space="preserve">Surgery 79.3% collection rate: BETTER than the hospital average (63.8%). Surgical patients either have private insurance (which pays) or are highly motivated to settle bills (to protect their medical records for future procedures).</w:t>
      </w:r>
    </w:p>
    <w:p>
      <w:pPr>
        <w:pStyle w:val="ListParagraph"/>
        <w:numPr>
          <w:ilvl w:val="0"/>
          <w:numId w:val="2"/>
        </w:numPr>
        <w:spacing w:after="40" w:before="40"/>
      </w:pPr>
      <w:r>
        <w:rPr>
          <w:rFonts w:ascii="Arial" w:cs="Arial" w:eastAsia="Arial" w:hAnsi="Arial"/>
          <w:color w:val="2C3E50"/>
          <w:sz w:val="21"/>
          <w:szCs w:val="21"/>
        </w:rPr>
        <w:t xml:space="preserve">NHIS 74.2% rate: NHIS guarantees reimbursement in theory, but a 25.8% gap = ₦22.8M in rejected or delayed NHIS claims. Most of this is recoverable through proper claim documentation and resubmission.</w:t>
      </w:r>
    </w:p>
    <w:p>
      <w:pPr>
        <w:pStyle w:val="ListParagraph"/>
        <w:numPr>
          <w:ilvl w:val="0"/>
          <w:numId w:val="2"/>
        </w:numPr>
        <w:spacing w:after="40" w:before="40"/>
      </w:pPr>
      <w:r>
        <w:rPr>
          <w:rFonts w:ascii="Arial" w:cs="Arial" w:eastAsia="Arial" w:hAnsi="Arial"/>
          <w:color w:val="2C3E50"/>
          <w:sz w:val="21"/>
          <w:szCs w:val="21"/>
        </w:rPr>
        <w:t xml:space="preserve">59 senior defaulters: At the intersection of clinical welfare and finance. Some seniors genuinely cannot afford care. A targeted financial assistance programme — funded by the ₦14.1M waiver budget — would convert these defaults to documented waivers, improving both the collection rate calculation and community relations.</w:t>
      </w:r>
    </w:p>
    <w:p>
      <w:pPr>
        <w:spacing w:after="0" w:before="100"/>
      </w:pPr>
      <w:r>
        <w:t xml:space="preserve"/>
      </w:r>
    </w:p>
    <w:p>
      <w:pPr>
        <w:pStyle w:val="Heading2"/>
        <w:spacing w:after="100" w:before="280"/>
      </w:pPr>
      <w:r>
        <w:rPr>
          <w:rFonts w:ascii="Arial" w:cs="Arial" w:eastAsia="Arial" w:hAnsi="Arial"/>
          <w:b/>
          <w:bCs/>
          <w:color w:val="003087"/>
          <w:sz w:val="26"/>
          <w:szCs w:val="26"/>
        </w:rPr>
        <w:t xml:space="preserve">5.2 — Section 4: Department Performance Table (All 20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000"/>
        <w:gridCol w:w="900"/>
        <w:gridCol w:w="900"/>
        <w:gridCol w:w="900"/>
        <w:gridCol w:w="900"/>
        <w:gridCol w:w="1500"/>
      </w:tblGrid>
      <w:tr>
        <w:trPr>
          <w:tblHeader/>
        </w:trPr>
        <w:tc>
          <w:tcPr>
            <w:tcW w:type="dxa" w:w="20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Department</w:t>
            </w:r>
          </w:p>
        </w:tc>
        <w:tc>
          <w:tcPr>
            <w:tcW w:type="dxa" w:w="7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Visits</w:t>
            </w:r>
          </w:p>
        </w:tc>
        <w:tc>
          <w:tcPr>
            <w:tcW w:type="dxa" w:w="10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Billed(₦M)</w:t>
            </w:r>
          </w:p>
        </w:tc>
        <w:tc>
          <w:tcPr>
            <w:tcW w:type="dxa" w:w="9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Avg Bill</w:t>
            </w:r>
          </w:p>
        </w:tc>
        <w:tc>
          <w:tcPr>
            <w:tcW w:type="dxa" w:w="9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Collect%</w:t>
            </w:r>
          </w:p>
        </w:tc>
        <w:tc>
          <w:tcPr>
            <w:tcW w:type="dxa" w:w="9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Default%</w:t>
            </w:r>
          </w:p>
        </w:tc>
        <w:tc>
          <w:tcPr>
            <w:tcW w:type="dxa" w:w="9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Readmit%</w:t>
            </w:r>
          </w:p>
        </w:tc>
        <w:tc>
          <w:tcPr>
            <w:tcW w:type="dxa" w:w="15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Status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Gynaecology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163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₦126.4K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62.1%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21.0%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Monitor (highest readmit)</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Haematology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169</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20.44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₦121.0K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Paediatrics</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144</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19.61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₦136.2K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Good</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Dermatology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145</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19.41</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₦133.9K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65.8%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Cardiology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18.59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₦139.8K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Good</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Gastroenterology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149</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18.37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₦123.3K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68.8%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Radiology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17.81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₦104.8K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67.2%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18.0%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General Surgery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16.25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₦115.3K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65.3%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Accident &amp; Emergency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155</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15.40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₦99.4K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62.7%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Monitor (high default)</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Neurology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148</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15.27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₦103.2K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CRITICAL — worst rate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Obstetrics</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15.24</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₦116.3K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52.6%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Concern</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ENT</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15.00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₦106.4K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Urology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159</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14.99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₦94.2K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69.9%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Good</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Psychiatry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14.80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₦88.6K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57.7%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Concern (high default)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Internal Medicine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14.37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₦95.8K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75.8%</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BEST — benchmark</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Orthopaedics</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159</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13.05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₦82.1K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Good</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Oncology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125</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12.70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₦101.6K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58.9%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Concern</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Ophthalmology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12.64</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₦96.5K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59.6%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Physiotherapy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12.35</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₦92.9K</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51.2%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18.0%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Concern (NHIS gap)</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Nephrology</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10.72</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₦82.5K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55.5%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Concern (high default)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BDC3C7" w:sz="1"/>
              <w:right w:val="single" w:color="BDC3C7" w:sz="1"/>
            </w:tcBorders>
            <w:shd w:fill="D5F5E3" w:val="clear"/>
            <w:tcMar>
              <w:top w:type="dxa" w:w="100"/>
              <w:left w:type="dxa" w:w="180"/>
              <w:bottom w:type="dxa" w:w="100"/>
              <w:right w:type="dxa" w:w="180"/>
            </w:tcMar>
          </w:tcPr>
          <w:p>
            <w:pPr>
              <w:spacing w:after="60" w:before="0"/>
            </w:pPr>
            <w:r>
              <w:rPr>
                <w:rFonts w:ascii="Arial" w:cs="Arial" w:eastAsia="Arial" w:hAnsi="Arial"/>
                <w:b/>
                <w:bCs/>
                <w:color w:val="1E8449"/>
                <w:sz w:val="20"/>
                <w:szCs w:val="20"/>
              </w:rPr>
              <w:t xml:space="preserve">Internal Medicine — The Benchmark Department (75.8%)</w:t>
            </w:r>
          </w:p>
          <w:p>
            <w:pPr>
              <w:spacing w:after="0" w:before="0"/>
            </w:pPr>
            <w:r>
              <w:rPr>
                <w:rFonts w:ascii="Arial" w:cs="Arial" w:eastAsia="Arial" w:hAnsi="Arial"/>
                <w:color w:val="2C3E50"/>
                <w:sz w:val="20"/>
                <w:szCs w:val="20"/>
              </w:rPr>
              <w:t xml:space="preserve">Internal Medicine is the best-collecting department for a clear reason: it handles conditions heavily covered by NHIS (hypertension, diabetes, pneumonia, typhoid). These conditions have standardised NHIS tariffs with clear pre-authorisation processes. The claim rejection rate is low, payments arrive on schedule, and patients with chronic conditions build relationships with the billing system. LUTH should study Internal Medicine's billing practices and replicate them hospital-wide.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Neurology — The Crisis Department (47.0%)</w:t>
            </w:r>
          </w:p>
          <w:p>
            <w:pPr>
              <w:spacing w:after="0" w:before="0"/>
            </w:pPr>
            <w:r>
              <w:rPr>
                <w:rFonts w:ascii="Arial" w:cs="Arial" w:eastAsia="Arial" w:hAnsi="Arial"/>
                <w:color w:val="2C3E50"/>
                <w:sz w:val="20"/>
                <w:szCs w:val="20"/>
              </w:rPr>
              <w:t xml:space="preserve">Neurology generates ₦15.27M in billing per year but collects only 47% — losing ₦8.1M annually. The core problem: neurological conditions (stroke, epilepsy, Parkinson's disease) require expensive long-term management. Many patients are elderly or incapacitated, with limited financial capacity. NHIS coverage for neurological conditions is often incomplete, leaving large patient shares uncollected. Neurology needs a dedicated financial counsellor at the point of referral.</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5.3 — Payer Mix Pivot and Year-over-Year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BILLED AMOUNT BY PAYER TYPE × YEAR (N Millions):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year               2022    2023    2024   Growth 2022→2024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Bank Transfer      11.48   11.83    8.21       -28.5%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Cash               30.31   29.97   23.68       -21.9%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Employer Scheme     9.74   10.47    6.89       -29.3%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Lashma             11.49    8.04   10.75        -6.4%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Nhis               30.15   31.01   27.10       -10.1%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Private Insurance  19.50   15.61   21.39        +9.7%</w:t>
            </w:r>
          </w:p>
        </w:tc>
      </w:tr>
    </w:tbl>
    <w:p>
      <w:pPr>
        <w:spacing w:after="0" w:before="80"/>
      </w:pPr>
      <w:r>
        <w:t xml:space="preserve"/>
      </w:r>
    </w:p>
    <w:p>
      <w:pPr>
        <w:spacing w:after="60" w:before="60"/>
      </w:pPr>
      <w:r>
        <w:rPr>
          <w:rFonts w:ascii="Arial" w:cs="Arial" w:eastAsia="Arial" w:hAnsi="Arial"/>
          <w:color w:val="2C3E50"/>
          <w:sz w:val="21"/>
          <w:szCs w:val="21"/>
        </w:rPr>
        <w:t xml:space="preserve">Policy-critical payer trends:</w:t>
      </w:r>
    </w:p>
    <w:p>
      <w:pPr>
        <w:pStyle w:val="ListParagraph"/>
        <w:numPr>
          <w:ilvl w:val="0"/>
          <w:numId w:val="2"/>
        </w:numPr>
        <w:spacing w:after="40" w:before="40"/>
      </w:pPr>
      <w:r>
        <w:rPr>
          <w:rFonts w:ascii="Arial" w:cs="Arial" w:eastAsia="Arial" w:hAnsi="Arial"/>
          <w:color w:val="2C3E50"/>
          <w:sz w:val="21"/>
          <w:szCs w:val="21"/>
        </w:rPr>
        <w:t xml:space="preserve">Private Insurance is the ONLY payer growing (+9.7%). Every other payer is contracting. LUTH should aggressively expand HMO and private insurer accreditations to accelerate this trend.</w:t>
      </w:r>
    </w:p>
    <w:p>
      <w:pPr>
        <w:pStyle w:val="ListParagraph"/>
        <w:numPr>
          <w:ilvl w:val="0"/>
          <w:numId w:val="2"/>
        </w:numPr>
        <w:spacing w:after="40" w:before="40"/>
      </w:pPr>
      <w:r>
        <w:rPr>
          <w:rFonts w:ascii="Arial" w:cs="Arial" w:eastAsia="Arial" w:hAnsi="Arial"/>
          <w:color w:val="2C3E50"/>
          <w:sz w:val="21"/>
          <w:szCs w:val="21"/>
        </w:rPr>
        <w:t xml:space="preserve">NHIS declined -10.1% despite being the largest payer. This likely reflects NHIS capitation payment delays causing LUTH to reduce NHIS patient acceptance, or increased NHIS claim rejections discouraging registration staff.</w:t>
      </w:r>
    </w:p>
    <w:p>
      <w:pPr>
        <w:pStyle w:val="ListParagraph"/>
        <w:numPr>
          <w:ilvl w:val="0"/>
          <w:numId w:val="2"/>
        </w:numPr>
        <w:spacing w:after="40" w:before="40"/>
      </w:pPr>
      <w:r>
        <w:rPr>
          <w:rFonts w:ascii="Arial" w:cs="Arial" w:eastAsia="Arial" w:hAnsi="Arial"/>
          <w:color w:val="2C3E50"/>
          <w:sz w:val="21"/>
          <w:szCs w:val="21"/>
        </w:rPr>
        <w:t xml:space="preserve">Cash declined -21.9% — either fewer cash-paying patients or cash patients choosing cheaper private hospitals. Cash patients are LUTH's worst-paying segment (58.7% collection rate) — declining cash share may actually IMPROVE the overall collection rate if it is replaced by insured patients.</w:t>
      </w:r>
    </w:p>
    <w:p>
      <w:pPr>
        <w:pStyle w:val="ListParagraph"/>
        <w:numPr>
          <w:ilvl w:val="0"/>
          <w:numId w:val="2"/>
        </w:numPr>
        <w:spacing w:after="40" w:before="40"/>
      </w:pPr>
      <w:r>
        <w:rPr>
          <w:rFonts w:ascii="Arial" w:cs="Arial" w:eastAsia="Arial" w:hAnsi="Arial"/>
          <w:color w:val="2C3E50"/>
          <w:sz w:val="21"/>
          <w:szCs w:val="21"/>
        </w:rPr>
        <w:t xml:space="preserve">Employer Scheme declined -29.3% — the steepest fall. Corporate employer health schemes are being terminated or renegotiated. LUTH should contact its top 10 corporate employer-scheme clients to understand and address their concerns.</w:t>
      </w:r>
    </w:p>
    <w:p>
      <w:pPr>
        <w:spacing w:after="0" w:before="100"/>
      </w:pPr>
      <w:r>
        <w:t xml:space="preserve"/>
      </w:r>
    </w:p>
    <w:p>
      <w:pPr>
        <w:pStyle w:val="Heading2"/>
        <w:spacing w:after="100" w:before="280"/>
      </w:pPr>
      <w:r>
        <w:rPr>
          <w:rFonts w:ascii="Arial" w:cs="Arial" w:eastAsia="Arial" w:hAnsi="Arial"/>
          <w:b/>
          <w:bCs/>
          <w:color w:val="003087"/>
          <w:sz w:val="26"/>
          <w:szCs w:val="26"/>
        </w:rPr>
        <w:t xml:space="preserve">5.4 — Statistics: The Numbers That Define LUTH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000"/>
        <w:gridCol w:w="3160"/>
      </w:tblGrid>
      <w:tr>
        <w:trPr>
          <w:tblHeader/>
        </w:trPr>
        <w:tc>
          <w:tcPr>
            <w:tcW w:type="dxa" w:w="20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16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w:t>
            </w:r>
          </w:p>
        </w:tc>
        <w:tc>
          <w:tcPr>
            <w:tcW w:type="dxa" w:w="16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Median</w:t>
            </w:r>
          </w:p>
        </w:tc>
        <w:tc>
          <w:tcPr>
            <w:tcW w:type="dxa" w:w="10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Skewness</w:t>
            </w:r>
          </w:p>
        </w:tc>
        <w:tc>
          <w:tcPr>
            <w:tcW w:type="dxa" w:w="31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Healthcare Finance Interpretation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billed_amount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₦107,929</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₦39,397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+4.108 (extreme right)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is 2.7× median — surgical cases inflate average. Report ₦39,397 as 'typical LUTH bill'</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amount_collected</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₦68,856</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₦18,511</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+5.175 (extreme right)</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Spike at ₦0 (all unpaid visits). Median collected = 47% of median billed — huge gap</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outstanding_balance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₦39,072</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+6.698 (extreme right)</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visits (57.8%) have zero outstanding. Problem concentrated in specific visits</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service_duration_mins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618.6 mins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57.0 mins</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+3.551 (extreme right)</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Inpatient stays (thousands of mins) inflate mean. Typical outpatient visit = 57 minutes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patient_age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42.41 years</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42.00 years</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+0.048 (symmetric)</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Near-perfect bell shape — LUTH serves all ages equally. A true general teaching hospital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PERCENTILE LADDER — BILLED AMOUNT: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P10  (10% of visits below): N    10,664   pharmacy, basic consults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Q1   (25% below)          : N    18,843   outpatient routine visits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Median                    : N    39,397   THE typical LUTH billing event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Q3   (75% below)          : N    87,306   moderate inpatient or procedure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P90  (top 10%)            : N   188,296   complex procedures, multi-day stays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P99  (top 1%)             : N 1,321,357   major surgeries only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IQR (Q3-Q1)               : N    68,463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Upper fence               : N   190,001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Statistical outliers (&gt;fence): 290  (9.9%) — ALL legitimate surgical cases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6 — KPI Dashboard and Revenue Recommendations</w:t>
      </w:r>
    </w:p>
    <w:p>
      <w:pPr>
        <w:pStyle w:val="Heading2"/>
        <w:spacing w:after="100" w:before="280"/>
      </w:pPr>
      <w:r>
        <w:rPr>
          <w:rFonts w:ascii="Arial" w:cs="Arial" w:eastAsia="Arial" w:hAnsi="Arial"/>
          <w:b/>
          <w:bCs/>
          <w:color w:val="003087"/>
          <w:sz w:val="26"/>
          <w:szCs w:val="26"/>
        </w:rPr>
        <w:t xml:space="preserve">6.1 — The Complete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LUTH — REVENUE KPI DASHBOARD (2022–2024)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Patient Visits          :         2,943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Billed (N)              : N   317,633,668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Collected (N)           : N   202,644,495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Outstanding (N)         : N   114,989,173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Collection Rate               :            63.8%   [Target: &gt;=80%]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Paid Visit Rate               :            57.8%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Default Rate                  :             6.9%   [Target: &lt;5%]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Waiver Rate                   :             4.9%   [Acceptable: &lt;7%]</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Billed per Visit          : N       107,929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Collected per Visit       : N        68,856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Readmission Rate              :            14.8%   [Target: &lt;10%]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Insurance Coverage Rate       :            66.8%   [Target: &gt;=75%]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NHIS Patient Share            :            28.9%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Cash Patient Share            :            24.6%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Service Duration          :           618.6 mins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Patient Age               :            42.4 years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Top Billing Department        : Gynaecology (N20.60M)</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Best Collection Rate Dept     : Internal Medicine (75.8%)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Worst Collection Rate Dept    : Neurology (47.0%)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1400"/>
        <w:gridCol w:w="3560"/>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KPI</w:t>
            </w:r>
          </w:p>
        </w:tc>
        <w:tc>
          <w:tcPr>
            <w:tcW w:type="dxa" w:w="12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w:t>
            </w:r>
          </w:p>
        </w:tc>
        <w:tc>
          <w:tcPr>
            <w:tcW w:type="dxa" w:w="13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Benchmark</w:t>
            </w:r>
          </w:p>
        </w:tc>
        <w:tc>
          <w:tcPr>
            <w:tcW w:type="dxa" w:w="140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Gap</w:t>
            </w:r>
          </w:p>
        </w:tc>
        <w:tc>
          <w:tcPr>
            <w:tcW w:type="dxa" w:w="3560"/>
            <w:tcBorders>
              <w:top w:val="single" w:color="003087" w:sz="1"/>
              <w:left w:val="single" w:color="003087" w:sz="1"/>
              <w:bottom w:val="single" w:color="003087" w:sz="1"/>
              <w:right w:val="single" w:color="003087" w:sz="1"/>
            </w:tcBorders>
            <w:shd w:fill="003087"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Priority Action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Collection 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63.8%</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&gt;=80%</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16.2pp below</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cycle reform; pre-admission financial counselling; 48-hr post-discharge follow-up</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Default Rate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&lt;5%</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1.9pp above</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Active debt recovery; legal engagement for Critical Risk (59 visits, ₦13.3M)</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Readmission 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14.8%</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&lt;10%</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4.8pp above</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Discharge planning improvement; Gynaecology (21%) priority</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Insurance Coverage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66.8%</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&gt;=75%</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8.2pp below</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Add 3-5 new private HMO accreditations; fix NHIS claim process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Trend</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 (2022→2024)</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Growing</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Strategic gap</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Annual tariff review; investigate patient volume decline</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Neurology Rate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47.0%</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&gt;=70%</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23pp below</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Financial counsellor at referral point; NHIS pre-authorisation programme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LASHMA Rate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55.2%</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&gt;=70%</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14.8pp below</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Escalate LASHMA claim delays to Lagos State Health Commissioner</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6.2 — Five Revenue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DATA-DRIVEN REVENUE RECOMMENDATIONS: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1. REVENUE TREND ALERT (N14.7M decline 2022→2024)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Billed: N112.7M (2022) → N106.9M (2023) → N98.0M (2024)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Annual tariff review. LUTH's rates may not have kept pace with inflation.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Patient volume analysis: are fewer patients attending LUTH or fewer paying?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Benchmark against LASUTH and UCH billing rates.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 COLLECTION RATE PROGRAMME (63.8% → 80% target)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Outstanding: N114.9M — earned but not received.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Pre-admission financial screening for all elective procedures &gt;N100K.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48-hour post-discharge billing call for all Pending and Partial payers.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Payment plan options for patients with &gt;N50K outstanding.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3. PAYER MIX STRATEGY (Private Insurance +9.7%)</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Sign 5 new HMO/private insurer accreditation agreements by Q2 2025.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Fix NHIS claim rejection process: 25.8% gap = N22.8M recoverable per year.</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Pre-payment deposit for Cash patients before elective procedures.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4. DEPARTMENT-SPECIFIC INTERVENTIONS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Neurology (47.0% rate, N8.1M annual collection gap):</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Financial counsellor embedded in Neurology clinic.</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NHIS pre-authorisation before first consultation.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Internal Medicine (75.8% — BEST):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Document and replicate billing practices hospital-wide.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 CLINICAL-FINANCIAL INTEGRATION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Readmission rate: 14.8% (target &lt;10%)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Gynaecology readmissions: 21.0% — highest in hospital</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Each readmission = another bill + another collection risk.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Discharge planning checklist for all inpatient departments.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 7-day post-discharge outpatient review to prevent readmission.</w:t>
            </w:r>
          </w:p>
        </w:tc>
      </w:tr>
    </w:tbl>
    <w:p>
      <w:pPr>
        <w:spacing w:after="0" w:before="100"/>
      </w:pPr>
      <w:r>
        <w:t xml:space="preserve"/>
      </w:r>
    </w:p>
    <w:p>
      <w:pPr>
        <w:pStyle w:val="Heading2"/>
        <w:spacing w:after="100" w:before="280"/>
      </w:pPr>
      <w:r>
        <w:rPr>
          <w:rFonts w:ascii="Arial" w:cs="Arial" w:eastAsia="Arial" w:hAnsi="Arial"/>
          <w:b/>
          <w:bCs/>
          <w:color w:val="003087"/>
          <w:sz w:val="26"/>
          <w:szCs w:val="26"/>
        </w:rPr>
        <w:t xml:space="preserve">6.3 — The Complete Analytical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2,943 Patient Visit Records (26 columns)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0: Load — 2,943 visits, ₦317.6M total billed</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1: Fill 367 Missing Values (4 clinical categories)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2: Clean + Engineer 4 New Features (28 columns total)</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3: Extract 5 Revenue Subsets (unpaid, surgery, NHIS, seniors, readmits)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4: Aggregate (20-dept table, payer pivot, revenue risk classification)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5: Statistics (skew, percentiles, inverse collection rate paradox)</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6: EDA (distributions, correlation heatmap)</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7: Visualise (bar, line, donut, box, scatter — 7 chart types)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8: 19 Revenue KPIs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  Section 9: 9-Panel Dashboard + 5 Revenue Recommendations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DATA-DRIVEN HOSPITAL REVENUE CYCLE MANAGEMENT</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LUTH HOSPITAL REVENUE &amp; BILLING ANALYTICS | COMPREHENSIVE STUDY NOTES</w:t>
      </w:r>
    </w:p>
    <w:p>
      <w:pPr>
        <w:spacing w:after="60" w:before="0"/>
        <w:jc w:val="center"/>
      </w:pPr>
      <w:r>
        <w:rPr>
          <w:rFonts w:ascii="Arial" w:cs="Arial" w:eastAsia="Arial" w:hAnsi="Arial"/>
          <w:color w:val="BDC3C7"/>
          <w:sz w:val="18"/>
          <w:szCs w:val="18"/>
        </w:rPr>
        <w:t xml:space="preserve">Trainer: Kajola Gbenga Adewale | Prodigy Training Hub | Zedcrest Capital Data Analyst Training Programme | 2026</w:t>
      </w:r>
    </w:p>
    <w:p>
      <w:pPr>
        <w:spacing w:after="0" w:before="0"/>
        <w:jc w:val="center"/>
      </w:pPr>
      <w:r>
        <w:rPr>
          <w:rFonts w:ascii="Arial" w:cs="Arial" w:eastAsia="Arial" w:hAnsi="Arial"/>
          <w:color w:val="BDC3C7"/>
          <w:sz w:val="17"/>
          <w:szCs w:val="17"/>
        </w:rPr>
        <w:t xml:space="preserve">CONFIDENTIAL — All outputs verified from actual execution of LUTH_Revenue_Analytics.ipynb</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Zedcrest Capital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003087"/>
        <w:sz w:val="18"/>
        <w:szCs w:val="18"/>
      </w:rPr>
      <w:t xml:space="preserve">LUTH Hospital Revenue &amp; Billing Analytics | Comprehensive Study Notes | All Outputs Verified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00308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891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2026-06-07T15:50:46.625Z</dcterms:created>
  <dcterms:modified xsi:type="dcterms:W3CDTF">2026-06-07T15:50:46.638Z</dcterms:modified>
</cp:coreProperties>
</file>

<file path=docProps/custom.xml><?xml version="1.0" encoding="utf-8"?>
<Properties xmlns="http://schemas.openxmlformats.org/officeDocument/2006/custom-properties" xmlns:vt="http://schemas.openxmlformats.org/officeDocument/2006/docPropsVTypes"/>
</file>