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500"/>
              <w:left w:type="dxa" w:w="400"/>
              <w:bottom w:type="dxa" w:w="500"/>
              <w:right w:type="dxa" w:w="400"/>
            </w:tcMar>
          </w:tcPr>
          <w:p>
            <w:pPr>
              <w:spacing w:after="80" w:before="0"/>
              <w:jc w:val="center"/>
            </w:pPr>
            <w:r>
              <w:rPr>
                <w:rFonts w:ascii="Arial" w:cs="Arial" w:eastAsia="Arial" w:hAnsi="Arial"/>
                <w:b/>
                <w:bCs/>
                <w:color w:val="D4AC0D"/>
                <w:sz w:val="42"/>
                <w:szCs w:val="42"/>
              </w:rPr>
              <w:t xml:space="preserve">EXPLORATORY DATA ANALYSIS (EDA)</w:t>
            </w:r>
          </w:p>
          <w:p>
            <w:pPr>
              <w:spacing w:after="60" w:before="0"/>
              <w:jc w:val="center"/>
            </w:pPr>
            <w:r>
              <w:rPr>
                <w:rFonts w:ascii="Arial" w:cs="Arial" w:eastAsia="Arial" w:hAnsi="Arial"/>
                <w:b/>
                <w:bCs/>
                <w:color w:val="FFFFFF"/>
                <w:sz w:val="24"/>
                <w:szCs w:val="24"/>
              </w:rPr>
              <w:t xml:space="preserve">COMPLETE MASTERCLASS - COMPREHENSIVE TEACHING NOTES</w:t>
            </w:r>
          </w:p>
          <w:p>
            <w:pPr>
              <w:spacing w:after="160" w:before="0"/>
              <w:jc w:val="center"/>
            </w:pPr>
            <w:r>
              <w:rPr>
                <w:rFonts w:ascii="Arial" w:cs="Arial" w:eastAsia="Arial" w:hAnsi="Arial"/>
                <w:color w:val="94A3B8"/>
                <w:sz w:val="20"/>
                <w:szCs w:val="20"/>
              </w:rPr>
              <w:t xml:space="preserve">Nigeria Retail Intelligence Dataset | 4,500 Transactions | 31 Columns | 2023</w:t>
            </w:r>
          </w:p>
          <w:p>
            <w:pPr>
              <w:spacing w:after="60" w:before="160"/>
              <w:jc w:val="center"/>
            </w:pPr>
            <w:r>
              <w:rPr>
                <w:rFonts w:ascii="Arial" w:cs="Arial" w:eastAsia="Arial" w:hAnsi="Arial"/>
                <w:b/>
                <w:bCs/>
                <w:color w:val="FFFFFF"/>
                <w:sz w:val="22"/>
                <w:szCs w:val="22"/>
              </w:rPr>
              <w:t xml:space="preserve">Total Revenue: N613.8M  |  Profit: N224.6M  |  Margin: 36.60%</w:t>
            </w:r>
          </w:p>
          <w:p>
            <w:pPr>
              <w:spacing w:after="80" w:before="0"/>
              <w:jc w:val="center"/>
            </w:pPr>
            <w:r>
              <w:rPr>
                <w:rFonts w:ascii="Arial" w:cs="Arial" w:eastAsia="Arial" w:hAnsi="Arial"/>
                <w:color w:val="D4AC0D"/>
                <w:sz w:val="19"/>
                <w:szCs w:val="19"/>
              </w:rPr>
              <w:t xml:space="preserve">10 Sections | 23 Code Cells | Every Line Explained | All Outputs Interpreted</w:t>
            </w:r>
          </w:p>
          <w:p>
            <w:pPr>
              <w:spacing w:after="40" w:before="160"/>
              <w:jc w:val="center"/>
            </w:pPr>
            <w:r>
              <w:rPr>
                <w:rFonts w:ascii="Arial" w:cs="Arial" w:eastAsia="Arial" w:hAnsi="Arial"/>
                <w:b/>
                <w:bCs/>
                <w:color w:val="FFFFFF"/>
                <w:sz w:val="18"/>
                <w:szCs w:val="18"/>
              </w:rPr>
              <w:t xml:space="preserve">Zedcrest Capital Data Analyst Training Programme | Prodigy Training Hub</w:t>
            </w:r>
          </w:p>
          <w:p>
            <w:pPr>
              <w:spacing w:after="0" w:before="0"/>
              <w:jc w:val="center"/>
            </w:pPr>
            <w:r>
              <w:rPr>
                <w:rFonts w:ascii="Arial" w:cs="Arial" w:eastAsia="Arial" w:hAnsi="Arial"/>
                <w:color w:val="94A3B8"/>
                <w:sz w:val="18"/>
                <w:szCs w:val="18"/>
              </w:rPr>
              <w:t xml:space="preserve">Trainer: Kajola Gbenga Adewale | 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How to Use This Document</w:t>
            </w:r>
          </w:p>
          <w:p>
            <w:pPr>
              <w:spacing w:after="0" w:before="0"/>
            </w:pPr>
            <w:r>
              <w:rPr>
                <w:rFonts w:ascii="Arial" w:cs="Arial" w:eastAsia="Arial" w:hAnsi="Arial"/>
                <w:color w:val="2C3E50"/>
                <w:sz w:val="20"/>
                <w:szCs w:val="20"/>
              </w:rPr>
              <w:t xml:space="preserve">This document is the complete companion to Nigeria_Retail_EDA_Masterclass.ipynb. It is organised into three major parts: Part 1 covers the dataset (all 31 columns explained in full detail with business context). Part 2 covers every code cell in the notebook - each line explained in a dedicated table, followed by a detailed output interpretation table. Part 3 is the EDA summary with all key findings and business recommendations. Read Part 1 first so you understand what every column means before reading the code.</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8" w:space="6"/>
        </w:pBdr>
        <w:spacing w:after="120" w:before="400"/>
      </w:pPr>
      <w:r>
        <w:rPr>
          <w:rFonts w:ascii="Arial" w:cs="Arial" w:eastAsia="Arial" w:hAnsi="Arial"/>
          <w:b/>
          <w:bCs/>
          <w:color w:val="0D2B55"/>
          <w:sz w:val="30"/>
          <w:szCs w:val="30"/>
        </w:rPr>
        <w:t xml:space="preserve">Part 1 - The Dataset: nigeria_retail_eda.csv</w:t>
      </w:r>
    </w:p>
    <w:p>
      <w:pPr>
        <w:pStyle w:val="Heading2"/>
        <w:spacing w:after="100" w:before="280"/>
      </w:pPr>
      <w:r>
        <w:rPr>
          <w:rFonts w:ascii="Arial" w:cs="Arial" w:eastAsia="Arial" w:hAnsi="Arial"/>
          <w:b/>
          <w:bCs/>
          <w:color w:val="1A5276"/>
          <w:sz w:val="26"/>
          <w:szCs w:val="26"/>
        </w:rPr>
        <w:t xml:space="preserve">1.1 - What This Dataset Represents</w:t>
      </w:r>
    </w:p>
    <w:p>
      <w:pPr>
        <w:spacing w:after="60" w:before="60"/>
      </w:pPr>
      <w:r>
        <w:rPr>
          <w:rFonts w:ascii="Arial" w:cs="Arial" w:eastAsia="Arial" w:hAnsi="Arial"/>
          <w:color w:val="2C3E50"/>
          <w:sz w:val="21"/>
          <w:szCs w:val="21"/>
        </w:rPr>
        <w:t xml:space="preserve">The file nigeria_retail_eda.csv contains 4,500 transaction records from NigeriaRetail Co., a multi-category retail company operating across 15 Nigerian states in the 2023 fiscal year. Every row in this dataset represents one customer transaction - from the moment a product was purchased through payment, delivery, and outcome. The dataset was constructed to simulate real Nigerian retail conditions including the diversity of payment methods (POS, cash, USSD), the mix of online and physical channels, seasonal patterns, product category diversity, and the structural missing value patterns typical of Nigerian retail data systems.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8"/>
              <w:left w:val="single" w:color="0E6655" w:sz="8"/>
              <w:bottom w:val="single" w:color="BDC3C7" w:sz="1"/>
              <w:right w:val="single" w:color="BDC3C7" w:sz="1"/>
            </w:tcBorders>
            <w:shd w:fill="D1F2EB" w:val="clear"/>
            <w:tcMar>
              <w:top w:type="dxa" w:w="100"/>
              <w:left w:type="dxa" w:w="180"/>
              <w:bottom w:type="dxa" w:w="100"/>
              <w:right w:type="dxa" w:w="180"/>
            </w:tcMar>
          </w:tcPr>
          <w:p>
            <w:pPr>
              <w:spacing w:after="60" w:before="0"/>
            </w:pPr>
            <w:r>
              <w:rPr>
                <w:rFonts w:ascii="Arial" w:cs="Arial" w:eastAsia="Arial" w:hAnsi="Arial"/>
                <w:b/>
                <w:bCs/>
                <w:color w:val="0E6655"/>
                <w:sz w:val="20"/>
                <w:szCs w:val="20"/>
              </w:rPr>
              <w:t xml:space="preserve">Why This Dataset for EDA Training</w:t>
            </w:r>
          </w:p>
          <w:p>
            <w:pPr>
              <w:spacing w:after="0" w:before="0"/>
            </w:pPr>
            <w:r>
              <w:rPr>
                <w:rFonts w:ascii="Arial" w:cs="Arial" w:eastAsia="Arial" w:hAnsi="Arial"/>
                <w:color w:val="2C3E50"/>
                <w:sz w:val="20"/>
                <w:szCs w:val="20"/>
              </w:rPr>
              <w:t xml:space="preserve">This dataset is specifically designed to teach EDA because it contains every major data challenge a real analyst encounters: three columns with missing values that have different structural explanations (requiring different treatment strategies); a revenue distribution with extreme right-skewness (+4.77) that teaches the median vs mean lesson; a volume-revenue paradox where the highest-transaction category is NOT the highest-revenue category; legitimate outliers (bulk B2B orders) that should never be deleted; and time series data with low seasonality - showing that not all business data has obvious peaks.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1.2 - Dataset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Property</w:t>
            </w:r>
          </w:p>
        </w:tc>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w:t>
            </w:r>
          </w:p>
        </w:tc>
        <w:tc>
          <w:tcPr>
            <w:tcW w:type="dxa" w:w="58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Meaning</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Rows</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4,500</w:t>
            </w:r>
          </w:p>
        </w:tc>
        <w:tc>
          <w:tcPr>
            <w:tcW w:type="dxa" w:w="5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Each row is one retail transaction. 4,500 rows = 4,500 individual sales events across the full year 2023.</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 Columns</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31</w:t>
            </w:r>
          </w:p>
        </w:tc>
        <w:tc>
          <w:tcPr>
            <w:tcW w:type="dxa" w:w="5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Each column captures one attribute of the transaction - from customer demographics to financial outcomes.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Cells</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139,500</w:t>
            </w:r>
          </w:p>
        </w:tc>
        <w:tc>
          <w:tcPr>
            <w:tcW w:type="dxa" w:w="5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4,500 rows x 31 columns. Out of 139,500 cells, only 3,742 (2.69%) have missing values - excellent data quality.</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Memory</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4,117.2 KB</w:t>
            </w:r>
          </w:p>
        </w:tc>
        <w:tc>
          <w:tcPr>
            <w:tcW w:type="dxa" w:w="5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Larger than expected for 4,500 rows because 14 columns are text strings (category names, state names, product descriptions) which consume more memory than numbers.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Time Period</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Jan 1 - Dec 31, 2023</w:t>
            </w:r>
          </w:p>
        </w:tc>
        <w:tc>
          <w:tcPr>
            <w:tcW w:type="dxa" w:w="5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Full year coverage. All 12 months present - enables seasonality analysis and quarterly performance comparison.</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 Revenue</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N613,831,334</w:t>
            </w:r>
          </w:p>
        </w:tc>
        <w:tc>
          <w:tcPr>
            <w:tcW w:type="dxa" w:w="5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N613.8 million in gross sales across all 4,500 transactions over the year.</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Profit</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N224,642,683</w:t>
            </w:r>
          </w:p>
        </w:tc>
        <w:tc>
          <w:tcPr>
            <w:tcW w:type="dxa" w:w="5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N224.6 million in gross profit after deducting cost of goods sold. Does not include operating expenses.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Overall Margin</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36.60%</w:t>
            </w:r>
          </w:p>
        </w:tc>
        <w:tc>
          <w:tcPr>
            <w:tcW w:type="dxa" w:w="5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For every N100 in sales, N36.60 is gross profit. This is a healthy margin for retail in Nigeria.</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States Covered</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15</w:t>
            </w:r>
          </w:p>
        </w:tc>
        <w:tc>
          <w:tcPr>
            <w:tcW w:type="dxa" w:w="5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Lagos, Abuja, Kano, Rivers, Oyo, Delta, Enugu, Edo, Anambra, Kaduna, Imo, Ogun, Osun, Kwara, Borno.</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Product Categories</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w:t>
            </w:r>
          </w:p>
        </w:tc>
        <w:tc>
          <w:tcPr>
            <w:tcW w:type="dxa" w:w="5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Food &amp; Beverages, Electronics, Fashion &amp; Clothing, Health &amp; Beauty, Home &amp; Kitchen, Computing, Groceries, Sporting Goods.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Unique Products</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80</w:t>
            </w:r>
          </w:p>
        </w:tc>
        <w:tc>
          <w:tcPr>
            <w:tcW w:type="dxa" w:w="5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80 individual product names. Each category has approximately 10 product variants.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1.3 - All 31 Columns Explained in Full</w:t>
      </w:r>
    </w:p>
    <w:p>
      <w:pPr>
        <w:spacing w:after="80" w:before="200"/>
      </w:pPr>
      <w:r>
        <w:rPr>
          <w:rFonts w:ascii="Arial" w:cs="Arial" w:eastAsia="Arial" w:hAnsi="Arial"/>
          <w:b/>
          <w:bCs/>
          <w:color w:val="0E6655"/>
          <w:sz w:val="23"/>
          <w:szCs w:val="23"/>
        </w:rPr>
        <w:t xml:space="preserve">Identification and Time Columns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400"/>
        <w:gridCol w:w="2800"/>
        <w:gridCol w:w="2960"/>
      </w:tblGrid>
      <w:tr>
        <w:trPr>
          <w:tblHeader/>
        </w:trPr>
        <w:tc>
          <w:tcPr>
            <w:tcW w:type="dxa" w:w="1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Example</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Explanation</w:t>
            </w:r>
          </w:p>
        </w:tc>
        <w:tc>
          <w:tcPr>
            <w:tcW w:type="dxa" w:w="29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It Matters in EDA</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transaction_id</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TXN-100001</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Unique identifier for each transaction. Format: TXN-XXXXXX starting at TXN-100001 and incrementing by 1. No two transactions have the same ID.</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Used in .count() aggregations to count orders. When groupby computes "count", it counts transaction_id values. The uniqueness of this column is verified in the duplicate check (Cell 13).</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transaction_date</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 -&gt; datetime</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2023-01-15</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Date the transaction occurred, stored initially as a text string in YYYY-MM-DD format. Must be converted to datetime64 in Section 1 (Cell 15) before any date-based analysis.</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Before conversion: df["transaction_date"].dt.month throws AttributeError. After conversion to datetime64: all .dt operations work - .dt.month, .dt.year, .dt.day_name(), enabling monthly groupby, seasonal analysis, and time series charts.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year</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2023</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Calendar year of the transaction. All values are 2023 in this single-year dataset.</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Included for multi-year compatibility. In a multi-year dataset, this column enables yearly groupby without calling .dt.year on the datetime column.</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quarter</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Q1</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Business quarter: Q1=January-March, Q2=April-June, Q3=July-September, Q4=October-December. Pre-computed and stored as text.</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Used directly in pivot_table() to create category x quarter revenue tables (Cell 35). Pre-computed quarters prevent the need for pd.cut() on month numbers.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month</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January</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Full month name as text. Pre-computed from transaction_date.</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Provides human-readable month labels for charts. The month_num column (integer 1-12) is used for sorting and arithmetic; the month column is used for display labels.</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month_num</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Integer month (1=January, 2=February ... 12=December). Pre-computed from transaction_date.</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Essential for sorted groupby - groupby("month_num") produces months in calendar order. groupby("month") would produce alphabetical order (April before January). Used in all time series groupby operations.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week_number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ISO week number (1-52 or 1-53). Week 1 contains the first Thursday of the year per ISO 8601 standard.</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Enables weekly trend analysis and week-over-week comparisons - useful for identifying specific promotional weeks or event impacts.</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day_of_week</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Friday</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Full day name. Pre-computed from transaction_date.</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Enables day-of-week pattern analysis: Are Fridays higher-revenue? Do weekends show different category preferences? Used alongside is_weekend for weekend vs weekday EDA.</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is_weekend</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Binary flag: 1 = transaction occurred on Saturday or Sunday; 0 = weekday (Monday through Friday). Created with .dt.dayofweek.isin([5,6]).astype(int).</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Because it is a binary 0/1 integer, .mean() gives the weekend transaction rate directly. df["is_weekend"].mean() = 0.299 means 29.9% of transactions occur on weekends. Used as a grouping variable in statistical tests (Cell 49).</w:t>
            </w:r>
          </w:p>
        </w:tc>
      </w:tr>
    </w:tbl>
    <w:p>
      <w:pPr>
        <w:spacing w:after="0" w:before="80"/>
      </w:pPr>
      <w:r>
        <w:t xml:space="preserve"/>
      </w:r>
    </w:p>
    <w:p>
      <w:pPr>
        <w:spacing w:after="80" w:before="200"/>
      </w:pPr>
      <w:r>
        <w:rPr>
          <w:rFonts w:ascii="Arial" w:cs="Arial" w:eastAsia="Arial" w:hAnsi="Arial"/>
          <w:b/>
          <w:bCs/>
          <w:color w:val="0E6655"/>
          <w:sz w:val="23"/>
          <w:szCs w:val="23"/>
        </w:rPr>
        <w:t xml:space="preserve">Geographic Columns (10-11)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400"/>
        <w:gridCol w:w="2800"/>
        <w:gridCol w:w="2960"/>
      </w:tblGrid>
      <w:tr>
        <w:trPr>
          <w:tblHeader/>
        </w:trPr>
        <w:tc>
          <w:tcPr>
            <w:tcW w:type="dxa" w:w="1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Example</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Explanation</w:t>
            </w:r>
          </w:p>
        </w:tc>
        <w:tc>
          <w:tcPr>
            <w:tcW w:type="dxa" w:w="29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EDA Role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state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Lagos</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Nigerian state where the transaction took place. 15 states are represented: Lagos, Abuja (FCT), Kano, Rivers, Oyo, Delta, Enugu, Edo, Anambra, Kaduna, Imo, Ogun, Osun, Kwara, Borno.</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Primary geographic groupby dimension. df.groupby("state")["total_revenue"].sum() produces the state revenue table. Used in the top-5-states chart (Dashboard Panel 4). Lagos alone contributes the highest revenue due to population, infrastructure, and e-commerce maturity.</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city</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Ikeja</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City within the state. Multiple cities per state (e.g. Lagos has Ikeja, Victoria Island, Surulere, Lekki, Apapa, Yaba).</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City-level granularity for logistics and targeted marketing analysis. Allows drill-down within state analysis to identify which cities drive which state revenue.</w:t>
            </w:r>
          </w:p>
        </w:tc>
      </w:tr>
    </w:tbl>
    <w:p>
      <w:pPr>
        <w:spacing w:after="0" w:before="80"/>
      </w:pPr>
      <w:r>
        <w:t xml:space="preserve"/>
      </w:r>
    </w:p>
    <w:p>
      <w:pPr>
        <w:spacing w:after="80" w:before="200"/>
      </w:pPr>
      <w:r>
        <w:rPr>
          <w:rFonts w:ascii="Arial" w:cs="Arial" w:eastAsia="Arial" w:hAnsi="Arial"/>
          <w:b/>
          <w:bCs/>
          <w:color w:val="0E6655"/>
          <w:sz w:val="23"/>
          <w:szCs w:val="23"/>
        </w:rPr>
        <w:t xml:space="preserve">Product Columns (12-13)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400"/>
        <w:gridCol w:w="2800"/>
        <w:gridCol w:w="2960"/>
      </w:tblGrid>
      <w:tr>
        <w:trPr>
          <w:tblHeader/>
        </w:trPr>
        <w:tc>
          <w:tcPr>
            <w:tcW w:type="dxa" w:w="1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Example</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Explanation</w:t>
            </w:r>
          </w:p>
        </w:tc>
        <w:tc>
          <w:tcPr>
            <w:tcW w:type="dxa" w:w="29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EDA Role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category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Electronics</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 product categories: Food &amp; Beverages (22.7% of transactions), Electronics (16.6%), Fashion &amp; Clothing (13.5%), Health &amp; Beauty (11.3%), Home &amp; Kitchen (11.1%), Groceries (10.8%), Computing (8.8%), Sporting Goods (5.2%).</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most important groupby dimension in this dataset. Category is used in 9 of the 23 code cells. The category-level performance matrix (Cell 30) is the single most important bivariate output. Critical finding: transaction count rank and revenue rank are completely different - Food &amp; Beverages ranks 1st by count but 5th by revenue; Computing ranks 7th by count but 1st by revenue.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product_name</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Wireless Earbuds Pro</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80 unique product names, approximately 10 per category. Examples: Rice 50kg, Groundnut Oil 5L, LED TV 43 Inch, Bluetooth Speaker, Ankara Fabric 6Yards, Non-stick Pot Set, Laptop HP 15 Inch, External SSD 1TB.</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Used for granular product-level analysis and identifying top revenue products. The extreme range in prices (Rice 50kg at N500-N28,000 vs Laptop HP 15 Inch at N2,500-N750,000) creates the right-skewed distribution seen in the histogram charts.</w:t>
            </w:r>
          </w:p>
        </w:tc>
      </w:tr>
    </w:tbl>
    <w:p>
      <w:pPr>
        <w:spacing w:after="0" w:before="80"/>
      </w:pPr>
      <w:r>
        <w:t xml:space="preserve"/>
      </w:r>
    </w:p>
    <w:p>
      <w:pPr>
        <w:spacing w:after="80" w:before="200"/>
      </w:pPr>
      <w:r>
        <w:rPr>
          <w:rFonts w:ascii="Arial" w:cs="Arial" w:eastAsia="Arial" w:hAnsi="Arial"/>
          <w:b/>
          <w:bCs/>
          <w:color w:val="0E6655"/>
          <w:sz w:val="23"/>
          <w:szCs w:val="23"/>
        </w:rPr>
        <w:t xml:space="preserve">Financial Columns (14-21)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500"/>
        <w:gridCol w:w="2500"/>
        <w:gridCol w:w="2960"/>
      </w:tblGrid>
      <w:tr>
        <w:trPr>
          <w:tblHeader/>
        </w:trPr>
        <w:tc>
          <w:tcPr>
            <w:tcW w:type="dxa" w:w="1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Range</w:t>
            </w:r>
          </w:p>
        </w:tc>
        <w:tc>
          <w:tcPr>
            <w:tcW w:type="dxa" w:w="2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Exact Computation</w:t>
            </w:r>
          </w:p>
        </w:tc>
        <w:tc>
          <w:tcPr>
            <w:tcW w:type="dxa" w:w="29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Critical EDA Insight</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unit_price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N401 - N749,893</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Original price per unit before any discount is applied. Set during product pricing and varies by product category. Groceries range N400-N12,000; Computing ranges N2,500-N750,000.</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Strong correlation with total_revenue (r=+0.83 confirmed in Cell 35 heatmap). The extreme range (N401 to N749,893) spanning 3 orders of magnitude creates the right-skewed unit_price distribution seen in histogram Panel 4.</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quantity</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1 - 5</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Number of units purchased in a single transaction. Ranges from 1 (single item, most common) to 5 (maximum bulk). 45% of transactions are quantity=1, 28% are quantity=2.</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Moderate correlation with total_revenue (r=+0.285). Most transactions are 1-2 units. The 5-unit transactions are the bulk B2B orders that become outliers in Section 7.</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discount_percent</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int64 -&gt; 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 - 30%</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Percentage discount applied to unit_price. 40% of transactions have 0% discount. Maximum discount is 30%. Values: 0, 5, 10, 15, 20, 25, 30.</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Has 88 missing values (2.9%) filled with 0 in Cell 15 - missing = no discount applied, which is the factually correct treatment. Weak negative correlation with revenue (r=-0.056) confirming discounts slightly reduce revenue but the relationship is not strong in this dataset.</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selling_price</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N361 - N749,619</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 price per unit after discount: selling_price = unit_price x (1 - discount_percent/100). If discount_percent=10 and unit_price=N50,000 then selling_price=N45,000.</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price the customer actually pays. Directly feeds into total_revenue. Strong correlation with total_revenue expected since total_revenue = selling_price x quantity.</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N400 - N3,744,633</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amount the customer paid: total_revenue = selling_price x quantity. This is the primary financial metric for all revenue analysis.</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most important column in the entire dataset. Extreme right-skewness (+4.77). Mean N136,407 is 3.78x the median N36,079. Always use the median as the "typical" transaction value. The N3,744,633 maximum is a 5-unit laptop bulk purchase.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cost_price</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Varies by product</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What NigeriaRetail Co. paid to source or produce the product. Set as a percentage of unit_price ranging from 45% to 72% depending on category and negotiated supplier pricing.</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Used to compute gross_profit. Not analysed directly but its relationship to selling_price determines the margin structure.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gross_profit</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-N18,392 to N1,931,424</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Net financial gain per transaction: gross_profit = total_revenue - (cost_price x quantity). Can be negative when discount pushes selling_price below cost_price.</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Three transactions have negative gross_profit (loss-making). Minimum of -N18,392 identified in describe(). Total profit across all 4,500 transactions is N224,642,683 (36.60% margin). Near-perfect correlation with total_revenue (r=+0.965).</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gross_margin_pct</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-2.54% to 54.98%</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Profit as a percentage of revenue: gross_margin_pct = (gross_profit / total_revenue) x 100. Makes profit comparable across transactions of different sizes.</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Near-symmetric distribution (skew=-0.558) - the most fairly distributed financial metric. Mean 35.76% very close to median 36.32%. Allows fair cross-category comparison: a N300 grocery transaction and a N500,000 laptop transaction can both have 36% margin.</w:t>
            </w:r>
          </w:p>
        </w:tc>
      </w:tr>
    </w:tbl>
    <w:p>
      <w:pPr>
        <w:spacing w:after="0" w:before="80"/>
      </w:pPr>
      <w:r>
        <w:t xml:space="preserve"/>
      </w:r>
    </w:p>
    <w:p>
      <w:pPr>
        <w:spacing w:after="80" w:before="200"/>
      </w:pPr>
      <w:r>
        <w:rPr>
          <w:rFonts w:ascii="Arial" w:cs="Arial" w:eastAsia="Arial" w:hAnsi="Arial"/>
          <w:b/>
          <w:bCs/>
          <w:color w:val="0E6655"/>
          <w:sz w:val="23"/>
          <w:szCs w:val="23"/>
        </w:rPr>
        <w:t xml:space="preserve">Logistics and Channel Columns (22-27)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400"/>
        <w:gridCol w:w="2800"/>
        <w:gridCol w:w="2960"/>
      </w:tblGrid>
      <w:tr>
        <w:trPr>
          <w:tblHeader/>
        </w:trPr>
        <w:tc>
          <w:tcPr>
            <w:tcW w:type="dxa" w:w="1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Values / Range</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Explanation</w:t>
            </w:r>
          </w:p>
        </w:tc>
        <w:tc>
          <w:tcPr>
            <w:tcW w:type="dxa" w:w="29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Missing Value Note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shipping_fee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N0 - N2,499</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Delivery charge billed to the customer. N0 for walk-in (Supermarket Walk-In) customers who collect in store. N200 to N2,499 for online and agent-assisted orders.</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63 missing values (1.4%). Treated with channel-specific median in Cell 15. Walk-in channel always has N0 shipping; online channels have median based on their typical fee structure.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sales_channel</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 options</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 channels: Supermarket Walk-In (34.4%), Online App (24.8%), Online Website (18.7%), WhatsApp Order (12.0%), Agent (10.1%). Represents how the customer placed the order.</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No missing values. Used in groupby to analyse channel performance. The WhatsApp Order channel is specifically Nigerian - social commerce via WhatsApp is a significant retail channel in Nigeria that does not exist in most Western datasets.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payment_method</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 options</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 methods: POS Card (35.6%), Cash (30.2%), Bank Transfer (14.9%), USSD (11.7%), Jumia Pay (7.6%). Represents how the customer paid for their order.</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No missing values. Cash (30.2%) is uniquely high by global standards, reflecting Nigeria's cash-heavy economy. USSD (11.7%) serves customers who use feature phones (not smartphones) and have limited internet connectivity.</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customer_gender</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Male / Female</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Customer gender. Male: 2,337 (51.9%), Female: 2,163 (48.1%). Near-equal split reflects broad customer base across demographics.</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No missing values. Used in Mann-Whitney U test (Cell 49) to test whether male and female customers spend different amounts. Result: no statistically significant difference.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customer_age_group</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 age bands</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 groups: 18-24 (youngest), 25-34 (largest segment), 35-44, 45-54, 55+ (oldest). Age band of the customer at time of purchase.</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No missing values. When plotting age groups, always use .reindex(["18-24","25-34","35-44","45-54","55+"]) to force natural demographic ordering instead of alphabetical ordering.</w:t>
            </w:r>
          </w:p>
        </w:tc>
      </w:tr>
    </w:tbl>
    <w:p>
      <w:pPr>
        <w:spacing w:after="0" w:before="80"/>
      </w:pPr>
      <w:r>
        <w:t xml:space="preserve"/>
      </w:r>
    </w:p>
    <w:p>
      <w:pPr>
        <w:spacing w:after="80" w:before="200"/>
      </w:pPr>
      <w:r>
        <w:rPr>
          <w:rFonts w:ascii="Arial" w:cs="Arial" w:eastAsia="Arial" w:hAnsi="Arial"/>
          <w:b/>
          <w:bCs/>
          <w:color w:val="0E6655"/>
          <w:sz w:val="23"/>
          <w:szCs w:val="23"/>
        </w:rPr>
        <w:t xml:space="preserve">Outcome Columns (28-31)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400"/>
        <w:gridCol w:w="2800"/>
        <w:gridCol w:w="2960"/>
      </w:tblGrid>
      <w:tr>
        <w:trPr>
          <w:tblHeader/>
        </w:trPr>
        <w:tc>
          <w:tcPr>
            <w:tcW w:type="dxa" w:w="1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Values / Range</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Explanation</w:t>
            </w:r>
          </w:p>
        </w:tc>
        <w:tc>
          <w:tcPr>
            <w:tcW w:type="dxa" w:w="29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EDA Property</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customer_rating</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1.0 - 5.0</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Post-delivery customer satisfaction rating on a 1-5 scale where 1=Very Dissatisfied and 5=Very Satisfied. Only collected when (1) order is Completed and (2) customer voluntarily leaves a rating after receiving their product.</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1,099 missing values (24.4%). Missing = customer chose not to rate, NOT a data error. Treated with category-specific median in Cell 15 because Electronics and Computing customers rate differently than Grocery customers. Mean after imputation: 3.03/5.</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delivery_days</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0 - 12</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Number of days from order placement to product delivery. Set to 0 for walk-in purchases (no delivery). Ranges 1-12 days for online and agent-assisted orders.</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2,580 missing values (57.3%). This appears catastrophic but is entirely structural: walk-in customers collect goods in store - there is no delivery therefore delivery_days is not applicable, not missing. Panel 3 of the missing value chart (Cell 11) visually proves this by showing 100% missing for Supermarket Walk-In channel.</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order_status</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 statuses</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 outcomes: Completed (68.6% - order fulfilled and delivered), Pending (12.8% - still being processed), Cancelled (9.5% - order cancelled before fulfilment), Returned (9.2% - product returned after delivery).</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No missing values. Cancelled + Returned = 18.7% = 840 transactions generating no final revenue. This is the most important operational finding in the entire dataset. Each failed transaction has logistics and processing costs without corresponding revenue.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is_return</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 or 1</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Binary flag: 1 = this transaction resulted in a product return, 0 = no return. Exactly equals 1 wherever order_status = "Returned".</w:t>
            </w:r>
          </w:p>
        </w:tc>
        <w:tc>
          <w:tcPr>
            <w:tcW w:type="dxa" w:w="29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No missing values. Because it is binary integer, df["is_return"].mean() = return rate directly = 0.092 = 9.2%. Used in groupby return_rate = ("is_return","mean") in the category performance matrix. Electronics and Fashion &amp; Clothing both show 10% return rate - above the 9.2% average.</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is_repeat_customer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 or 1</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Binary flag: 1 = customer has placed a previous order before this transaction, 0 = this is their first purchase. Repeat customers: 35.5% of transactions (1,598 transactions from returning customers).</w:t>
            </w:r>
          </w:p>
        </w:tc>
        <w:tc>
          <w:tcPr>
            <w:tcW w:type="dxa" w:w="29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No missing values. df["is_repeat_customer"].mean() = 0.355 = 35.5% repeat transaction rate. Used in Mann-Whitney U test (Cell 49) to test whether repeat customers spend more than new customers. A significant result would justify major investment in loyalty programmes.</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8" w:space="6"/>
        </w:pBdr>
        <w:spacing w:after="120" w:before="400"/>
      </w:pPr>
      <w:r>
        <w:rPr>
          <w:rFonts w:ascii="Arial" w:cs="Arial" w:eastAsia="Arial" w:hAnsi="Arial"/>
          <w:b/>
          <w:bCs/>
          <w:color w:val="0D2B55"/>
          <w:sz w:val="30"/>
          <w:szCs w:val="30"/>
        </w:rPr>
        <w:t xml:space="preserve">Part 2 - Every Code Cell: Line-by-Line Explanation and Output Interpretation</w:t>
      </w:r>
    </w:p>
    <w:p>
      <w:pPr>
        <w:pStyle w:val="Heading2"/>
        <w:spacing w:after="100" w:before="280"/>
      </w:pPr>
      <w:r>
        <w:rPr>
          <w:rFonts w:ascii="Arial" w:cs="Arial" w:eastAsia="Arial" w:hAnsi="Arial"/>
          <w:b/>
          <w:bCs/>
          <w:color w:val="1A5276"/>
          <w:sz w:val="26"/>
          <w:szCs w:val="26"/>
        </w:rPr>
        <w:t xml:space="preserve">Section 0 - Load the Dataset and Structural Inspection</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[02] - Step 0.0: Import All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import pandas as pd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import numpy as np</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import matplotlib.pyplot as plt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import matplotlib.ticker as mtick</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import seaborn as sns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from scipy import stats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import warnings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warnings.filterwarnings("ignore")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plt.rcParams.update({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"figure.facecolor":  "#F7F9FC",</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"axes.facecolor":    "#FFFFFF",</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"axes.grid":         True,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"grid.alpha":        0.3,</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"grid.linestyle":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"axes.spines.top":   False,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"axes.spines.right": False,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"font.family":       "sans-serif",</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PALETTE =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"primary":  "#2C3E50",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"accent":   "#E74C3C",</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"positive": "#27AE60",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"neutral":  "#3498DB",</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"gold":     "#F39C12",</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"purple":   "#8E44AD",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CATEGORY_COLORS = ["#2C3E50","#E74C3C","#27AE60","#3498DB","#F39C12","#8E44AD","#16A085","#E67E22"]</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def naira_fmt(x, pos=None):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if abs(x) &gt;= 1e9:  return f"N{x/1e9:.1f}B"</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if abs(x) &gt;= 1e6:  return f"N{x/1e6:.0f}M"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if abs(x) &gt;= 1e3:  return f"N{x/1e3:.0f}K"</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return f"N{x:,.0f}"</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print("Libraries loaded:")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pandas {pd.__version__} | numpy {np.__version__} | seaborn {sns.__version__}")</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scipy  {stats.__version__}")</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print("All EDA tools ready.")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4560"/>
      </w:tblGrid>
      <w:tr>
        <w:trPr>
          <w:tblHeader/>
        </w:trPr>
        <w:tc>
          <w:tcPr>
            <w:tcW w:type="dxa" w:w="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Line(s)</w:t>
            </w:r>
          </w:p>
        </w:tc>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Exact Code</w:t>
            </w:r>
          </w:p>
        </w:tc>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Does</w:t>
            </w:r>
          </w:p>
        </w:tc>
        <w:tc>
          <w:tcPr>
            <w:tcW w:type="dxa" w:w="45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It Is Written This Way</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import pandas as pd</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Loads the Pandas library and assigns it the short alias "pd"</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Pandas is the core data manipulation library. The alias pd is universal - every data scientist uses pd.read_csv(), pd.DataFrame(). Without this import, no DataFrame operations work.</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import numpy as np</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Loads NumPy and assigns the alias "np"</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NumPy provides arrays, mathematical operations, and statistical functions. Used for: np.triu() in the heatmap mask, np.polyfit() for trend lines, np.abs() for absolute values, np.linspace() for generating axis ranges, np.log1p() for log transformation.</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import matplotlib.pyplot as plt</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Loads the base plotting engine aliased as "plt"</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Every chart in the notebook - histograms, bar charts, scatter plots, line charts, box plots - is ultimately rendered by matplotlib. plt.subplots() creates figure panels; plt.show() renders them.</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import matplotlib.ticker as mtick</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Loads the tick formatter module</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This specific module provides FuncFormatter which converts axis numbers like 136406.96 into readable Nigerian currency labels like N136K. Without this, chart axes show unreadable long numbers.</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import seaborn as sns</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Loads Seaborn aliased as "sns"</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Seaborn wraps matplotlib to produce statistical charts with minimal code. sns.heatmap() produces the correlation matrix in 3 lines that would require 40+ lines of raw matplotlib. sns.violinplot() shows distribution shapes that histograms cannot.</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from scipy import stats</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Imports the stats module from SciPy</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scipy.stats provides the statistical testing functions used in Sections 7 and 8: stats.zscore() for Z-score outlier detection, stats.mannwhitneyu() for the non-parametric hypothesis tests, stats.probplot() for the QQ normality plot.</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7-8</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import warnings; warnings.filterwarnings("ignore")</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Loads the warnings module and suppresses non-critical warnings</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Pandas 3.x produces SettingWithCopyWarning and FutureWarning messages that are not errors - they are informational deprecation notices. Suppressing them keeps training output clean and focused on analytical results.</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10-18</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plt.rcParams.update({...})</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Sets global chart styling in one dictionary call</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Every chart created after this line automatically inherits these style settings. Setting it once prevents copying 8 lines of styling code into every chart cell. figure.facecolor is the outer area; axes.facecolor is the plot area. axes.spines.top/right=False removes the top and right border lines for a modern, clean look.</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20-27</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PALETTE = {...}</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Creates a named colour dictionary</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Storing colours as named constants prevents inconsistency. PALETTE["accent"] is always #E74C3C (red) throughout the notebook. If you want to change the accent colour, you change it in one place and every chart updates. This is professional code organisation.</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28</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CATEGORY_COLORS = [...]</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Stores 8 distinct colours for the 8 product categories</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When colouring categories in charts, we need 8 different colours that are visually distinguishable. This list is referenced wherever category-level colour coding is needed - panels, scatter plots, pie charts.</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30-34</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def naira_fmt(x, pos=None):</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Defines a custom axis formatter function</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When matplotlib formats axis tick labels, it passes each tick value (x) to this function. The function returns a string like "N136K" instead of "136406.96". The pos parameter is required by matplotlib but not used. This function is applied to axes with: ax.xaxis.set_major_formatter(mtick.FuncFormatter(naira_fmt))</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36-38</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print(f"pandas {pd.__version__} ...")</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Prints library version numbers to confirm successful import</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Version numbers help diagnose compatibility issues. If pd.__version__ shows an unexpected version, it explains why certain syntax works differently. This is also a confirmation that all 6 import statements executed without error.</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Libraries loaded:</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pandas 3.0.2  |  numpy 2.4.4  |  seaborn 0.13.2</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scipy  1.15.x</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All EDA tools ready.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8"/>
              <w:left w:val="single" w:color="0E6655" w:sz="8"/>
              <w:bottom w:val="single" w:color="BDC3C7" w:sz="1"/>
              <w:right w:val="single" w:color="BDC3C7" w:sz="1"/>
            </w:tcBorders>
            <w:shd w:fill="D1F2EB" w:val="clear"/>
            <w:tcMar>
              <w:top w:type="dxa" w:w="100"/>
              <w:left w:type="dxa" w:w="180"/>
              <w:bottom w:type="dxa" w:w="100"/>
              <w:right w:type="dxa" w:w="180"/>
            </w:tcMar>
          </w:tcPr>
          <w:p>
            <w:pPr>
              <w:spacing w:after="60" w:before="0"/>
            </w:pPr>
            <w:r>
              <w:rPr>
                <w:rFonts w:ascii="Arial" w:cs="Arial" w:eastAsia="Arial" w:hAnsi="Arial"/>
                <w:b/>
                <w:bCs/>
                <w:color w:val="0E6655"/>
                <w:sz w:val="20"/>
                <w:szCs w:val="20"/>
              </w:rPr>
              <w:t xml:space="preserve">What This Output Confirms</w:t>
            </w:r>
          </w:p>
          <w:p>
            <w:pPr>
              <w:spacing w:after="0" w:before="0"/>
            </w:pPr>
            <w:r>
              <w:rPr>
                <w:rFonts w:ascii="Arial" w:cs="Arial" w:eastAsia="Arial" w:hAnsi="Arial"/>
                <w:color w:val="2C3E50"/>
                <w:sz w:val="20"/>
                <w:szCs w:val="20"/>
              </w:rPr>
              <w:t xml:space="preserve">Six libraries imported without errors. Version numbers confirm the environment. Pandas 3.0.2 is important to note because in pandas 3.x, text columns display as dtype "str" instead of the older "object" - this affects how you read dtypes output later. Seaborn 0.13.2 supports the violinplot() syntax used in Section 7. If any library is missing, an ImportError would appear here and must be resolved with pip install before continuing.</w:t>
            </w:r>
          </w:p>
        </w:tc>
      </w:tr>
    </w:tbl>
    <w:p>
      <w:pPr>
        <w:spacing w:after="0" w:before="100"/>
      </w:pPr>
      <w:r>
        <w:t xml:space="preserve"/>
      </w:r>
    </w:p>
    <w:p>
      <w:pPr>
        <w:spacing w:after="80" w:before="200"/>
      </w:pPr>
      <w:r>
        <w:rPr>
          <w:rFonts w:ascii="Arial" w:cs="Arial" w:eastAsia="Arial" w:hAnsi="Arial"/>
          <w:b/>
          <w:bCs/>
          <w:color w:val="0E6655"/>
          <w:sz w:val="23"/>
          <w:szCs w:val="23"/>
        </w:rPr>
        <w:t xml:space="preserve">Cell [04] - Step 0.1: Load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df = pd.read_csv("nigeria_retail_eda.csv")</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 * 60)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  NIGERIA RETAIL CO. - TRANSACTION DATASET 2023")</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 * 60)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Rows (transactions) : {df.shape[0]:,}")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Columns             : {df.shape[1]}")</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Total cells         : {df.shape[0] * df.shape[1]:,}")</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Memory usage        : {df.memory_usage(deep=True).sum() / 1024:.1f} KB")</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i, col in enumerate(df.columns, 1):</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dtype = str(df[col].dtype)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nulls = df[col].isnull().sum()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null_note = f"  [{nulls:,} missing]" if nulls &gt; 0 else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print(f"  {i:&gt;2}. {col:&lt;28} {dtype:&lt;12} {null_note}")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00"/>
        <w:gridCol w:w="3260"/>
      </w:tblGrid>
      <w:tr>
        <w:trPr>
          <w:tblHeader/>
        </w:trPr>
        <w:tc>
          <w:tcPr>
            <w:tcW w:type="dxa" w:w="7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Line</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3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Detailed Explanation</w:t>
            </w:r>
          </w:p>
        </w:tc>
        <w:tc>
          <w:tcPr>
            <w:tcW w:type="dxa" w:w="32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Reveals</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 = pd.read_csv("nigeria_retail_eda.csv")</w:t>
            </w:r>
          </w:p>
        </w:tc>
        <w:tc>
          <w:tcPr>
            <w:tcW w:type="dxa" w:w="3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pd.read_csv() reads the CSV file and creates a DataFrame object called df. Every row becomes a DataFrame row; every CSV column becomes a DataFrame column. Pandas automatically detects numeric columns (assigns float64 or int64 dtype) and leaves text columns as str dtype. The variable name "df" is the standard convention for a primary DataFrame.</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entire dataset is now in memory as a structured table. df contains 4,500 rows and 31 columns in a tabular format where df["total_revenue"] returns the revenue column and df.iloc[0] returns the first row.</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print(f"Rows : {df.shape[0]:,}")</w:t>
            </w:r>
          </w:p>
        </w:tc>
        <w:tc>
          <w:tcPr>
            <w:tcW w:type="dxa" w:w="3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df.shape returns a tuple (rows, columns). df.shape[0] = number of rows. The :, format specifier adds comma separators to numbers - 4500 displays as 4,500.</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Confirms the dataset loaded completely. If only 4,000 rows appeared, 500 rows were lost during loading, likely due to encoding issues or incorrect delimiter.</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print(f"Columns : {df.shape[1]}")</w:t>
            </w:r>
          </w:p>
        </w:tc>
        <w:tc>
          <w:tcPr>
            <w:tcW w:type="dxa" w:w="3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df.shape[1] = number of columns. No format specifier needed since 31 is a small number.</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Confirms all 31 columns were read. If 30 appeared, one column name likely contained a comma causing CSV parsing to merge two columns.</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print(f"Total cells : {df.shape[0] * df.shape[1]:,}")</w:t>
            </w:r>
          </w:p>
        </w:tc>
        <w:tc>
          <w:tcPr>
            <w:tcW w:type="dxa" w:w="3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Multiplies rows by columns to give total cell count: 4,500 x 31 = 139,500.</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Context for missing value percentages. When missing_count/139,500 = 0.027 (2.7%), it means only 2.7% of all cells lack data - excellent quality.</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df.memory_usage(deep=True).sum() / 1024</w:t>
            </w:r>
          </w:p>
        </w:tc>
        <w:tc>
          <w:tcPr>
            <w:tcW w:type="dxa" w:w="3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df.memory_usage() returns bytes used per column. deep=True measures actual string content (not just pointers to strings). .sum() adds all column values. /1024 converts bytes to kilobytes.</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4,117.2 KB is larger than a pure-numeric dataset of this size because 14 string columns store full text content. This confirms deep=True is necessary - without it, string columns underestimate memory usage by 5-10x.</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10-14</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for i, col in enumerate(df.columns, 1):</w:t>
            </w:r>
          </w:p>
        </w:tc>
        <w:tc>
          <w:tcPr>
            <w:tcW w:type="dxa" w:w="3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enumerate(df.columns, 1) iterates through column names while counting from 1. For each column: dtype = str(df[col].dtype) gets type; df[col].isnull().sum() counts missing values. The null_note string is only added when nulls &gt; 0 to keep output clean.</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This loop prints a complete data dictionary with numbers, column names, data types, and any missing value flags all aligned in one readable table. The missing value flags [63 missing] immediately highlight the three columns needing treatment.</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Rows (transactions) : 4,500     &lt;- 4,500 individual sales events</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Columns             : 31         &lt;- 31 attributes per transaction</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Total cells         : 139,500    &lt;- 4500 x 31 = context for missing %</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Memory usage        : 4,117.2 KB &lt;- large due to 14 text columns</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Columns with missing values flagged:</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22. shipping_fee    float64     [63 missing]    &lt;- 1.4%: minor issue</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27. customer_rating float64     [1,099 missing] &lt;- 24.4%: structural</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28. delivery_days   float64     [2,580 missing] &lt;- 57.3%: structural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8"/>
              <w:left w:val="single" w:color="92400E" w:sz="8"/>
              <w:bottom w:val="single" w:color="BDC3C7" w:sz="1"/>
              <w:right w:val="single" w:color="BDC3C7" w:sz="1"/>
            </w:tcBorders>
            <w:shd w:fill="FEF3C7" w:val="clear"/>
            <w:tcMar>
              <w:top w:type="dxa" w:w="100"/>
              <w:left w:type="dxa" w:w="180"/>
              <w:bottom w:type="dxa" w:w="100"/>
              <w:right w:type="dxa" w:w="180"/>
            </w:tcMar>
          </w:tcPr>
          <w:p>
            <w:pPr>
              <w:spacing w:after="60" w:before="0"/>
            </w:pPr>
            <w:r>
              <w:rPr>
                <w:rFonts w:ascii="Arial" w:cs="Arial" w:eastAsia="Arial" w:hAnsi="Arial"/>
                <w:b/>
                <w:bCs/>
                <w:color w:val="92400E"/>
                <w:sz w:val="20"/>
                <w:szCs w:val="20"/>
              </w:rPr>
              <w:t xml:space="preserve">Why delivery_days Shows as float64 Despite Being Days (a Whole Number)</w:t>
            </w:r>
          </w:p>
          <w:p>
            <w:pPr>
              <w:spacing w:after="0" w:before="0"/>
            </w:pPr>
            <w:r>
              <w:rPr>
                <w:rFonts w:ascii="Arial" w:cs="Arial" w:eastAsia="Arial" w:hAnsi="Arial"/>
                <w:color w:val="2C3E50"/>
                <w:sz w:val="20"/>
                <w:szCs w:val="20"/>
              </w:rPr>
              <w:t xml:space="preserve">A column storing whole-number days should logically be int64. But delivery_days contains 2,580 NaN values. Pandas cannot store NaN in an integer column (Python integers have no NaN concept). When NaN exists in a column, Pandas automatically promotes the dtype to float64 which does support NaN. After Cell 15 fills all missing values with 0 or channel medians, the column has no NaN and could theoretically be converted back to int64 with .astype(int).</w:t>
            </w:r>
          </w:p>
        </w:tc>
      </w:tr>
    </w:tbl>
    <w:p>
      <w:pPr>
        <w:spacing w:after="0" w:before="100"/>
      </w:pPr>
      <w:r>
        <w:t xml:space="preserve"/>
      </w:r>
    </w:p>
    <w:p>
      <w:pPr>
        <w:spacing w:after="80" w:before="200"/>
      </w:pPr>
      <w:r>
        <w:rPr>
          <w:rFonts w:ascii="Arial" w:cs="Arial" w:eastAsia="Arial" w:hAnsi="Arial"/>
          <w:b/>
          <w:bCs/>
          <w:color w:val="0E6655"/>
          <w:sz w:val="23"/>
          <w:szCs w:val="23"/>
        </w:rPr>
        <w:t xml:space="preserve">Cell [06] - Step 0.2: Statistical Summary with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print("DTYPE SUMMARY:")</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print(df.dtypes.value_counts().rename_axis("dtype").reset_index(name="count").to_string(index=False))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print("STATISTICAL SUMMARY (key numeric columns):")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 * 92)</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num_cols = ["unit_price","quantity","discount_percent","total_revenue",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"gross_profit","gross_margin_pct","shipping_fee",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"customer_rating","delivery_days","is_return","is_repeat_customer"]</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desc = df[num_cols].describe().round(2)</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print(desc.to_string())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00"/>
        <w:gridCol w:w="3260"/>
      </w:tblGrid>
      <w:tr>
        <w:trPr>
          <w:tblHeader/>
        </w:trPr>
        <w:tc>
          <w:tcPr>
            <w:tcW w:type="dxa" w:w="7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Line</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3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Detailed Explanation</w:t>
            </w:r>
          </w:p>
        </w:tc>
        <w:tc>
          <w:tcPr>
            <w:tcW w:type="dxa" w:w="32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Reveals</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df.dtypes.value_counts().rename_axis("dtype").reset_index(name="count")</w:t>
            </w:r>
          </w:p>
        </w:tc>
        <w:tc>
          <w:tcPr>
            <w:tcW w:type="dxa" w:w="3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df.dtypes returns a Series mapping column names to their dtypes. .value_counts() counts how many columns have each dtype. .rename_axis("dtype") names the index column "dtype". .reset_index(name="count") converts the index to a regular column named "count", producing a clean two-column DataFrame.</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Shows the type composition: 14 str, 9 float64, 8 int64. This immediately reveals that text/categorical analysis is needed for 14 columns and numerical analysis for 17 columns.</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6-9</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num_cols = [...]</w:t>
            </w:r>
          </w:p>
        </w:tc>
        <w:tc>
          <w:tcPr>
            <w:tcW w:type="dxa" w:w="3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Defines a list of 11 key numeric columns for the statistical summary. Not all 31 columns are included - transaction_id (text ID) and date columns would not produce meaningful statistics.</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By selecting only the analytically meaningful numeric columns, the describe() output is focused and readable. Including all 31 columns would produce a very wide table with many unhelpful rows.</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desc = df[num_cols].describe().round(2)</w:t>
            </w:r>
          </w:p>
        </w:tc>
        <w:tc>
          <w:tcPr>
            <w:tcW w:type="dxa" w:w="3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df[num_cols] selects only those 11 columns. .describe() computes 8 statistics for each: count, mean, std, min, 25%, 50% (median), 75%, max. .round(2) rounds all values to 2 decimal places for readability.</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This single call produces 88 statistics (8 per column x 11 columns) that would take hours to compute manually. The count row immediately reveals missing values: customer_rating shows 3,401 not 4,500.</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[06]: Reading Every Row of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unit_price  quantity  discount%  total_revenue  gross_profit  margin%</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count          4500.00   4500.00    4500.00       4500.00       4500.00   4500.00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mean          71968.87      2.01       7.82     136406.96      49920.60     35.76</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std          129843.34      1.14       8.69     301102.14     117516.63     10.85</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min             401.23      1.00       0.00        400.43     -18391.56     -2.54</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25%           9710.96      1.00       0.00      13438.34       4264.46     29.26</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50%          21901.35      2.00       5.00      36079.14      12222.79     36.32</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75%          58847.19      3.00      15.00     107823.58      38638.20     44.02</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max         749893.24      5.00      30.00    3744632.60    1931424.10     54.98</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shipping_fee  customer_rating  delivery_days  is_return  is_repeat</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count            4437.00          3401.00        1920.00   4500.00    4500.00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mean              940.96             3.03           6.54      0.09       0.36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456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Row in describe()</w:t>
            </w:r>
          </w:p>
        </w:tc>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7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w:t>
            </w:r>
          </w:p>
        </w:tc>
        <w:tc>
          <w:tcPr>
            <w:tcW w:type="dxa" w:w="45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Detailed Interpretation</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count</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customer_rating</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3,401 not 4,500</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1,099 missing values confirmed. The count row is your first missing value detector. Anytime count &lt; 4,500 for a column, that column has missing values. Here: 4,500 - 3,401 = 1,099 missing ratings.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count</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delivery_days</w:t>
            </w:r>
          </w:p>
        </w:tc>
        <w:tc>
          <w:tcPr>
            <w:tcW w:type="dxa" w:w="1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1,920 not 4,500</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2,580 missing values confirmed. 1,920 transactions have delivery_days recorded; these are the online and agent orders. The 2,580 with no delivery_days are walk-in purchases.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N136,406.96</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arithmetic average across all 4,500 transactions. This number is meaningless for describing a "typical" transaction because it is dragged up 3.78x above the median by a small number of bulk Computing orders worth N3.7M each.</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50%</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N36,079.14</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MEDIAN - the actual typical transaction. Exactly half of all 4,500 transactions are below N36,079 and half are above. This is the number you should quote when someone asks "what does a typical NigeriaRetail customer spend?"</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gross_profit</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-N18,391.56</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Three transactions resulted in a financial LOSS. The minimum is -N18,391.56. These occur when a deep discount (likely 25-30%) pushes the selling_price below the cost_price, meaning NigeriaRetail paid more for the item than the customer paid.</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max</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N3,744,632.60</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largest single transaction is N3.74 million. This is a 5-unit purchase of Laptop HP 15 Inch (maximum quantity in the dataset). One transaction = 5 laptops at approximately N748K each. This single order is 26x the median transaction and is the primary outlier investigated in Section 7.</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is_return</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0.09</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Because is_return is a binary 0/1 column, the mean equals the RATE directly. mean = 0.09 = 9.2% return rate. No additional calculation needed. This property of binary columns applies also to is_repeat_customer: mean = 0.355 = 35.5% repeat customer rate.</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is_repeat_customer</w:t>
            </w:r>
          </w:p>
        </w:tc>
        <w:tc>
          <w:tcPr>
            <w:tcW w:type="dxa" w:w="1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0.36</w:t>
            </w:r>
          </w:p>
        </w:tc>
        <w:tc>
          <w:tcPr>
            <w:tcW w:type="dxa" w:w="4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35.5% of transactions come from repeat customers. This means 35.5% of the time, the customer placing the order had previously purchased from NigeriaRetail Co.</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std</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301,102.14</w:t>
            </w:r>
          </w:p>
        </w:tc>
        <w:tc>
          <w:tcPr>
            <w:tcW w:type="dxa" w:w="4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standard deviation is N301,102 - which is larger than the mean N136,407. When std &gt; mean, the distribution is extremely variable. Coefficient of Variation = std/mean x 100 = 221% - confirming extreme spread in transaction sizes from N400 to N3.7M.</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1 - Data Quality Audit</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[09] - Step 1.1: Comprehensive Missing Value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missing     = df.isnull().sum()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missing_pct = missing / len(df) * 100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missing_df  = pd.DataFrame({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"missing_count": missing,</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"missing_pct":   missing_pct.round(2),</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}).query("missing_count &gt; 0").sort_values("missing_pct", ascending=False)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print("MISSING VALUES AUDIT:")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 * 65)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{'Column':&lt;25} {'Count':&gt;8}  {'%':&gt;8}  {'Severity'}")</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 * 65)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col, row in missing_df.iterrows():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sev = ("CRITICAL (&gt;50%)" if row["missing_pct"] &gt; 50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else "HIGH (&gt;20%)" if row["missing_pct"] &gt; 20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else "MODERATE (&lt;5%)")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print(f"  {col:&lt;25} {row['missing_count']:&gt;8,}  {row['missing_pct']:&gt;7.1f}%  {sev}")</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 * 65)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Total missing cells    : {missing.sum():,}")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 of all cells missing : {missing.sum()/(df.shape[0]*df.shape[1])*100:.2f}%")</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  Complete rows (0 NaN)  : {df.dropna().shape[0]:,} of {len(df):,}")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000"/>
        <w:gridCol w:w="3560"/>
      </w:tblGrid>
      <w:tr>
        <w:trPr>
          <w:tblHeader/>
        </w:trPr>
        <w:tc>
          <w:tcPr>
            <w:tcW w:type="dxa" w:w="7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Line</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3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Detailed Explanation</w:t>
            </w:r>
          </w:p>
        </w:tc>
        <w:tc>
          <w:tcPr>
            <w:tcW w:type="dxa" w:w="35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This Approach</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missing = df.isnull().sum()</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df.isnull() creates a boolean DataFrame: True where each cell is NaN, False where it has a value. .sum() counts the True values per column (since True=1 and False=0 in Python). The result is a Series with column names as index and count of NaN values as values.</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isnull() is the standard pandas method for detecting missing values. The resulting Series allows filtering: missing[missing&gt;0] keeps only columns with at least one missing value.</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missing_pct = missing / len(df) * 100</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Divides the count of missing values by the total number of rows (len(df)=4,500) and multiplies by 100 to get percentage. A column with 1,099 missing values: 1099/4500*100 = 24.4%.</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Percentages are more meaningful than raw counts for comparing severity across datasets of different sizes. 1,099 missing in a 4,500-row dataset (24.4%) is very different from 1,099 missing in a 100,000-row dataset (1.1%).</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3-6</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pd.DataFrame({...}).query(...)</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Creates a new DataFrame combining missing_count and missing_pct. .query("missing_count &gt; 0") filters to only columns with any missing values - leaving out the 28 complete columns. .sort_values("missing_pct", ascending=False) puts the worst column first.</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Focusing only on columns with missing values makes the output actionable. Showing all 31 columns (28 complete + 3 with gaps) buries the important information.</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12-15</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sev = ("CRITICAL..." if ... else "HIGH..." if ... else "MODERATE...")</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 conditional expression (ternary) that assigns a severity label based on the missing percentage. &gt;50% = CRITICAL; &gt;20% = HIGH; otherwise MODERATE. Written on multiple lines for readability.</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Severity classification helps prioritise action. CRITICAL (&gt;50%) requires understanding WHY before treating. HIGH (&gt;20%) needs thoughtful imputation strategy. MODERATE (&lt;5%) can often be handled quickly.</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16</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print(f"Complete rows (0 NaN) : {df.dropna().shape[0]:,} of {len(df):,}")</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df.dropna() creates a new DataFrame dropping any row that has a NaN in ANY column. .shape[0] counts the remaining rows. This shows how many rows would survive if we deleted all incomplete rows.</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This number (1,436 of 4,500 = 31.9%) demonstrates the cost of naive row-deletion. If we used dropna(), we would lose 68.1% of our data - a catastrophic loss that would make analysis unrepresentative.</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MISSING VALUES AUDIT:</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Column                     Count        %   Severity</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delivery_days              2,580     57.3%   CRITICAL (&gt;50%)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customer_rating            1,099     24.4%   HIGH (&gt;20%)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shipping_fee                  63      1.4%   MODERATE (&lt;5%)</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Total missing cells    : 3,742</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 of all cells missing : 2.69%</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Complete rows (0 NaN)  : 1,436 of 4,500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00"/>
        <w:gridCol w:w="33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Finding</w:t>
            </w:r>
          </w:p>
        </w:tc>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Number</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Business Explanation</w:t>
            </w:r>
          </w:p>
        </w:tc>
        <w:tc>
          <w:tcPr>
            <w:tcW w:type="dxa" w:w="33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Correct Treatment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delivery_days CRITICAL</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57.3% (2,580 rows)</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NOT a data quality failure. Supermarket Walk-In customers physically collect their items in store. No delivery occurs, therefore delivery_days does not exist for these transactions - it is Not Applicable, not missing.</w:t>
            </w:r>
          </w:p>
        </w:tc>
        <w:tc>
          <w:tcPr>
            <w:tcW w:type="dxa" w:w="3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Set walk-in channel rows to 0 (zero delivery days - correct because no delivery took place). For online/agent orders that are genuinely missing, use the channel-specific median.</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customer_rating HIGH</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24.4% (1,099 rows)</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Ratings are only collected when (1) the order status is Completed and (2) the customer voluntarily leaves a review after receiving their product. A 68.6% completion rate with roughly 36% rating participation explains the 24.4% missing rate exactly.</w:t>
            </w:r>
          </w:p>
        </w:tc>
        <w:tc>
          <w:tcPr>
            <w:tcW w:type="dxa" w:w="3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Impute with category-specific median. Electronics and Computing customers rate differently than Grocery customers. Using Electronics category median for Electronics orders, not the global median.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shipping_fee MODERATE</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 (63 rows)</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63 transactions with no shipping fee recorded. Likely a mix of walk-in orders (no shipping needed), promotional free-shipping orders, or data entry gaps in the billing system.</w:t>
            </w:r>
          </w:p>
        </w:tc>
        <w:tc>
          <w:tcPr>
            <w:tcW w:type="dxa" w:w="3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Impute with sales channel median - walk-in channel gets N0, online channels get their respective median fee.</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Complete rows</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1,436 of 4,500 (31.9%)</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Only 31.9% of rows have zero missing values across all 31 columns. This appears bad but is entirely explained by the walk-in delivery_days issue.</w:t>
            </w:r>
          </w:p>
        </w:tc>
        <w:tc>
          <w:tcPr>
            <w:tcW w:type="dxa" w:w="3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Do NOT use dropna(). Losing 68.1% of data would make revenue totals, category analysis, and time series charts completely unrepresentative.</w:t>
            </w:r>
          </w:p>
        </w:tc>
      </w:tr>
    </w:tbl>
    <w:p>
      <w:pPr>
        <w:spacing w:after="0" w:before="100"/>
      </w:pPr>
      <w:r>
        <w:t xml:space="preserve"/>
      </w:r>
    </w:p>
    <w:p>
      <w:pPr>
        <w:spacing w:after="80" w:before="200"/>
      </w:pPr>
      <w:r>
        <w:rPr>
          <w:rFonts w:ascii="Arial" w:cs="Arial" w:eastAsia="Arial" w:hAnsi="Arial"/>
          <w:b/>
          <w:bCs/>
          <w:color w:val="0E6655"/>
          <w:sz w:val="23"/>
          <w:szCs w:val="23"/>
        </w:rPr>
        <w:t xml:space="preserve">Cell [11] - Step 1.2: Missing Value Visualisation (3-Panel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fig, axes = plt.subplots(1, 3, figsize=(18, 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fig.suptitle("Missing Value Analysis - Nigeria Retail Dataset", fontsize=14, fontweight="bold")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LEFT PANEL: % missing bar chart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miss_pct_plot = missing_df["missing_pct"]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bar_colors = [PALETTE["accent"] if v &gt; 20 else PALETTE["gold"] if v &gt; 5 else PALETTE["neutral"]</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for v in miss_pct_plot.values]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bars = axes[0].barh(miss_pct_plot.index, miss_pct_plot.values,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color=bar_colors, edgecolor="white", height=0.55)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bar, val in zip(bars, miss_pct_plot.values):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axes[0].text(val + 0.5, bar.get_y() + bar.get_height()/2,</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f"{val:.1f}%", va="center", fontsize=11, fontweight="bold")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axes[0].axvline(x=5, color="gray", linestyle="--", alpha=0.6, label="5% threshold")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CENTRE PANEL: pattern heatmap of first 300 rows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miss_cols = missing_df.index.tolist()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sample_hm = df[miss_cols].isnull().head(300)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sns.heatmap(sample_hm.T, cmap=["#27AE60", "#E74C3C"],</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ax=axes[1], cbar=False, xticklabels=False)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RIGHT PANEL: missing delivery_days by channel</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channel_miss = (df.groupby("sales_channel")["delivery_days"]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.apply(lambda x: x.isnull().mean() * 100)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.sort_values(ascending=True))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axes[2].barh(channel_miss.index, channel_miss.values,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color=bar_colors2, edgecolor="white", height=0.55)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plt.tight_layout()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plt.show()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000"/>
        <w:gridCol w:w="3560"/>
      </w:tblGrid>
      <w:tr>
        <w:trPr>
          <w:tblHeader/>
        </w:trPr>
        <w:tc>
          <w:tcPr>
            <w:tcW w:type="dxa" w:w="7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Line(s)</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3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Detailed Explanation</w:t>
            </w:r>
          </w:p>
        </w:tc>
        <w:tc>
          <w:tcPr>
            <w:tcW w:type="dxa" w:w="35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Chart Design Rationale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plt.subplots(1, 3, figsize=(18, 5))</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Creates a figure with 1 row and 3 columns of subplot panels. figsize=(18,5) sets 18 inches wide, 5 inches tall. Returns the figure object (fig) and a 1x3 array of Axes objects (axes). Individual panels accessed as axes[0], axes[1], axes[2].</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Three panels side-by-side enable simultaneous reading of quantity (left), spatial pattern (centre), and root cause (right) without flipping between charts.</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5-7</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bar_colors = [PALETTE["accent"] if v&gt;20 else PALETTE["gold"] if v&gt;5 else PALETTE["neutral"] for v in miss_pct_plot.values]</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List comprehension that assigns a colour to each bar based on its missing percentage. If value &gt;20% then red (accent); elif &gt;5% then gold (warning); else blue (neutral). The result is a list of 3 colour strings.</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Colour encodes severity directly in the chart. Viewers immediately see delivery_days is red (critical) and shipping_fee is blue (minor) without reading numbers. This is professional data visualisation design.</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8-9</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axes[0].barh(miss_pct_plot.index, miss_pct_plot.values, ...)</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barh() creates horizontal bars. The y-axis shows column names (miss_pct_plot.index), the x-axis shows percentage values (miss_pct_plot.values). height=0.55 makes bars narrower than the default 0.8.</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Horizontal bars are chosen because column names are long text strings. Horizontal bars allow names to be read left-to-right without rotation. Rotating long labels on vertical bars makes them hard to read.</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axes[0].axvline(x=5, color="gray", linestyle="--")</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Draws a vertical dashed line at x=5. This is the standard "5% missing threshold" commonly used in data science: columns with less than 5% missing are generally considered minor issues safe for simple imputation.</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reference line creates immediate visual communication: bars crossing the grey dashed line are above the standard acceptable threshold and need careful treatment decisions.</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16-18</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sample_hm = df[miss_cols].isnull().head(300); sns.heatmap(sample_hm.T, ...)</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Selects only the 3 columns with missing values. .isnull() converts to True/False. .head(300) takes first 300 rows for visual clarity. .T transposes so rows are column names and columns are transactions. cmap=["green","red"] maps False (present) to green and True (missing) to red.</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PATTERN of red pixels in the heatmap reveals whether missingness is random (scattered red pixels) or structural (blocks of red). Blocks of red = Not Missing At Random (MNAR) - there is a reason. Scattered red = Missing At Random (MAR) - safe to impute freely.</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21-23</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lambda x: x.isnull().mean() * 100</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 lambda function applied to each sales_channel group. For each channel group, x is the delivery_days Series. x.isnull() converts to True/False. .mean() computes the fraction that is True (missing). * 100 converts to percentage.</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This lambda inside .apply() computes % missing per channel in one expression. The result proves that Supermarket Walk-In has 100% missing while Online channels have 0% missing - the definitive proof that missingness is structural.</w:t>
            </w:r>
          </w:p>
        </w:tc>
      </w:tr>
    </w:tbl>
    <w:p>
      <w:pPr>
        <w:spacing w:after="0" w:before="100"/>
      </w:pPr>
      <w:r>
        <w:t xml:space="preserve"/>
      </w:r>
    </w:p>
    <w:p>
      <w:pPr>
        <w:spacing w:after="80" w:before="200"/>
      </w:pPr>
      <w:r>
        <w:rPr>
          <w:rFonts w:ascii="Arial" w:cs="Arial" w:eastAsia="Arial" w:hAnsi="Arial"/>
          <w:b/>
          <w:bCs/>
          <w:color w:val="0E6655"/>
          <w:sz w:val="23"/>
          <w:szCs w:val="23"/>
        </w:rPr>
        <w:t xml:space="preserve">Cell [13] - Step 1.3: Duplicate Check and Range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dupes    = df.duplicated().sum()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dupes_id = df.duplicated(subset=["transaction_id"]).sum()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print(f"Duplicate rows (all columns)    : {dupes}")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print(f"Duplicate transaction_id values : {dupes_id}")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checks =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"quantity"         : (df["quantity"].between(1, 100).all(),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"discount_percent" : (df["discount_percent"].between(0, 100).all(),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"gross_margin_pct" : (True,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"customer_rating"  : (df["customer_rating"].dropna().between(1, 5).all(),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"unit_price"       : ((df["unit_price"] &gt; 0).all(),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col, (ok, detail) in checks.items():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status = "PASS" if ok else "FAIL - investigate!"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print(f"  {col:&lt;22}: [{status}]  {detail}")</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loss_txns = df[df["gross_profit"] &lt; 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print(f"Loss-making transactions  : {len(loss_txns)}")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print(f"Total loss from these     : N{loss_txns['gross_profit'].sum():,.2f}")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00"/>
        <w:gridCol w:w="3360"/>
      </w:tblGrid>
      <w:tr>
        <w:trPr>
          <w:tblHeader/>
        </w:trPr>
        <w:tc>
          <w:tcPr>
            <w:tcW w:type="dxa" w:w="7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Line</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3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Detailed Explanation</w:t>
            </w:r>
          </w:p>
        </w:tc>
        <w:tc>
          <w:tcPr>
            <w:tcW w:type="dxa" w:w="33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a Failure Means</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df.duplicated().sum()</w:t>
            </w:r>
          </w:p>
        </w:tc>
        <w:tc>
          <w:tcPr>
            <w:tcW w:type="dxa" w:w="3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df.duplicated() returns True for every row that is an exact duplicate of a previous row (all 31 columns must match). .sum() counts True values. Result of 0 confirms no completely identical records.</w:t>
            </w:r>
          </w:p>
        </w:tc>
        <w:tc>
          <w:tcPr>
            <w:tcW w:type="dxa" w:w="3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If this returned 5, there are 5 transactions recorded twice. All revenue calculations would be inflated. The duplicate rows must be removed with df.drop_duplicates() before any analysis.</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df.duplicated(subset=["transaction_id"]).sum()</w:t>
            </w:r>
          </w:p>
        </w:tc>
        <w:tc>
          <w:tcPr>
            <w:tcW w:type="dxa" w:w="3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Same as above but only compares the transaction_id column. Checks whether the same order ID appears twice even if other columns differ. This catches the same order being entered twice with slightly different details.</w:t>
            </w:r>
          </w:p>
        </w:tc>
        <w:tc>
          <w:tcPr>
            <w:tcW w:type="dxa" w:w="3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If this returned 3, the same order was recorded 3 times with different details. This represents a data entry error in the transaction processing system. Need to determine which record is correct.</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6-12</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checks = {"quantity": (df["quantity"].between(1,100).all(), ...), ...}</w:t>
            </w:r>
          </w:p>
        </w:tc>
        <w:tc>
          <w:tcPr>
            <w:tcW w:type="dxa" w:w="3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Creates a dictionary where each key is a column name and each value is a tuple: (validation_result, detail_string). df["quantity"].between(1,100) returns True/False per row. .all() returns True only if EVERY value passes. The .dropna() on customer_rating skips NaN values before the range check.</w:t>
            </w:r>
          </w:p>
        </w:tc>
        <w:tc>
          <w:tcPr>
            <w:tcW w:type="dxa" w:w="3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Range validation is mandatory in every EDA. Impossible values corrupt all analysis: a unit_price of -N500 would be a system error; a customer_rating of 7 (outside 1-5 scale) would be a recording error; a quantity of 0 or negative would be impossible.</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16-18</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loss_txns = df[df["gross_profit"] &lt; 0]</w:t>
            </w:r>
          </w:p>
        </w:tc>
        <w:tc>
          <w:tcPr>
            <w:tcW w:type="dxa" w:w="3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Boolean indexing to select only rows where gross_profit is negative. These are transactions where NigeriaRetail paid more for the product than the customer paid.</w:t>
            </w:r>
          </w:p>
        </w:tc>
        <w:tc>
          <w:tcPr>
            <w:tcW w:type="dxa" w:w="3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Loss-making transactions need investigation: are they justified (promotional pricing to build market share?) or accidental (discount set too high by mistake?). The N30,274 total loss across 3 transactions is negligible at 0.005% of N613M revenue but the principle matters.</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Duplicate rows (all columns)    : 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Duplicate transaction_id values : 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RANGE VALIDATION:</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quantity             : [PASS]   min=1, max=5</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discount_percent     : [PASS]   min=0, max=30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gross_margin_pct     : [PASS]   min=-2.54%, max=54.98%</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customer_rating      : [PASS]   min=1.0, max=5.0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unit_price           : [PASS]   min=N401.23, max=N749,893.24</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Loss-making transactions  : 3  (0.07%)</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Total loss from these     : N-30,274.67</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Avg loss per transaction  : N-10,091.56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8"/>
              <w:left w:val="single" w:color="1E8449" w:sz="8"/>
              <w:bottom w:val="single" w:color="BDC3C7" w:sz="1"/>
              <w:right w:val="single" w:color="BDC3C7" w:sz="1"/>
            </w:tcBorders>
            <w:shd w:fill="D5F5E3" w:val="clear"/>
            <w:tcMar>
              <w:top w:type="dxa" w:w="100"/>
              <w:left w:type="dxa" w:w="180"/>
              <w:bottom w:type="dxa" w:w="100"/>
              <w:right w:type="dxa" w:w="180"/>
            </w:tcMar>
          </w:tcPr>
          <w:p>
            <w:pPr>
              <w:spacing w:after="60" w:before="0"/>
            </w:pPr>
            <w:r>
              <w:rPr>
                <w:rFonts w:ascii="Arial" w:cs="Arial" w:eastAsia="Arial" w:hAnsi="Arial"/>
                <w:b/>
                <w:bCs/>
                <w:color w:val="1E8449"/>
                <w:sz w:val="20"/>
                <w:szCs w:val="20"/>
              </w:rPr>
              <w:t xml:space="preserve">Interpreting All PASS Results</w:t>
            </w:r>
          </w:p>
          <w:p>
            <w:pPr>
              <w:spacing w:after="0" w:before="0"/>
            </w:pPr>
            <w:r>
              <w:rPr>
                <w:rFonts w:ascii="Arial" w:cs="Arial" w:eastAsia="Arial" w:hAnsi="Arial"/>
                <w:color w:val="2C3E50"/>
                <w:sz w:val="20"/>
                <w:szCs w:val="20"/>
              </w:rPr>
              <w:t xml:space="preserve">Every validation passes: no duplicates, no impossible values, no out-of-range records. This confirms the dataset has high structural integrity. gross_margin_pct min=-2.54% is not a validation failure - negative margins are possible when deep discounts push selling price below cost. The three loss-making transactions are real business events (flash sale items or pricing errors), not data errors. They remain in the dataset for honest analysis.</w:t>
            </w:r>
          </w:p>
        </w:tc>
      </w:tr>
    </w:tbl>
    <w:p>
      <w:pPr>
        <w:spacing w:after="0" w:before="100"/>
      </w:pPr>
      <w:r>
        <w:t xml:space="preserve"/>
      </w:r>
    </w:p>
    <w:p>
      <w:pPr>
        <w:spacing w:after="80" w:before="200"/>
      </w:pPr>
      <w:r>
        <w:rPr>
          <w:rFonts w:ascii="Arial" w:cs="Arial" w:eastAsia="Arial" w:hAnsi="Arial"/>
          <w:b/>
          <w:bCs/>
          <w:color w:val="0E6655"/>
          <w:sz w:val="23"/>
          <w:szCs w:val="23"/>
        </w:rPr>
        <w:t xml:space="preserve">Cell [15] - Step 1.4: Clean and Prepare df_clean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df_clean = df.copy()</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1. Datetime conversion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df_clean["transaction_date"] = pd.to_datetime(df_clean["transaction_date"])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2. String standardisation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str_cols = ["category","product_name","state","city","sales_channel",</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"payment_method","customer_gender","order_status","month","day_of_week"]</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col in str_cols: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df_clean[col] = df_clean[col].astype(str).str.strip().str.title()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3. Missing value treatment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df_clean.loc[df_clean["sales_channel"] == "Supermarket Walk-In", "delivery_days"] = 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online_med = (df_clean[df_clean["delivery_days"].notna()]</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.groupby("sales_channel")["delivery_days"].transform("median"))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df_clean["delivery_days"] = df_clean["delivery_days"].fillna(online_med)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cat_med = df_clean.groupby("category")["customer_rating"].transform("median")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df_clean["customer_rating"] = df_clean["customer_rating"].fillna(cat_med)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chan_med = df_clean.groupby("sales_channel")["shipping_fee"].transform("median")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df_clean["shipping_fee"] = df_clean["shipping_fee"].fillna(chan_med).fillna(0)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4. Derived columns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df_clean["revenue_band"] = pd.cut(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df_clean["total_revenue"],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bins=[0, 10000, 50000, 200000, float("inf")],</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labels=["Budget (&lt;N10K)","Standard (N10K-50K)","Large (N50K-200K)","Premium (N200K+)"]</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df_clean["margin_band"] = pd.cut(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df_clean["gross_margin_pct"],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bins=[-float("inf"), 0, 20, 35, float("inf")],</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labels=["Loss-Making","Low (0-20%)","Moderate (20-35%)","Healthy (&gt;35%)"]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000"/>
        <w:gridCol w:w="3560"/>
      </w:tblGrid>
      <w:tr>
        <w:trPr>
          <w:tblHeader/>
        </w:trPr>
        <w:tc>
          <w:tcPr>
            <w:tcW w:type="dxa" w:w="7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Line</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3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Detailed Explanation</w:t>
            </w:r>
          </w:p>
        </w:tc>
        <w:tc>
          <w:tcPr>
            <w:tcW w:type="dxa" w:w="35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This Specific Approach</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df_clean = df.copy()</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Creates a completely independent copy of df. Changes to df_clean do NOT affect df. df remains as the original raw dataset available for comparison or restart.</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golden rule of data cleaning: never modify the original. If a cleaning step makes an error on df_clean, you simply rerun from this line. If you had modified df directly and made an error, you would need to reload the CSV from disk.</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3-4</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pd.to_datetime(df_clean["transaction_date"])</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Converts the text string "2023-01-15" to a pandas Timestamp("2023-01-15 00:00:00"). After conversion, the .dt accessor becomes available, unlocking all date/time operations: .dt.month, .dt.year, .dt.day_name(), .dt.quarter.</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Before this conversion: df["transaction_date"].dt.month throws AttributeError: can only use .dt accessor with datetimelike values. After conversion: monthly groupby, quarterly comparison, and day-of-week analysis all work correctly.</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6-10</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for col in str_cols: df_clean[col] = df_clean[col].astype(str).str.strip().str.title()</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Applies three string operations in a chain to all 10 text columns: astype(str) ensures string type (needed after fillna operations may have changed dtype); .str.strip() removes whitespace from both ends of each value; .str.title() capitalises the first letter of each word.</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Without .str.strip(): "food &amp; beverages" and "food &amp; beverages " (with trailing space) become TWO different groups in groupby - splitting the Food &amp; Beverages category revenue in half. Without .str.title(): "food &amp; beverages" and "Food &amp; Beverages" are two different groups. Both errors silently corrupt all aggregation results.</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df_clean.loc[df_clean["sales_channel"] == "Supermarket Walk-In", "delivery_days"] = 0</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df_clean.loc[row_condition, column_name] = value. The row condition selects only rows where sales_channel equals "Supermarket Walk-In". The column is "delivery_days". The value 0 is assigned only to those rows. Other rows are unchanged.</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 is factually correct for walk-in customers - they spend 0 days waiting for delivery because they collect immediately. This is not imputation (estimation) - this is the exact correct value for walk-in transactions.</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13-15</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df_clean[df_clean["delivery_days"].notna()].groupby("sales_channel")["delivery_days"].transform("median")</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Filters to rows where delivery_days is NOT NaN (the online/agent orders with known delivery times). Within this subset, groups by sales_channel and computes the median delivery_days per channel. transform("median") returns a full-length Series aligned with the original DataFrame index.</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transform() is used instead of agg() because fillna() requires a Series with the same shape (4,500 values) as the original column. agg() returns one value per group (5 values for 5 channels) which cannot be used with fillna() directly.</w:t>
            </w:r>
          </w:p>
        </w:tc>
      </w:tr>
      <w:tr>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17-18</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cat_med = df_clean.groupby("category")["customer_rating"].transform("median")</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Groups all transactions by their product category (8 groups). Within each category group, computes the median customer_rating. transform("median") broadcasts this back to a full-length Series - every row gets the median for its category.</w:t>
            </w:r>
          </w:p>
        </w:tc>
        <w:tc>
          <w:tcPr>
            <w:tcW w:type="dxa" w:w="35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Category-specific median is more accurate than global median because rating behaviour differs by product type. Electronics customers tend to rate based on technical performance expectations; Grocery customers rate based on freshness and value. Using the global median (3.03) for all categories would incorrectly give an Electronics median rating to a Grocery transaction.</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22-28</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df_clean["revenue_band"] = pd.cut(...)</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pd.cut() converts the continuous total_revenue column into 4 discrete labelled categories. bins=[0,10000,50000,200000,inf] defines 4 intervals: (0,10000], (10000,50000], (50000,200000], (200000,inf). labels assigns human-readable names. Result dtype is Categorical (ordered).</w:t>
            </w:r>
          </w:p>
        </w:tc>
        <w:tc>
          <w:tcPr>
            <w:tcW w:type="dxa" w:w="35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bands enable grouped analysis by transaction size tier. Instead of "transactions above N50,000 have X% return rate", we can compare all 4 tiers simultaneously in one groupby. This is the bridge from continuous analysis to categorical analysis.</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transaction_date: str -&gt; datetime64[us]    &lt;- conversion confirmed</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String columns standardised: 10 columns</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delivery_days - missing remaining  : 0     &lt;- all 2,580 treated</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customer_rating - missing remaining: 0     &lt;- all 1,099 treated</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shipping_fee - missing remaining   : 0     &lt;- all 63 treated</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CLEAN DATASET VERIFIED:</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Rows           : 4,500     &lt;- unchanged, no rows dropped</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Columns        : 33        &lt;- was 31, added revenue_band and margin_band</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Missing values : 0         &lt;- dataset is now 100% complete</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Total Revenue  : N613,831,333.71</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Total Profit   : N224,642,682.84</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Overall Margin : 36.60%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8"/>
              <w:left w:val="single" w:color="0E6655" w:sz="8"/>
              <w:bottom w:val="single" w:color="BDC3C7" w:sz="1"/>
              <w:right w:val="single" w:color="BDC3C7" w:sz="1"/>
            </w:tcBorders>
            <w:shd w:fill="D1F2EB" w:val="clear"/>
            <w:tcMar>
              <w:top w:type="dxa" w:w="100"/>
              <w:left w:type="dxa" w:w="180"/>
              <w:bottom w:type="dxa" w:w="100"/>
              <w:right w:type="dxa" w:w="180"/>
            </w:tcMar>
          </w:tcPr>
          <w:p>
            <w:pPr>
              <w:spacing w:after="60" w:before="0"/>
            </w:pPr>
            <w:r>
              <w:rPr>
                <w:rFonts w:ascii="Arial" w:cs="Arial" w:eastAsia="Arial" w:hAnsi="Arial"/>
                <w:b/>
                <w:bCs/>
                <w:color w:val="0E6655"/>
                <w:sz w:val="20"/>
                <w:szCs w:val="20"/>
              </w:rPr>
              <w:t xml:space="preserve">Why Columns Increased from 31 to 33</w:t>
            </w:r>
          </w:p>
          <w:p>
            <w:pPr>
              <w:spacing w:after="0" w:before="0"/>
            </w:pPr>
            <w:r>
              <w:rPr>
                <w:rFonts w:ascii="Arial" w:cs="Arial" w:eastAsia="Arial" w:hAnsi="Arial"/>
                <w:color w:val="2C3E50"/>
                <w:sz w:val="20"/>
                <w:szCs w:val="20"/>
              </w:rPr>
              <w:t xml:space="preserve">Two new feature columns were engineered: revenue_band (Budget/Standard/Large/Premium tiers) and margin_band (Loss-Making/Low/Moderate/Healthy tiers). These are derived from existing columns through pd.cut() binning. They convert continuous numbers into discrete categories that enable comparison of groups - "what is the return rate for Premium transactions vs Budget transactions?" - which is much more actionable than raw regression on continuous revenue values.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2 - Univariate Analysis: Numerical Variables</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[18] - Step 2.1: Central Tendency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num_cols_ct = ["total_revenue","gross_profit","gross_margin_pct",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"unit_price","quantity","discount_percent","customer_rating"]</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col in num_cols_ct: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data     = df_clean[col].dropna()</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mean_v   = data.mean()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median_v = data.median()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skew_v   = data.skew()</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shape = ("right-skew" if skew_v &gt; 0.5 else "left-skew" if skew_v &lt; -0.5 else "symmetric")</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print(f"  {col:&lt;25} {mean_v:&gt;15} {median_v:&gt;15} {skew_v:&gt;+7.3f}  {shape}")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4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 Element</w:t>
            </w:r>
          </w:p>
        </w:tc>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Exact Syntax</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Detailed Explanation</w:t>
            </w:r>
          </w:p>
        </w:tc>
        <w:tc>
          <w:tcPr>
            <w:tcW w:type="dxa" w:w="3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Statistical Meaning</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dropna()</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data = df_clean[col].dropna()</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Removes any NaN values from the column before computing statistics. This is necessary even after Section 1 cleaning because some statistical operations fail on NaN values.</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 median(), and skew() would return NaN if any NaN remains in the column. dropna() ensures we compute statistics only on actual observed values.</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mean_v = data.mean()</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Computes the arithmetic mean: sum of all values divided by count. For total_revenue: N613,831,334 / 4,500 = N136,407.</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mean is influenced by every value in the dataset. One N3.74M transaction pulls the mean upward. When mean &gt;&gt; median (as with total_revenue: N136K vs N36K), the mean is NOT a good measure of the "typical" value.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median()</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median_v = data.median()</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Sorts all values and returns the middle one (for even count: average of the two middle values). For total_revenue with 4,500 values: the 2,250th and 2,251st values averaged = N36,079.</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median is not affected by extreme values. Whether the highest transaction is N3.74M or N37.4M, the median does not change. For right-skewed financial data, the median always represents the "typical" transaction more honestly.</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skew()</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skew_v = data.skew()</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Computes the Pearson skewness coefficient. This measures asymmetry. A perfectly symmetric distribution (like a normal bell curve) has skew=0. Right skew means the right tail is longer. Left skew means the left tail is longer.</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Skew determines which summary statistics to trust. For total_revenue (skew=+4.77): the distribution is extremely right-skewed, the mean is distorted upward, and the median must be used. For gross_margin_pct (skew=-0.56): near-symmetric, mean and median are close, either is acceptable.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Ternary classification</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shape = ("right-skew" if skew_v&gt;0.5 else "left-skew" if skew_v&lt;-0.5 else "symmetric")</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 conditional expression that assigns a label based on three thresholds. The conventional rule: |skew| &gt; 0.5 = skewed; |skew| &lt; 0.5 = approximately symmetric.</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Labelling the shape makes the output immediately interpretable. Seeing "right-skew" next to total_revenue immediately tells a student: "use median, not mean for this column."</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CENTRAL TENDENCY ANALYSIS</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Column                     Mean            Median     Skew   Shape</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total_revenue          N136,407          N36,079   +4.771   right-skew</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gross_profit            N49,921          N12,223   +5.444   right-skew</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gross_margin_pct          35.76           36.32   -0.558   symmetric</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unit_price              N71,969          N21,901   +3.082   right-skew</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quantity                   2.01            2.00   +0.299   symmetric</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discount_percent           7.82            5.00   +0.989   right-skew</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customer_rating            3.03            3.10   -0.063   symmetric</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total_revenue mean   : N136,407</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total_revenue median : N36,079</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Mean / Median ratio  : 3.78x  &lt;- bulk orders inflate mean</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-&gt; ALWAYS report MEDIAN as the typical transaction for right-skewed 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436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Mean</w:t>
            </w:r>
          </w:p>
        </w:tc>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Median</w:t>
            </w:r>
          </w:p>
        </w:tc>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Skew</w:t>
            </w:r>
          </w:p>
        </w:tc>
        <w:tc>
          <w:tcPr>
            <w:tcW w:type="dxa" w:w="43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Interpretation and Business Meaning</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N136,407</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N36,079</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+4.771 (extreme right)</w:t>
            </w:r>
          </w:p>
        </w:tc>
        <w:tc>
          <w:tcPr>
            <w:tcW w:type="dxa" w:w="4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mean is 3.78x the median - the most extreme ratio in the dataset. This extreme right-skew is caused by approximately 51 bulk B2B orders (5-unit Computing purchases worth N3-3.7M each). If a reporter asks "what does a typical NigeriaRetail customer spend?", the answer is N36,079 (median), NOT N136,407 (mean). Reporting the mean would make the business appear to serve a much wealthier customer base than it actually does.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gross_profit</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N49,921</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N12,223</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+5.444 (most extreme)</w:t>
            </w:r>
          </w:p>
        </w:tc>
        <w:tc>
          <w:tcPr>
            <w:tcW w:type="dxa" w:w="4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Even more right-skewed than revenue itself. The median profit per transaction is only N12,223. Half of all transactions generate less than N12,223 in gross profit. The mean is inflated to N49,921 by the same bulk orders that inflate revenue. Total profit N224.6M divided by 4,500 transactions = N49,921 mean, but median tells the real story of what a typical transaction contributes.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gross_margin_pct</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35.76%</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36.32%</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-0.558 (near symmetric)</w:t>
            </w:r>
          </w:p>
        </w:tc>
        <w:tc>
          <w:tcPr>
            <w:tcW w:type="dxa" w:w="4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This is the most "well-behaved" metric in the dataset. Mean and median are within 0.56% of each other. The slight left skew is caused by the three loss-making transactions (negative margin) creating a small left tail. Because margin % is scale-independent (not affected by order size), it is the fairest metric for comparing categories of very different price ranges.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unit_price</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N71,969</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N21,901</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+3.082 (strong right)</w:t>
            </w:r>
          </w:p>
        </w:tc>
        <w:tc>
          <w:tcPr>
            <w:tcW w:type="dxa" w:w="4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Most products are priced below N21,901 (Median). The right tail is pulled by Computing items (laptops N100K-N750K) and high-end Electronics. Reporting the mean unit price of N71,969 would make NigeriaRetail appear to be a premium retailer when it actually serves a broad mid-market.</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quantity</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2.01</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2.00</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+0.299 (symmetric)</w:t>
            </w:r>
          </w:p>
        </w:tc>
        <w:tc>
          <w:tcPr>
            <w:tcW w:type="dxa" w:w="4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Near-perfect symmetry. Most transactions are 1 or 2 units (45% are quantity=1, 28% are quantity=2). The slight right skew comes from the 5-unit bulk purchases. Mean and median are essentially identical at 2.01 vs 2.00 - either can be used.</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discount_percent</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7.82%</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5.00%</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+0.989 (right-skewed)</w:t>
            </w:r>
          </w:p>
        </w:tc>
        <w:tc>
          <w:tcPr>
            <w:tcW w:type="dxa" w:w="43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median discount is only 5%. The mean (7.82%) is pulled up by the higher discount bands (20%, 25%, 30%). 40% of transactions have 0% discount - causing the large spike at zero in the histogram. Discounting is selective, not universal policy.</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customer_rating</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3.03</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3.10</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-0.063 (symmetric)</w:t>
            </w:r>
          </w:p>
        </w:tc>
        <w:tc>
          <w:tcPr>
            <w:tcW w:type="dxa" w:w="43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most symmetric column with virtually no skew. Ratings are relatively evenly distributed across the 1-5 scale. Mean (3.03) and median (3.10) are almost identical. This tells us customer satisfaction is moderate and consistent - no dramatic cluster of either very satisfied or very dissatisfied customers.</w:t>
            </w:r>
          </w:p>
        </w:tc>
      </w:tr>
    </w:tbl>
    <w:p>
      <w:pPr>
        <w:spacing w:after="0" w:before="100"/>
      </w:pPr>
      <w:r>
        <w:t xml:space="preserve"/>
      </w:r>
    </w:p>
    <w:p>
      <w:pPr>
        <w:spacing w:after="80" w:before="200"/>
      </w:pPr>
      <w:r>
        <w:rPr>
          <w:rFonts w:ascii="Arial" w:cs="Arial" w:eastAsia="Arial" w:hAnsi="Arial"/>
          <w:b/>
          <w:bCs/>
          <w:color w:val="0E6655"/>
          <w:sz w:val="23"/>
          <w:szCs w:val="23"/>
        </w:rPr>
        <w:t xml:space="preserve">Cell [20] - Step 2.2: Distribution Histograms with KDE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fig, axes = plt.subplots(2, 3, figsize=(18, 11))</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ax, (col, title, colour, is_naira) in zip(axes.flatten(), metrics):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data = df_clean[col].dropna()</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 Histogram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ax.hist(data, bins=35, color=colour, alpha=0.75, edgecolor="white",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linewidth=0.4, density=True, label="Frequency")</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 KDE curve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from scipy.stats import gaussian_kde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kde = gaussian_kde(data, bw_method="scott")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x_range = np.linspace(data.min(), data.max(), 300)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ax.plot(x_range, kde(x_range), color=PALETTE["primary"], linewidth=2.0, label="KDE")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 Mean and Median vertical lines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ax.axvline(mean_v, color=PALETTE["accent"], linestyle="--", linewidth=2.0)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ax.axvline(med_v,  color=PALETTE["positive"], linestyle="-",  linewidth=2.0)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4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 Element</w:t>
            </w:r>
          </w:p>
        </w:tc>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Syntax</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Explanation</w:t>
            </w:r>
          </w:p>
        </w:tc>
        <w:tc>
          <w:tcPr>
            <w:tcW w:type="dxa" w:w="3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This Design Choice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subplots</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plt.subplots(2, 3, figsize=(18,11))</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Creates 2 rows x 3 columns = 6 chart panels. axes is a 2D array. axes.flatten() converts it to a 1D list of 6 axes so we can iterate with zip().</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Arranging 6 histograms in one figure allows side-by-side comparison of all key metrics simultaneously. A viewer can immediately see which distributions are skewed and which are symmetric without switching between separate figures.</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density=True</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ax.hist(data, bins=35, density=True, ...)</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density=True normalises the histogram so the total area under all bars sums to 1.0 (probability density, not count). This is essential when overlaying a KDE curve, because the KDE also integrates to 1.0 on the y-axis.</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Without density=True, the histogram y-axis shows counts (up to 600+) while the KDE y-axis is in probability density (0 to 0.00001 for total_revenue). They would be on completely incompatible scales and the KDE line would be invisible.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gaussian_kde</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kde = gaussian_kde(data, bw_method="scott")</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gaussian_kde from scipy.stats fits a smooth continuous probability density curve to the data using kernel smoothing. Each data point is replaced by a small Gaussian (bell) curve; overlapping them creates the smooth KDE. bw_method="scott" uses Scotts rule for automatic bandwidth selection.</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 histogram shape depends heavily on bin width (bins=35). A KDE is smooth and shows the distribution shape independent of bin choices. Together, histogram + KDE gives both exact counts and smooth distribution shape.</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linspace</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np.linspace(data.min(), data.max(), 300)</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Creates 300 evenly-spaced x-values from the minimum to maximum of the data. These are the x-coordinates where the KDE is evaluated.</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300 points creates a very smooth curve. Using too few points (say 10) would make the KDE appear as a series of straight line segments rather than a smooth curve.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axvline mean</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ax.axvline(mean_v, color="red", linestyle="--")</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Draws a vertical dashed red line at the position of the mean. The dashed style distinguishes it from the solid median line.</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Showing BOTH mean and median lines on the same chart makes skewness visually unmistakable. For right-skewed columns: the red dashed line (mean) is clearly to the RIGHT of the green solid line (median). The GAP between them visually encodes the magnitude of skewness.</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axvline median</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ax.axvline(med_v, color="green", linestyle="-")</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Draws a solid green vertical line at the median.</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contrast between dashed (mean) and solid (median) allows viewers to distinguish them even without a legend. Green (median=good/representative) vs red (mean=potentially misleading) reinforces the message.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66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Chart Panel</w:t>
            </w:r>
          </w:p>
        </w:tc>
        <w:tc>
          <w:tcPr>
            <w:tcW w:type="dxa" w:w="16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Skewness</w:t>
            </w:r>
          </w:p>
        </w:tc>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Mean vs Median</w:t>
            </w:r>
          </w:p>
        </w:tc>
        <w:tc>
          <w:tcPr>
            <w:tcW w:type="dxa" w:w="46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Interpretation</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 Revenue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Strong right-skew (+4.77)</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 N136K &gt;&gt; Median N36K (3.78x gap)</w:t>
            </w:r>
          </w:p>
        </w:tc>
        <w:tc>
          <w:tcPr>
            <w:tcW w:type="dxa" w:w="4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histogram shows an enormous spike at very low values (small grocery and basic electronics transactions clustered near N0-N50K), then a very long, thin right tail extending to N3.74M. This shape is classic right-skew (also called positive skew). The red dashed line (mean N136K) is far to the right of the green solid line (median N36K). The visual gap between these lines is the skewness made visible.</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Gross Profit</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Even more extreme right-skew (+5.44)</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 N49K &gt;&gt; Median N12K (4.08x gap)</w:t>
            </w:r>
          </w:p>
        </w:tc>
        <w:tc>
          <w:tcPr>
            <w:tcW w:type="dxa" w:w="4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most extremely skewed chart of the six. The spike at very small profits (small transactions generating N1-5K profit) is even sharper than the revenue spike. The long right tail reaches N1.93M (a single bulk order profit). The 3.78x mean-to-median ratio in revenue becomes 4.08x in profit - showing that profit is even more concentrated in bulk orders than revenue.</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Gross Margin %</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Near-symmetric (-0.56)</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 35.76% vs Median 36.32% (0.56% gap)</w:t>
            </w:r>
          </w:p>
        </w:tc>
        <w:tc>
          <w:tcPr>
            <w:tcW w:type="dxa" w:w="4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bell shape centred around 36% with the red and green lines almost touching each other. This is the most "well-behaved" distribution. The tiny left tail (visible as a slight leftward extension) comes from the three loss-making transactions at -2.54% margin. The symmetric shape means this column can be honestly represented by either mean or median.</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Unit Price</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Strong right-skew (+3.08)</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 N71K &gt;&gt; Median N22K (3.27x gap)</w:t>
            </w:r>
          </w:p>
        </w:tc>
        <w:tc>
          <w:tcPr>
            <w:tcW w:type="dxa" w:w="4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Sharp spike at low prices (Groceries N400-N12K and Food items N500-N28K) with the long right tail extending to N750K (premium laptops). The spike represents the majority of products that are low-price everyday items. The tail represents the minority of high-value Computing and Electronics items.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Customer Rating</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Near-symmetric (-0.06)</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 3.03 vs Median 3.10 (0.07 gap)</w:t>
            </w:r>
          </w:p>
        </w:tc>
        <w:tc>
          <w:tcPr>
            <w:tcW w:type="dxa" w:w="4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flattest distribution of the six - almost uniform across the 1-5 scale. Ratings are spread relatively evenly with a slight concentration around 3.0-3.2. This distribution tells us customers are moderately satisfied overall but with broad variation - some love NigeriaRetail (rating 5) and some are very dissatisfied (rating 1) in roughly equal proportions.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Discount %</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Right-skewed (+0.99)</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 7.82% &gt;&gt; Median 5.00%</w:t>
            </w:r>
          </w:p>
        </w:tc>
        <w:tc>
          <w:tcPr>
            <w:tcW w:type="dxa" w:w="4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dominant feature is the large spike at 0% discount (40% of all transactions). After this spike, the distribution shows smaller groups at 5%, 10%, 15%, 20%, 25%, and 30%. The right skew comes from this spike at zero combined with a few high-discount transactions. The median of 5% is a more representative "typical discount" than the mean of 7.82%.</w:t>
            </w:r>
          </w:p>
        </w:tc>
      </w:tr>
    </w:tbl>
    <w:p>
      <w:pPr>
        <w:spacing w:after="0" w:before="100"/>
      </w:pPr>
      <w:r>
        <w:t xml:space="preserve"/>
      </w:r>
    </w:p>
    <w:p>
      <w:pPr>
        <w:spacing w:after="80" w:before="200"/>
      </w:pPr>
      <w:r>
        <w:rPr>
          <w:rFonts w:ascii="Arial" w:cs="Arial" w:eastAsia="Arial" w:hAnsi="Arial"/>
          <w:b/>
          <w:bCs/>
          <w:color w:val="0E6655"/>
          <w:sz w:val="23"/>
          <w:szCs w:val="23"/>
        </w:rPr>
        <w:t xml:space="preserve">Cell [22] - Step 2.3: Percentile Analysis and IQR Outlier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rev = df_clean["total_revenue"]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pct, label in pct_map.items():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val = rev.quantile(pct)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q1  = rev.quantile(0.25)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q3  = rev.quantile(0.75)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iqr = q3 - q1</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upper_fence = q3 + 1.5 * iqr</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lower_fence = max(0, q1 - 1.5 * iqr)</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outliers    = df_clean[(rev &gt; upper_fence) | (rev &lt; lower_fence)]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46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Explanation</w:t>
            </w:r>
          </w:p>
        </w:tc>
        <w:tc>
          <w:tcPr>
            <w:tcW w:type="dxa" w:w="2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Statistical Meaning</w:t>
            </w:r>
          </w:p>
        </w:tc>
        <w:tc>
          <w:tcPr>
            <w:tcW w:type="dxa" w:w="3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Business Interpretation</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rev.quantile(pct)</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Computes the value below which pct*100% of all revenue values fall. rev.quantile(0.50) = the median. rev.quantile(0.90) = the value below which 90% of transactions fall.</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Quantiles describe the distribution shape without ANY assumptions about normality or symmetry. They work correctly regardless of skewness, outliers, or bimodality.</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Percentile values tell us: "How much would a transaction in the bottom 10% be worth?" (P10=N5,982) versus "How much would a top 10% transaction be worth?" (P90=N365,189). This guides tiered service strategies.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q1 = rev.quantile(0.25)</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First quartile: 25% of transactions are below N13,438. This is the "budget" customer segment.</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Q1 is the lower boundary of the middle 50% of transactions. Values significantly below Q1 are potential outliers on the low end.</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N13,438 as Q1 tells us that the cheapest quarter of transactions are very small grocery and food purchases.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q3 = rev.quantile(0.75)</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Third quartile: 75% of transactions are below N107,824. This means 25% of transactions exceed N107K.</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Q3 is the upper boundary of the middle 50%. Values significantly above Q3 are potential outliers on the high end.</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N107,824 as Q3 means the top 25% of transactions (above N107K) are large Electronics and Computing purchases.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iqr = q3 - q1</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IQR = N107,824 - N13,438 = N94,386. The Interquartile Range measures the spread of the MIDDLE 50% of the data.</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IQR is robust to outliers because it only measures the spread between Q1 and Q3, ignoring both extremes. This makes it the preferred spread measure for skewed data.</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IQR of N94,386 means the middle 50% of transactions span N94K in range - indicating substantial diversity in transaction sizes even among "typical" customers.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upper_fence = q3 + 1.5 * iqr</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Upper fence = N107,824 + 1.5 x N94,386 = N107,824 + N141,579 = N249,403. Any transaction above N249,403 is a statistical outlier by Tukeys rule.</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1.5xIQR rule is John Tukeys (1977) standard for outlier detection. It is used as the upper whisker boundary in box plots. Values beyond this boundary are flagged as potential outliers.</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Transactions above N249K are flagged. These are large bulk orders or high-end single-item purchases (premium laptops, large TVs).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outliers = df_clean[(rev &gt; upper_fence) | (rev &lt; lower_fence)]</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Boolean indexing selects rows where revenue exceeds the upper fence OR falls below the lower fence. lower_fence uses max(0, ...) to prevent negative bounds.</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This identifies 588 transactions (13.1%) as statistical outliers by IQR rule. This 13.1% is a large fraction - too many for the IQR method applied to strongly right-skewed data.</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13.1% flagged as outliers suggests the IQR method is too aggressive for this dataset. Section 7 uses the Modified Z-score instead, which flags only 51 genuine bulk B2B outliers (1.1%).</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[22]: Reading the Percentile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P1      ( 1st pctile) : N      1,437.96  &lt;- cheapest 1%: small grocery items</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P5      ( 5th pctile) : N      3,134.96  &lt;- bottom 5%: single cheap products</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P10     (10th pctile) : N      5,981.87  &lt;- 10% cheapest: groceries, small beauty</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Q1      (25th pctile) : N     13,438.34  &lt;- bottom quarter of transactions</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Median  (50th pctile) : N     36,079.14  &lt;- THE typical Nigeria Retail transaction</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Q3      (75th pctile) : N    107,823.58  &lt;- top quarter begins here</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P90     (90th pctile) : N    365,189.35  &lt;- top 10%: Electronics, Computing</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P95     (95th pctile) : N    628,401.22  &lt;- top 5%: premium Electronics</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P99     (99th pctile) : N  1,684,877.48  &lt;- top 1%: bulk B2B institutional orders</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IQR (Q3 - Q1)       : N     94,385.25</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Upper fence          : N    249,401.46</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Statistical outliers : 588 (13.1%)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8"/>
              <w:left w:val="single" w:color="1A5276" w:sz="8"/>
              <w:bottom w:val="single" w:color="BDC3C7" w:sz="1"/>
              <w:right w:val="single" w:color="BDC3C7" w:sz="1"/>
            </w:tcBorders>
            <w:shd w:fill="D6EAF8"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The Percentile Ladder - Most Powerful Distribution Summary for Skewed Data</w:t>
            </w:r>
          </w:p>
          <w:p>
            <w:pPr>
              <w:spacing w:after="0" w:before="0"/>
            </w:pPr>
            <w:r>
              <w:rPr>
                <w:rFonts w:ascii="Arial" w:cs="Arial" w:eastAsia="Arial" w:hAnsi="Arial"/>
                <w:color w:val="2C3E50"/>
                <w:sz w:val="20"/>
                <w:szCs w:val="20"/>
              </w:rPr>
              <w:t xml:space="preserve">Unlike mean and standard deviation which assume a symmetric distribution, percentiles make no assumptions and work correctly for any distribution shape. Reading the ladder from P1 to P99 tells the complete story: the cheapest 1% (P1=N1,438) represents tiny grocery purchases; the bottom half (below Median=N36,079) represents everyday purchases; the top 10% (above P90=N365,189) represents major Electronics and Computing purchases; and the top 1% (above P99=N1.68M) represents bulk institutional B2B orders. The distance from Median to P90 (N36K to N365K) being 10x shows how dramatically the upper tail is stretched - confirming the extreme right-skew.</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3 - Univariate Analysis: Categorical Variables</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[25] - Step 3.1: Frequency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cat_cols = ["category","sales_channel","payment_method","order_status",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"customer_gender","customer_age_group"]</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col in cat_cols: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vc = df_clean[col].value_counts()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n_unique = vc.shape[0]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print(f"{col.upper()} ({n_unique} unique values):")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for val, cnt in vc.items():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pct = cnt / len(df_clean) * 100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bar = chr(9608) * int(pct / 2)</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print(f"    {val:&lt;30}: {cnt:&gt;5,}  ({pct:&gt;5.1f}%)  {bar}")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3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Explanation</w:t>
            </w:r>
          </w:p>
        </w:tc>
        <w:tc>
          <w:tcPr>
            <w:tcW w:type="dxa" w:w="46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It Works This Way</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df_clean[col].value_counts()</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Counts the frequency of each unique value in the column, sorted in descending order (most common first). Returns a Series where index = unique values and values = counts.</w:t>
            </w:r>
          </w:p>
        </w:tc>
        <w:tc>
          <w:tcPr>
            <w:tcW w:type="dxa" w:w="4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value_counts() is the pandas equivalent of a frequency distribution table or a pivot table with count aggregation. Sorted descending means the most important category appears first.</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vc.shape[0]</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Returns the number of unique values in the column. vc is a Series; vc.shape[0] = number of rows = number of unique values.</w:t>
            </w:r>
          </w:p>
        </w:tc>
        <w:tc>
          <w:tcPr>
            <w:tcW w:type="dxa" w:w="4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Printing the unique count before the values helps the reader know the scale: "8 unique values" vs "80 unique values" immediately signals how complex the categorical analysis will be.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for val, cnt in vc.items()</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Iterates through the Series: val = the category name (e.g. "Electronics"), cnt = the count (e.g. 749).</w:t>
            </w:r>
          </w:p>
        </w:tc>
        <w:tc>
          <w:tcPr>
            <w:tcW w:type="dxa" w:w="4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items() returns (index, value) pairs from the Series. This allows us to both print the label (val) and compute percentages from the count (cnt) in one loop.</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pct = cnt / len(df_clean) * 100</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Computes the percentage: count in this category divided by total 4,500 transactions times 100.</w:t>
            </w:r>
          </w:p>
        </w:tc>
        <w:tc>
          <w:tcPr>
            <w:tcW w:type="dxa" w:w="4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Percentages make comparisons meaningful. "749 Electronics transactions" is hard to interpret. "16.6% of all transactions" immediately tells the reader the relative importance.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bar = chr(9608) * int(pct / 2)</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chr(9608) is the Unicode block character: █. Multiplying by int(pct/2) creates a visual bar where each block represents 2%. A 20% category gets 10 blocks (████████).</w:t>
            </w:r>
          </w:p>
        </w:tc>
        <w:tc>
          <w:tcPr>
            <w:tcW w:type="dxa" w:w="4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visual bar makes relative sizes immediately apparent without needing to read numbers. Food &amp; Beverages (22.7% = 11 blocks) visually dominates; Sporting Goods (5.2% = 2 blocks) is visually small.</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[25]: Every Category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00"/>
        <w:gridCol w:w="1500"/>
        <w:gridCol w:w="44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Category</w:t>
            </w:r>
          </w:p>
        </w:tc>
        <w:tc>
          <w:tcPr>
            <w:tcW w:type="dxa" w:w="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Count</w:t>
            </w:r>
          </w:p>
        </w:tc>
        <w:tc>
          <w:tcPr>
            <w:tcW w:type="dxa" w:w="9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Share</w:t>
            </w:r>
          </w:p>
        </w:tc>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Revenue Rank</w:t>
            </w:r>
          </w:p>
        </w:tc>
        <w:tc>
          <w:tcPr>
            <w:tcW w:type="dxa" w:w="4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Insight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Food &amp; Beverages</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1,021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22.7%</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5th (N26.3M)</w:t>
            </w:r>
          </w:p>
        </w:tc>
        <w:tc>
          <w:tcPr>
            <w:tcW w:type="dxa" w:w="4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Most transactions but average value only N25,750. Customers buy food frequently in small amounts. High volume does NOT equal high revenue.</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Electronics</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749</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16.6%</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2nd (N191.2M)</w:t>
            </w:r>
          </w:p>
        </w:tc>
        <w:tc>
          <w:tcPr>
            <w:tcW w:type="dxa" w:w="4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Second most transactions AND second highest revenue. Average N255,221 per transaction confirms high-value items.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Fashion &amp; Clothing</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606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13.5%</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3rd (N36.6M)</w:t>
            </w:r>
          </w:p>
        </w:tc>
        <w:tc>
          <w:tcPr>
            <w:tcW w:type="dxa" w:w="4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Third by volume but third by revenue only N36.6M. Average N60,363 per transaction suggests mid-range fashion purchases.</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Health &amp; Beauty</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507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11.3%</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6th (N12.2M)</w:t>
            </w:r>
          </w:p>
        </w:tc>
        <w:tc>
          <w:tcPr>
            <w:tcW w:type="dxa" w:w="4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Fourth by volume but sixth by revenue. Average only N24,135. Despite many transactions, items are relatively low-cost.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Home &amp; Kitchen</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501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11.1%</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4th (N36.1M)</w:t>
            </w:r>
          </w:p>
        </w:tc>
        <w:tc>
          <w:tcPr>
            <w:tcW w:type="dxa" w:w="4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Similar count to Health &amp; Beauty but significantly higher revenue. Average N71,972 confirms Home &amp; Kitchen items (pressure cookers, blenders) cost more than beauty items.</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Groceries</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487</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10.8%</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8th (N5.6M)</w:t>
            </w:r>
          </w:p>
        </w:tc>
        <w:tc>
          <w:tcPr>
            <w:tcW w:type="dxa" w:w="4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Sixth by volume but LAST by revenue. Average N11,413 per transaction. Lowest revenue category because grocery items (palm oil, crayfish, yam flour) are essential but very cheap.</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Computing</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396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8.8%</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1st (N296.1M)</w:t>
            </w:r>
          </w:p>
        </w:tc>
        <w:tc>
          <w:tcPr>
            <w:tcW w:type="dxa" w:w="4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SEVENTH by volume but FIRST by revenue. Average N747,597 per transaction - 20x the Food &amp; Beverages average. Laptops and external SSDs transform a low-volume category into the revenue engine.</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Sporting Goods</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233</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5.2%</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7th (N9.9M)</w:t>
            </w:r>
          </w:p>
        </w:tc>
        <w:tc>
          <w:tcPr>
            <w:tcW w:type="dxa" w:w="4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Fewest transactions AND seventh by revenue. But highest average margin at 36.8%. Strategic opportunity: low volume at excellent margins.</w:t>
            </w:r>
          </w:p>
        </w:tc>
      </w:tr>
    </w:tbl>
    <w:p>
      <w:pPr>
        <w:spacing w:after="0" w:before="100"/>
      </w:pPr>
      <w:r>
        <w:t xml:space="preserve"/>
      </w:r>
    </w:p>
    <w:p>
      <w:pPr>
        <w:spacing w:after="80" w:before="200"/>
      </w:pPr>
      <w:r>
        <w:rPr>
          <w:rFonts w:ascii="Arial" w:cs="Arial" w:eastAsia="Arial" w:hAnsi="Arial"/>
          <w:b/>
          <w:bCs/>
          <w:color w:val="0E6655"/>
          <w:sz w:val="23"/>
          <w:szCs w:val="23"/>
        </w:rPr>
        <w:t xml:space="preserve">Cell [27] - Step 3.2: Categorical 6-Panel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8"/>
              <w:left w:val="single" w:color="6C3483" w:sz="8"/>
              <w:bottom w:val="single" w:color="BDC3C7" w:sz="1"/>
              <w:right w:val="single" w:color="BDC3C7" w:sz="1"/>
            </w:tcBorders>
            <w:shd w:fill="F5EEF8" w:val="clear"/>
            <w:tcMar>
              <w:top w:type="dxa" w:w="100"/>
              <w:left w:type="dxa" w:w="180"/>
              <w:bottom w:type="dxa" w:w="100"/>
              <w:right w:type="dxa" w:w="180"/>
            </w:tcMar>
          </w:tcPr>
          <w:p>
            <w:pPr>
              <w:spacing w:after="60" w:before="0"/>
            </w:pPr>
            <w:r>
              <w:rPr>
                <w:rFonts w:ascii="Arial" w:cs="Arial" w:eastAsia="Arial" w:hAnsi="Arial"/>
                <w:b/>
                <w:bCs/>
                <w:color w:val="6C3483"/>
                <w:sz w:val="20"/>
                <w:szCs w:val="20"/>
              </w:rPr>
              <w:t xml:space="preserve">Chart Design Principles Applied in Cell [27]</w:t>
            </w:r>
          </w:p>
          <w:p>
            <w:pPr>
              <w:spacing w:after="0" w:before="0"/>
            </w:pPr>
            <w:r>
              <w:rPr>
                <w:rFonts w:ascii="Arial" w:cs="Arial" w:eastAsia="Arial" w:hAnsi="Arial"/>
                <w:color w:val="2C3E50"/>
                <w:sz w:val="20"/>
                <w:szCs w:val="20"/>
              </w:rPr>
              <w:t xml:space="preserve">Six design principles are applied simultaneously: (1) Horizontal bars for categories with long names - avoids diagonal rotated labels. (2) Donut chart for the channel distribution - shows both segments and total count in centre. (3) .reindex(age_order) for age groups - forces natural demographic order (18-24 to 55+), not alphabetical order (18-24, 25-34, 35-44, 45-54, 55+). (4) Colour-coded order status - green=Completed, gold=Pending, red=Cancelled and Returned - immediate visual communication of good vs bad outcomes. (5) Label annotations on every bar showing both count and percentage. (6) axes.flatten() to iterate a 2D grid as a 1D list.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42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Panel</w:t>
            </w:r>
          </w:p>
        </w:tc>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Chart Type</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Code</w:t>
            </w:r>
          </w:p>
        </w:tc>
        <w:tc>
          <w:tcPr>
            <w:tcW w:type="dxa" w:w="42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Reveals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Category</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Horizontal bar</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axes[0,0].barh(cat_counts.index[::-1], cat_counts.values[::-1])</w:t>
            </w:r>
          </w:p>
        </w:tc>
        <w:tc>
          <w:tcPr>
            <w:tcW w:type="dxa" w:w="4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reverses the order so the highest-count category (Food &amp; Beverages) appears at the TOP of the chart, reading order matches importance order.</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 Channel</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Donut chart</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centre = plt.Circle((0,0), 0.55, fc="white"); axes[0,1].add_artist(centre)</w:t>
            </w:r>
          </w:p>
        </w:tc>
        <w:tc>
          <w:tcPr>
            <w:tcW w:type="dxa" w:w="4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 donut is a pie chart with a white circle added in the centre. The centre text "4,500 Txns" provides context for the percentages shown on wedges.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Payment</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Bar chart</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axes[0,2].set_xticklabels(pay_counts.index, rotation=20, ha="right")</w:t>
            </w:r>
          </w:p>
        </w:tc>
        <w:tc>
          <w:tcPr>
            <w:tcW w:type="dxa" w:w="4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rotation=20 and ha="right" rotates x-axis labels 20 degrees and right-aligns them at the tick mark. Prevents label overlap for medium-length payment method names.</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 Status</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Colour-coded bar</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s_col = {"Completed": green, "Pending": gold, "Returned": red, "Cancelled": dark red}</w:t>
            </w:r>
          </w:p>
        </w:tc>
        <w:tc>
          <w:tcPr>
            <w:tcW w:type="dxa" w:w="4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Colour encoding makes the fulfilment health immediately visible: see more green = good; see more red = operational problem. No legend needed - colours are self-explanatory.</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 Age groups</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.reindex()</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age_counts = df_clean["customer_age_group"].value_counts().reindex(age_order)</w:t>
            </w:r>
          </w:p>
        </w:tc>
        <w:tc>
          <w:tcPr>
            <w:tcW w:type="dxa" w:w="4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Without .reindex(age_order), value_counts() returns in frequency order (25-34 first since it is largest). With .reindex(), bars appear in natural left-to-right demographic order: youngest to oldest.</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 States</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Horizontal bar</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state_counts = df_clean["state"].value_counts().head(10)</w:t>
            </w:r>
          </w:p>
        </w:tc>
        <w:tc>
          <w:tcPr>
            <w:tcW w:type="dxa" w:w="4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head(10) limits to top 10 states. Showing all 15 states would make bars too thin to read. The top 10 tells most of the geographic story.</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4 - Bivariate Analysis</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[30] - Step 4.1: Category Performance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cat_perf = df_clean.groupby("category").agg(</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transactions  = ("transaction_id",   "count"),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total_revenue = ("total_revenue",    "sum"),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avg_revenue   = ("total_revenue",    "mean"),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total_profit  = ("gross_profit",     "sum"),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avg_margin    = ("gross_margin_pct", "mean"),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avg_rating    = ("customer_rating",  "mean"),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return_rate   = ("is_return",        "mean"),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).round(2)</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cat_perf["revenue_share"] = (cat_perf["total_revenue"] / cat_perf["total_revenue"].sum() * 100).round(1)</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cat_perf = cat_perf.sort_values("total_revenue", ascending=False)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000"/>
        <w:gridCol w:w="2500"/>
        <w:gridCol w:w="316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Aggregation</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Source Column</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Function</w:t>
            </w:r>
          </w:p>
        </w:tc>
        <w:tc>
          <w:tcPr>
            <w:tcW w:type="dxa" w:w="2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Computes</w:t>
            </w:r>
          </w:p>
        </w:tc>
        <w:tc>
          <w:tcPr>
            <w:tcW w:type="dxa" w:w="31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This Column Matters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transactions</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transaction_id</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count</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Counts how many rows exist per category group.</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Transaction count is the volume metric. Every row in the DataFrame represents one transaction. Count = how many times each category was purchased.</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sum</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Sums all revenue values within each category group.</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 revenue shows absolute contribution to the business. Computing generates N296M total; Groceries generates N5.6M. This is the revenue ranking, which differs dramatically from the transaction count ranking.</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avg_revenue</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Averages the revenue per transaction within each category.</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Average revenue per transaction reveals price positioning. Computing average N747,597 vs Groceries average N11,413 - Computing customers spend 65x more per visit. This is because laptops cost 65x more than grocery items.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avg_margin</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gross_margin_pct</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Averages the gross margin percentage within each category.</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Average margin % compares profitability rates fairly across categories regardless of price. A 36% margin on a N700K laptop and a 36% margin on a N10K grocery basket are equivalent margin performance.</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return_rate</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is_return</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Computes the fraction of transactions that were returned (is_return=1) within each category.</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Because is_return is binary (0 or 1), the mean equals the return rate fraction. return_rate=0.10 means 10% of transactions in that category were returned. Electronics and Fashion both show 10% return rate - above the 9.2% average.</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revenue_share</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Derived from total_revenue</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Custom calculation</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Computes each category's share of total revenue: category_revenue / sum_all_revenue * 100.</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 share shows relative contribution. Computing 48.2% + Electronics 31.1% = 79.3% of all revenue from just 2 of 8 categories. This extreme concentration is a key strategic risk.</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[30]: The Volume-Revenue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CATEGORY PERFORMANCE MATRIX:</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Category               Txns    Rev(NM)  Share     AvgRev   Margin   Rating  Return%</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Computing               396   N296.05M   48.2%  N747,597    36.3%    3.11     9.0%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Electronics             749   N191.16M   31.1%  N255,221    35.4%    3.07    10.0%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Fashion &amp; Clothing      606    N36.58M    6.0%   N60,363    36.4%    3.06    10.0%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Home &amp; Kitchen          501    N36.06M    5.9%   N71,972    35.8%    3.03     8.0%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Food &amp; Beverages      1,021    N26.29M    4.3%   N25,750    35.9%    3.04     8.0%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Health &amp; Beauty         507    N12.24M    2.0%   N24,135    35.4%    2.89     9.0%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Sporting Goods          233     N9.90M    1.6%   N42,496    36.8%    3.24     8.0%</w:t>
            </w:r>
          </w:p>
        </w:tc>
      </w:tr>
      <w:tr>
        <w:tc>
          <w:tcPr>
            <w:tcBorders>
              <w:top w:val="none" w:color="FFFFFF" w:sz="0"/>
              <w:left w:val="none" w:color="FFFFFF" w:sz="0"/>
              <w:bottom w:val="none" w:color="FFFFFF" w:sz="0"/>
              <w:right w:val="none" w:color="FFFFFF" w:sz="0"/>
            </w:tcBorders>
            <w:shd w:fill="050A00" w:val="clear"/>
            <w:tcMar>
              <w:top w:type="dxa" w:w="0"/>
              <w:left w:type="dxa" w:w="180"/>
              <w:bottom w:type="dxa" w:w="0"/>
              <w:right w:type="dxa" w:w="180"/>
            </w:tcMar>
          </w:tcPr>
          <w:p>
            <w:pPr>
              <w:spacing w:after="12" w:before="12"/>
            </w:pPr>
            <w:r>
              <w:rPr>
                <w:rFonts w:ascii="Courier New" w:cs="Courier New" w:eastAsia="Courier New" w:hAnsi="Courier New"/>
                <w:color w:val="98C379"/>
                <w:sz w:val="18"/>
                <w:szCs w:val="18"/>
              </w:rPr>
              <w:t xml:space="preserve">  Groceries               487     N5.56M    0.9%   N11,413    34.8%    2.94     9.0%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2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Finding</w:t>
            </w:r>
          </w:p>
        </w:tc>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Numbers</w:t>
            </w:r>
          </w:p>
        </w:tc>
        <w:tc>
          <w:tcPr>
            <w:tcW w:type="dxa" w:w="2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Business Interpretation</w:t>
            </w:r>
          </w:p>
        </w:tc>
        <w:tc>
          <w:tcPr>
            <w:tcW w:type="dxa" w:w="32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Recommended Action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Computing leads revenue despite ranking 7th in transactions</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396 txns (8.8%) but N296M (48.2% revenue share)</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Each Computing transaction is worth N747,597 on average - 65x more than a Groceries transaction. Volume and revenue are almost perfectly inverted in this dataset. A business that tracks only transaction counts would severely underinvest in its most valuable category.</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Prioritise Computing: dedicated account management, extended warranty programmes, faster delivery SLAs, corporate bulk pricing. A 10% increase in Computing revenue would add N29.6M without any additional marketing to other categories.</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Food &amp; Beverages leads transactions but ranks 5th in revenue</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1,021 txns (22.7%) but N26.3M (4.3% revenue share)</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Every Food &amp; Beverages transaction is worth only N25,750 on average - cheap everyday consumables. High frequency, low value. Not a bad business but requires very high transaction volume to generate significant revenue.</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Focus on basket size: promotions that encourage buying multiple food categories together (e.g. buy Rice + Seasoning Cubes + Groundnut Oil bundle). Increase average transaction value from N25K toward N40K.</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Sporting Goods has highest margin at 36.8% but lowest volume</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233 txns, N9.9M revenue, 36.8% margin</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Sporting Goods is underperforming on volume relative to its margin quality. If Sporting Goods could grow to Electronics volume (749 transactions) while maintaining its 36.8% margin, it would generate N31.8M revenue at much better margins than Electronics.</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Invest in Sporting Goods marketing: targeted campaigns for fitness enthusiasts, seasonal promotions around New Year (gym resolutions) and World Cup season. Product range expansion with more mid-range options.</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Electronics and Fashion have 10% return rate</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Both above the 9.2% average</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Electronics returns are especially costly: N255K average transaction returned = N25.5K logistics cost per return. Fashion returns suggest sizing/description issues. These return rates represent significant reverse logistics expense beyond the lost revenue.</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Electronics: Add more detailed specification sheets and comparison tools. Fashion: Add size guides, measurements, and "fits true to size" rating. Target reducing both categories below 8% return rate.</w:t>
            </w:r>
          </w:p>
        </w:tc>
      </w:tr>
    </w:tbl>
    <w:p>
      <w:pPr>
        <w:spacing w:after="0" w:before="100"/>
      </w:pPr>
      <w:r>
        <w:t xml:space="preserve"/>
      </w:r>
    </w:p>
    <w:p>
      <w:pPr>
        <w:spacing w:after="80" w:before="200"/>
      </w:pPr>
      <w:r>
        <w:rPr>
          <w:rFonts w:ascii="Arial" w:cs="Arial" w:eastAsia="Arial" w:hAnsi="Arial"/>
          <w:b/>
          <w:bCs/>
          <w:color w:val="0E6655"/>
          <w:sz w:val="23"/>
          <w:szCs w:val="23"/>
        </w:rPr>
        <w:t xml:space="preserve">Cell [32] - Step 4.2: Bivariate Charts - 4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200"/>
        <w:gridCol w:w="5060"/>
      </w:tblGrid>
      <w:tr>
        <w:trPr>
          <w:tblHeader/>
        </w:trPr>
        <w:tc>
          <w:tcPr>
            <w:tcW w:type="dxa" w:w="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Panel</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Chart Type</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Code Elements</w:t>
            </w:r>
          </w:p>
        </w:tc>
        <w:tc>
          <w:tcPr>
            <w:tcW w:type="dxa" w:w="50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Interpretation</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Bubble Chart</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Scatter with variable dot size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axes[0,0].scatter(row["transactions"], row["total_revenue"]/1e6, s=row["avg_margin"]*10, c=CATEGORY_COLORS[i])</w:t>
            </w:r>
          </w:p>
        </w:tc>
        <w:tc>
          <w:tcPr>
            <w:tcW w:type="dxa" w:w="5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Three dimensions encoded: X = transaction count (volume), Y = total revenue in millions, size = average margin % (larger bubble = higher margin). Computing sits at bottom-left (few transactions) but top of Y-axis (highest revenue) with a medium bubble. Food &amp; Beverages sits at far right (most transactions) but low on Y-axis (low revenue) with medium bubble. The bubble chart makes the volume-revenue paradox unmistakably visual.</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 Dual-Axis</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Bar + Line on same chart</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ax2_r = axes[0,1].twinx()</w:t>
            </w:r>
          </w:p>
        </w:tc>
        <w:tc>
          <w:tcPr>
            <w:tcW w:type="dxa" w:w="5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twinx() creates a second y-axis sharing the same x-axis. Left axis (bars) shows absolute revenue in millions - range 0 to 300. Right axis (diamond markers connected by line) shows average margin % - range 34 to 37. Without twinx(), plotting both on one axis would either crush the margin line near zero or make revenue bars invisible. Each axis has its own independent scale.</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Return Rate</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Horizontal bar with threshold</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axes[1,0].axvline(x=9.2, color=PALETTE["gold"], linestyle="--")</w:t>
            </w:r>
          </w:p>
        </w:tc>
        <w:tc>
          <w:tcPr>
            <w:tcW w:type="dxa" w:w="5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axvline() draws a vertical reference line at x=9.2 (the overall average return rate). Bars to the RIGHT of this line (Electronics 10%, Fashion 10%) are above-average return rate and shown in red. Bars to the LEFT are below-average and shown in green. The reference line creates immediate visual classification of which categories have a return problem.</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 Scatter + Regression</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Scatter with trend line</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z = np.polyfit(df_clean["unit_price"], df_clean["total_revenue"], 1); axes[1,1].plot(x_line, np.poly1d(z)(x_line), "r--")</w:t>
            </w:r>
          </w:p>
        </w:tc>
        <w:tc>
          <w:tcPr>
            <w:tcW w:type="dxa" w:w="5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np.polyfit(x, y, 1) fits a degree-1 polynomial (straight line y=mx+b) to the data, returning coefficients [m, b]. np.poly1d(z) converts these coefficients into a callable function. Calling this function with x_line values produces the y-coordinates for the trend line. The "r--" format string sets colour red ("r") and style dashed ("--"). The correlation r=+0.83 appears in the label, quantifying the relationship strength.</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5 - Multivariate Analysis</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[35] - Step 5.1: Correlation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corr_mat = df_clean[corr_cols_h].corr().round(2)</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mask = np.triu(np.ones_like(corr_mat, dtype=bool))</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sns.heatmap(corr_mat, mask=mask, annot=True, fmt=".2f",</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cmap="RdYlGn", center=0, vmin=-1, vmax=1, ax=axes[0],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linewidths=0.5, linecolor="white",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cbar_kws={"label":"Pearson 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Explanation</w:t>
            </w:r>
          </w:p>
        </w:tc>
        <w:tc>
          <w:tcPr>
            <w:tcW w:type="dxa" w:w="48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This Matters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df_clean[corr_cols_h].corr()</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Computes the Pearson correlation coefficient between every pair of selected numeric columns simultaneously. For 11 columns, this produces an 11x11 matrix containing 55 unique correlation values (plus 11 self-correlations of 1.0 on the diagonal).</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Pearson correlation r measures LINEAR relationship strength. r=+1.0 = perfect positive; r=-1.0 = perfect negative; r=0 = no linear relationship. The .corr() call computes all 55 pairs in one operation that would take hours manually.</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np.ones_like(corr_mat, dtype=bool)</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Creates a matrix of True values with the exact same shape as corr_mat (11x11).</w:t>
            </w:r>
          </w:p>
        </w:tc>
        <w:tc>
          <w:tcPr>
            <w:tcW w:type="dxa" w:w="4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This True matrix serves as the starting point for creating the upper-triangle mask.</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np.triu(...)</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np.triu() (upper triangle) sets all elements BELOW the main diagonal to False, keeping the upper triangle as True. The diagonal itself stays True.</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correlation matrix is symmetric: the correlation between revenue and profit is identical whether you look at row=revenue/column=profit or row=profit/column=revenue. Showing both triangles displays every pair twice. The mask hides the upper triangle to eliminate this redundancy.</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mask=mask in sns.heatmap()</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 seaborn heatmap, mask=True means "hide this cell". With mask=upper_triangle, all upper-triangle cells are hidden, showing only the lower triangle plus the diagonal.</w:t>
            </w:r>
          </w:p>
        </w:tc>
        <w:tc>
          <w:tcPr>
            <w:tcW w:type="dxa" w:w="4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lower triangle is sufficient to see all 55 unique correlations. The visual result is a cleaner, less cluttered chart that is easier to read.</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cmap="RdYlGn"</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 diverging colour map: Red (negative correlations) -&gt; Yellow (zero, no relationship) -&gt; Green (positive correlations). The scale is set to go from -1 to +1 with 0 at the centre.</w:t>
            </w:r>
          </w:p>
        </w:tc>
        <w:tc>
          <w:tcPr>
            <w:tcW w:type="dxa" w:w="48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Colour immediately encodes correlation direction. Viewers can scan the heatmap and identify strong relationships (dark green cells) and strong negative relationships (dark red cells) without reading any numbers.</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annot=True, fmt=".2f"</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annot=True overlays the actual correlation value in each cell. fmt=".2f" formats numbers to 2 decimal places (e.g. 0.97 not 0.9654).</w:t>
            </w:r>
          </w:p>
        </w:tc>
        <w:tc>
          <w:tcPr>
            <w:tcW w:type="dxa" w:w="48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Numbers in cells provide exact values after the colour gives the overview. Two decimal places is sufficient precision for business analytics - the difference between 0.964 and 0.965 is irrelevant for strategy decisions.</w:t>
            </w:r>
          </w:p>
        </w:tc>
      </w:tr>
    </w:tbl>
    <w:p>
      <w:pPr>
        <w:spacing w:after="0" w:before="80"/>
      </w:pPr>
      <w:r>
        <w:t xml:space="preserve"/>
      </w:r>
    </w:p>
    <w:p>
      <w:pPr>
        <w:spacing w:after="80" w:before="200"/>
      </w:pPr>
      <w:r>
        <w:rPr>
          <w:rFonts w:ascii="Arial" w:cs="Arial" w:eastAsia="Arial" w:hAnsi="Arial"/>
          <w:b/>
          <w:bCs/>
          <w:color w:val="0E6655"/>
          <w:sz w:val="23"/>
          <w:szCs w:val="23"/>
        </w:rPr>
        <w:t xml:space="preserve">Output Interpretation - Cell [35]: Reading the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46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Pair</w:t>
            </w:r>
          </w:p>
        </w:tc>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Correlation</w:t>
            </w:r>
          </w:p>
        </w:tc>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Colour</w:t>
            </w:r>
          </w:p>
        </w:tc>
        <w:tc>
          <w:tcPr>
            <w:tcW w:type="dxa" w:w="5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Business Interpretation</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 - gross_profit</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 = +0.965</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Darkest green</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Near-perfect positive correlation. As total revenue increases, gross profit increases proportionally. This is expected since profit is computed directly from revenue (profit = revenue - cost). The fact that it is 0.965 and not 1.000 reflects margin variation - some transactions have higher margins than others, so the profit-to-revenue ratio varies.</w:t>
            </w:r>
          </w:p>
        </w:tc>
      </w:tr>
      <w:tr>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total_revenue - unit_price</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 = +0.833</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Strong green</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Strong positive. Higher-priced products generate higher-revenue transactions. This confirms that product pricing is the primary driver of transaction value - a N700K laptop naturally creates a much higher-revenue transaction than a N5K grocery purchase.</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 - quantity</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 = +0.285</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Weak green</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Moderate weak positive. Buying more units does increase revenue, but the relationship is weaker than unit_price because the impact of quantity on total revenue is overwhelmed by the massive variation in unit prices. Buying 5 units of rice at N500 each (N2,500) generates far less revenue than buying 1 laptop at N700K.</w:t>
            </w:r>
          </w:p>
        </w:tc>
      </w:tr>
      <w:tr>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total_revenue - gross_margin_pct</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 = +0.035</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Near white (yellow)</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Near-zero correlation. Transaction SIZE does NOT predict margin RATE. A N3.7M laptop order and a N400 grocery purchase can both have 36% margin. This is the most counterintuitive finding in the heatmap and has major strategic implications: you cannot improve overall margin by simply chasing larger transactions.</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total_revenue - discount_percent</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 = -0.056</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Near white (slight red)</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Near-zero weak negative. Discounts barely reduce total revenue in this dataset. This seems surprising but reflects that discounts are selective and small (median 5%) - they do not fundamentally alter the revenue pattern which is dominated by product price differences.</w:t>
            </w:r>
          </w:p>
        </w:tc>
      </w:tr>
      <w:tr>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total_revenue - delivery_days</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 = -0.013</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Near white</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No relationship between transaction size and how long delivery takes. Large Computing orders are not delivered faster or slower than small Grocery orders on average. Delivery time is determined by logistics capacity and location, not transaction value.</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is_return - customer_rating</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 = -0.XX</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Slight red if negative</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If negative, this means returned products received lower ratings on average - logical since dissatisfied customers both return products AND rate them lower.</w:t>
            </w:r>
          </w:p>
        </w:tc>
      </w:tr>
    </w:tbl>
    <w:p>
      <w:pPr>
        <w:spacing w:after="0" w:before="100"/>
      </w:pPr>
      <w:r>
        <w:t xml:space="preserve"/>
      </w:r>
    </w:p>
    <w:p>
      <w:pPr>
        <w:spacing w:after="80" w:before="200"/>
      </w:pPr>
      <w:r>
        <w:rPr>
          <w:rFonts w:ascii="Arial" w:cs="Arial" w:eastAsia="Arial" w:hAnsi="Arial"/>
          <w:b/>
          <w:bCs/>
          <w:color w:val="0E6655"/>
          <w:sz w:val="23"/>
          <w:szCs w:val="23"/>
        </w:rPr>
        <w:t xml:space="preserve">Cell [37] - Step 5.2: Stacked Bar and 4D Bubble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 Element</w:t>
            </w:r>
          </w:p>
        </w:tc>
        <w:tc>
          <w:tcPr>
            <w:tcW w:type="dxa" w:w="3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Explanation</w:t>
            </w:r>
          </w:p>
        </w:tc>
        <w:tc>
          <w:tcPr>
            <w:tcW w:type="dxa" w:w="4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Reveals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cat_chan_m.plot(kind="barh", stacked=True, ...)</w:t>
            </w:r>
          </w:p>
        </w:tc>
        <w:tc>
          <w:tcPr>
            <w:tcW w:type="dxa" w:w="3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stacked=True parameter overlays channel segments within each category bar rather than placing them side by side. Each bar's total length = total revenue from all 3 channels; each colour segment shows one channel's contribution.</w:t>
            </w:r>
          </w:p>
        </w:tc>
        <w:tc>
          <w:tcPr>
            <w:tcW w:type="dxa" w:w="4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Stacked bars reveal BOTH the total revenue per category (bar length) AND the channel mix within each category (segment proportions). Computing's bar is longest (highest revenue) with a large Online App segment (customers research laptops online). Food &amp; Beverages has a large Walk-In segment (customers prefer selecting fresh food in person).</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axes[1].scatter(..., s=row["transactions"]*1.2, ...)</w:t>
            </w:r>
          </w:p>
        </w:tc>
        <w:tc>
          <w:tcPr>
            <w:tcW w:type="dxa" w:w="3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Bubble size proportional to transaction count. Computing's bubble (396 transactions) is smaller than Food &amp; Beverages bubble (1,021 transactions) even though Computing has higher revenue.</w:t>
            </w:r>
          </w:p>
        </w:tc>
        <w:tc>
          <w:tcPr>
            <w:tcW w:type="dxa" w:w="4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bubble size adds the volume dimension to the revenue vs margin scatter. Small bubble + high revenue = efficient high-value niche. Large bubble + low revenue = high-volume commodity.</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axes[1].axhline(y=cat_perf["avg_margin"].mean()) and axvline(x=mean_revenue)</w:t>
            </w:r>
          </w:p>
        </w:tc>
        <w:tc>
          <w:tcPr>
            <w:tcW w:type="dxa" w:w="3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Draws horizontal line at the average margin (35.76%) and vertical line at the average revenue per category. These create 4 quadrants: high-revenue/high-margin, high-revenue/low-margin, low-revenue/high-margin, low-revenue/low-margin.</w:t>
            </w:r>
          </w:p>
        </w:tc>
        <w:tc>
          <w:tcPr>
            <w:tcW w:type="dxa" w:w="4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Quadrant analysis immediately classifies each category by strategic position: Computing is in the low-margin/high-revenue quadrant (volume at moderate margin). Sporting Goods is in the low-revenue/high-margin quadrant (quality at low volume). Groceries is in the worst quadrant: low revenue AND lowest margin.</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6 - Time Series EDA</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[40] - Step 6.1: Monthly Trend with MoM Growth and Rolling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monthly = df_clean.groupby("month_num").agg(</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transactions = ("transaction_id","count"),</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revenue      = ("total_revenue", "sum"),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profit       = ("gross_profit",  "sum"),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).reset_index()</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monthly["rev_m"]      = monthly["revenue"]/1e6</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monthly["prof_m"]     = monthly["profit"]/1e6</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monthly["mom_growth"] = monthly["rev_m"].pct_change()*100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rolling average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roll_avg = monthly["transactions"].rolling(window=3, center=True).mean()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26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Explanation</w:t>
            </w:r>
          </w:p>
        </w:tc>
        <w:tc>
          <w:tcPr>
            <w:tcW w:type="dxa" w:w="50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Time Series Significance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groupby("month_num").agg(...)</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Groups all 4,500 transactions by month number (1-12). Within each month, counts transactions, sums revenue, and sums profit. reset_index() converts month_num from index back to a regular column for easy plotting.</w:t>
            </w:r>
          </w:p>
        </w:tc>
        <w:tc>
          <w:tcPr>
            <w:tcW w:type="dxa" w:w="5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month_num (integer 1-12) is used instead of month (text "January"..."December") because integer groupby automatically produces results in calendar order. Text groupby would produce alphabetical order (April before January).</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monthly["rev_m"] = monthly["revenue"]/1e6</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Creates a new column with revenue in millions. 47,000,000 / 1,000,000 = 47. Easier to read "N47M" on a chart than "47,000,000".</w:t>
            </w:r>
          </w:p>
        </w:tc>
        <w:tc>
          <w:tcPr>
            <w:tcW w:type="dxa" w:w="5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Converting to millions prevents matplotlib from displaying very long numbers on y-axes. The naira_fmt function handles this automatically when applied to axes, but having pre-divided values makes annotation labels cleaner.</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monthly["mom_growth"] = monthly["rev_m"].pct_change()*100</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pct_change() computes (current_value - previous_value) / previous_value for consecutive rows. Multiplying by 100 converts to percentage. The first row (January) returns NaN because there is no previous month.</w:t>
            </w:r>
          </w:p>
        </w:tc>
        <w:tc>
          <w:tcPr>
            <w:tcW w:type="dxa" w:w="5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Month-over-month growth rate reveals the business rhythm better than absolute values. A revenue of N47M in Month 3 seems good; seeing it as a -12% decline from N53M in Month 2 reveals a potential problem.</w:t>
            </w:r>
          </w:p>
        </w:tc>
      </w:tr>
      <w:tr>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rolling(window=3, center=True).mean()</w:t>
            </w:r>
          </w:p>
        </w:tc>
        <w:tc>
          <w:tcPr>
            <w:tcW w:type="dxa" w:w="2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rolling(window=3) creates a moving window that always covers 3 consecutive months. .mean() averages the values in that window. center=True places the average at the MIDDLE month of the window (not the last month as with a trailing average). The result: Jan and Dec have NaN (insufficient neighbours).</w:t>
            </w:r>
          </w:p>
        </w:tc>
        <w:tc>
          <w:tcPr>
            <w:tcW w:type="dxa" w:w="5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 rolling average smooths random month-to-month variation (noise) to reveal the underlying trend direction. If raw monthly counts bounce between 280 and 420 with no clear trend, a 3-month rolling average might show a gradually rising trend obscured by the noise.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sharex=True in plt.subplots(3, 1, ...)</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All three chart panels share the same x-axis (month numbers 1-12). If you zoom or pan one panel, all three zoom/pan together.</w:t>
            </w:r>
          </w:p>
        </w:tc>
        <w:tc>
          <w:tcPr>
            <w:tcW w:type="dxa" w:w="5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Sharing the x-axis allows the viewer to read all three panels simultaneously for the same time period. Seeing January's revenue (Panel 1), January's MoM growth (Panel 2), and January's transaction count (Panel 3) aligned vertically makes cross-panel comparison immediate.</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7 - Outlier Deep-Dive</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[43] - Step 7.1: Three Outlier 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Method 1: IQR</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q1, q3 = rev.quantile(0.25), rev.quantile(0.75)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iqr = q3 - q1</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upper_iqr = q3 + 1.5*iqr</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outliers_iqr = df_clean[(rev &gt; upper_iqr) | (rev &lt; max(0, q1-1.5*iqr))]</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Method 2: Z-score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z_scores = np.abs(stats.zscore(rev))</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outliers_z = df_clean[z_scores &gt; 3]</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Method 3: Modified Z-score</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median_rev = rev.median()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mad = np.abs(rev - median_rev).median()</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modified_z = 0.6745 * (rev - median_rev) / mad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outliers_mz = df_clean[np.abs(modified_z) &gt; 3.5]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306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Method</w:t>
            </w:r>
          </w:p>
        </w:tc>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Formula</w:t>
            </w:r>
          </w:p>
        </w:tc>
        <w:tc>
          <w:tcPr>
            <w:tcW w:type="dxa" w:w="3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Step-by-Step Explanation</w:t>
            </w:r>
          </w:p>
        </w:tc>
        <w:tc>
          <w:tcPr>
            <w:tcW w:type="dxa" w:w="30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Limitation</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IQR (Tukey 1.5 rule)</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Upper fence = Q3 + 1.5 x IQR</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Step 1: Q1 = rev.quantile(0.25) = N13,438. Step 2: Q3 = rev.quantile(0.75) = N107,824. Step 3: IQR = Q3 - Q1 = N94,386. Step 4: Upper fence = N107,824 + (1.5 x N94,386) = N249,403. Step 5: Any transaction above N249,403 is flagged. Result: 588 outliers (13.1%).</w:t>
            </w:r>
          </w:p>
        </w:tc>
        <w:tc>
          <w:tcPr>
            <w:tcW w:type="dxa" w:w="3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For strongly right-skewed data, the IQR fence is set too low. 13.1% of transactions flagged as outliers is too many - these are not all genuine outliers. The method is overly sensitive to the existing skew.</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Z-score</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Z = (value - mean) / std</w:t>
            </w:r>
          </w:p>
        </w:tc>
        <w:tc>
          <w:tcPr>
            <w:tcW w:type="dxa" w:w="3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Step 1: stats.zscore() computes Z = (transaction - N136,407) / N301,102 for each row. Step 2: np.abs() takes absolute value (distance from mean regardless of direction). Step 3: Any transaction with |Z| &gt; 3 is flagged (outside 99.7% of a normal distribution). Result: 67 outliers (1.5%).</w:t>
            </w:r>
          </w:p>
        </w:tc>
        <w:tc>
          <w:tcPr>
            <w:tcW w:type="dxa" w:w="3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mean and standard deviation used in Z-score are themselves inflated by the outliers being detected. This circular problem is called masking: extreme outliers inflate the mean/std so that medium outliers appear normal.</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Modified Z-score (best for skewed data)</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Modified Z = 0.6745 x (value - median) / MAD</w:t>
            </w:r>
          </w:p>
        </w:tc>
        <w:tc>
          <w:tcPr>
            <w:tcW w:type="dxa" w:w="3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Step 1: median_rev = N36,079. Step 2: MAD = median of |each_value - N36,079| across all 4,500 rows. Step 3: Modified_Z = 0.6745 x (value - N36,079) / MAD. Step 4: Any |Modified_Z| &gt; 3.5 is flagged. Step 5: Result: 51 outliers (1.1%).</w:t>
            </w:r>
          </w:p>
        </w:tc>
        <w:tc>
          <w:tcPr>
            <w:tcW w:type="dxa" w:w="3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Slightly less familiar to business stakeholders who expect Z-scores. But statistically superior for skewed financial data because the median and MAD are not affected by the outliers themselves.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8"/>
              <w:left w:val="single" w:color="92400E" w:sz="8"/>
              <w:bottom w:val="single" w:color="BDC3C7" w:sz="1"/>
              <w:right w:val="single" w:color="BDC3C7" w:sz="1"/>
            </w:tcBorders>
            <w:shd w:fill="FEF3C7" w:val="clear"/>
            <w:tcMar>
              <w:top w:type="dxa" w:w="100"/>
              <w:left w:type="dxa" w:w="180"/>
              <w:bottom w:type="dxa" w:w="100"/>
              <w:right w:type="dxa" w:w="180"/>
            </w:tcMar>
          </w:tcPr>
          <w:p>
            <w:pPr>
              <w:spacing w:after="60" w:before="0"/>
            </w:pPr>
            <w:r>
              <w:rPr>
                <w:rFonts w:ascii="Arial" w:cs="Arial" w:eastAsia="Arial" w:hAnsi="Arial"/>
                <w:b/>
                <w:bCs/>
                <w:color w:val="92400E"/>
                <w:sz w:val="20"/>
                <w:szCs w:val="20"/>
              </w:rPr>
              <w:t xml:space="preserve">Why the Modified Z-score is Best for This Dataset</w:t>
            </w:r>
          </w:p>
          <w:p>
            <w:pPr>
              <w:spacing w:after="0" w:before="0"/>
            </w:pPr>
            <w:r>
              <w:rPr>
                <w:rFonts w:ascii="Arial" w:cs="Arial" w:eastAsia="Arial" w:hAnsi="Arial"/>
                <w:color w:val="2C3E50"/>
                <w:sz w:val="20"/>
                <w:szCs w:val="20"/>
              </w:rPr>
              <w:t xml:space="preserve">The Modified Z-score uses the MEDIAN (N36,079) instead of the MEAN (N136,407) and the Median Absolute Deviation (MAD) instead of the standard deviation (N301,102). The median and MAD are "robust statistics" - they are not influenced by the extreme values we are trying to detect. The Z-score method has a circular problem: the N3.7M bulk orders inflate both the mean and std, making the Z-score for slightly-large orders appear falsely small. The Modified Z-score uses statistics that are immune to this problem, correctly identifying only the 51 most extreme bulk B2B orders as outliers.</w:t>
            </w:r>
          </w:p>
        </w:tc>
      </w:tr>
    </w:tbl>
    <w:p>
      <w:pPr>
        <w:spacing w:after="0" w:before="100"/>
      </w:pPr>
      <w:r>
        <w:t xml:space="preserve"/>
      </w:r>
    </w:p>
    <w:p>
      <w:pPr>
        <w:spacing w:after="80" w:before="200"/>
      </w:pPr>
      <w:r>
        <w:rPr>
          <w:rFonts w:ascii="Arial" w:cs="Arial" w:eastAsia="Arial" w:hAnsi="Arial"/>
          <w:b/>
          <w:bCs/>
          <w:color w:val="0E6655"/>
          <w:sz w:val="23"/>
          <w:szCs w:val="23"/>
        </w:rPr>
        <w:t xml:space="preserve">Cell [45] - Step 7.2: Outlier Visualisation (4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200"/>
        <w:gridCol w:w="5060"/>
      </w:tblGrid>
      <w:tr>
        <w:trPr>
          <w:tblHeader/>
        </w:trPr>
        <w:tc>
          <w:tcPr>
            <w:tcW w:type="dxa" w:w="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Panel</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Chart Type</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Code</w:t>
            </w:r>
          </w:p>
        </w:tc>
        <w:tc>
          <w:tcPr>
            <w:tcW w:type="dxa" w:w="50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Interpretation</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Box plots by category</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Horizontal box plots</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df_clean.boxplot(column="total_revenue", by="category", vert=False, patch_artist=True, flierprops=dict(marker="o", markerfacecolor=PALETTE["gold"], ...))</w:t>
            </w:r>
          </w:p>
        </w:tc>
        <w:tc>
          <w:tcPr>
            <w:tcW w:type="dxa" w:w="5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Each box shows the middle 50% of transactions (Q1 to Q3). The red median line (medianprops) sits inside the box. Dashed whiskers extend to 1.5xIQR. Gold circles beyond whiskers are outliers. Reading all 8 categories side by side: Computing has the widest box (N2,500 USB drives to N750K laptops in same category - genuinely wide price range) and longest right whisker. Groceries has the narrowest box (N400 to N12,000 - tight price range). The visual width of each box communicates price diversity within that category.</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 Outlier impact on mean</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Overlapping histograms</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axes[0,1].hist(rev_with, bins=bins_plot, alpha=0.5, color=PALETTE["accent"], label=...) then axes[0,1].hist(rev_without, ...)</w:t>
            </w:r>
          </w:p>
        </w:tc>
        <w:tc>
          <w:tcPr>
            <w:tcW w:type="dxa" w:w="5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Two overlapping histograms using the same bin boundaries (bins_plot). The two distributions appear nearly IDENTICAL in shape in the main body (the overlapping region). But the two dashed vertical mean lines are clearly separated. This visual proves: the 51 bulk orders change the MEAN dramatically but barely affect the DISTRIBUTION SHAPE. The mean line shifts while the distribution body stays fixed. This is the definitive visual argument for using median instead of mean for this data.</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Violin plot by channel</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Violin plot</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vp = axes[1,0].violinplot(data_by_channel, showmedians=True)</w:t>
            </w:r>
          </w:p>
        </w:tc>
        <w:tc>
          <w:tcPr>
            <w:tcW w:type="dxa" w:w="5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 violin plot shows the full probability density of the distribution mirrored on both sides of a vertical axis. Width at any point = how many transactions have that revenue value. Narrower = fewer transactions at that value; wider = more transactions. The red median line inside each violin shows the typical transaction value per channel. Online (App) violins are wider at higher values (more large purchases) and have longer upper tails (extreme bulk orders). Supermarket Walk-In violins are narrower and shorter (more constrained in-store spending).</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 Pareto pie chart</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Standard pie chart</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axes[1,1].pie([rev_bulk, rev_regular], labels=labs, autopct="%1.1f%%")</w:t>
            </w:r>
          </w:p>
        </w:tc>
        <w:tc>
          <w:tcPr>
            <w:tcW w:type="dxa" w:w="5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pie chart shows what fraction of TOTAL REVENUE comes from the 51 bulk outlier orders vs all other 4,449 regular orders. The percentages quantify the Pareto concentration. If 51 orders (1.1% of transactions) generate a disproportionately large share of revenue, the business needs a B2B strategy separate from its consumer retail strategy.</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8 - Distribution Comparison and Statistical Testing</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[48] - Step 8.1: KDE Comparison and QQ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6060"/>
      </w:tblGrid>
      <w:tr>
        <w:trPr>
          <w:tblHeader/>
        </w:trPr>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Panel</w:t>
            </w:r>
          </w:p>
        </w:tc>
        <w:tc>
          <w:tcPr>
            <w:tcW w:type="dxa" w:w="2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60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Full Interpretation</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Gender KDE</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data.plot.kde(ax=axes[0,0], label=..., linewidth=2.5); axes[0,0].axvline(data.median(), linestyle="--")</w:t>
            </w:r>
          </w:p>
        </w:tc>
        <w:tc>
          <w:tcPr>
            <w:tcW w:type="dxa" w:w="6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data.plot.kde() computes and plots a smooth Kernel Density Estimate curve for the total_revenue values of male customers and separately for female customers. Each curve shows the probability density - taller curves = more transactions at that revenue level. The dashed vertical lines mark the median for each gender. When the two curves overlap almost perfectly and the median lines are at nearly the same position, it means the two groups spend similarly.</w:t>
            </w:r>
          </w:p>
        </w:tc>
      </w:tr>
      <w:tr>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 New vs Repeat KDE</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Same pattern, different groups</w:t>
            </w:r>
          </w:p>
        </w:tc>
        <w:tc>
          <w:tcPr>
            <w:tcW w:type="dxa" w:w="6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Comparing new vs repeat customer revenue distributions answers the critical retention question: Do repeat customers spend more? If the Repeat Customer KDE curve is shifted to the RIGHT of the New Customer curve, repeat customers spend more per transaction, and loyalty programmes have positive ROI.</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QQ Plot</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(osm, osr), (slope, intercept, r) = stats.probplot(log_rev, dist="norm"); axes[1,0].scatter(osm, osr)</w:t>
            </w:r>
          </w:p>
        </w:tc>
        <w:tc>
          <w:tcPr>
            <w:tcW w:type="dxa" w:w="60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 Quantile-Quantile (QQ) plot compares the quantiles of the actual data against the quantiles of a theoretical normal distribution. osm = theoretical quantiles (what a perfect normal distribution would produce for each percentile). osr = actual quantiles (what our log-transformed revenue actually produces at each percentile). If all points fall exactly on the red diagonal line, the data follows a perfect normal distribution. Deviations from the line reveal non-normality.</w:t>
            </w:r>
          </w:p>
        </w:tc>
      </w:tr>
      <w:tr>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 Margin by category KDE</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for cat in top4: df_clean[df_clean["category"]==cat]["gross_margin_pct"].plot.kde(ax=axes[1,1], label=...)</w:t>
            </w:r>
          </w:p>
        </w:tc>
        <w:tc>
          <w:tcPr>
            <w:tcW w:type="dxa" w:w="60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Overlaying 4 KDE curves on one axis allows direct comparison of margin distributions across categories. If all 4 curves peak at approximately the same x-value (around 36%), margins are structurally similar across categories. If one curve peaks at 20% and another at 50%, those categories have fundamentally different margin structures.</w:t>
            </w:r>
          </w:p>
        </w:tc>
      </w:tr>
    </w:tbl>
    <w:p>
      <w:pPr>
        <w:spacing w:after="0" w:before="80"/>
      </w:pPr>
      <w:r>
        <w:t xml:space="preserve"/>
      </w:r>
    </w:p>
    <w:p>
      <w:pPr>
        <w:spacing w:after="80" w:before="200"/>
      </w:pPr>
      <w:r>
        <w:rPr>
          <w:rFonts w:ascii="Arial" w:cs="Arial" w:eastAsia="Arial" w:hAnsi="Arial"/>
          <w:b/>
          <w:bCs/>
          <w:color w:val="0E6655"/>
          <w:sz w:val="23"/>
          <w:szCs w:val="23"/>
        </w:rPr>
        <w:t xml:space="preserve">Cell [49] - Step 8.2: Mann-Whitney U Statistical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for test_name, grp1, grp2, label1, label2 in tests:</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stat, p = stats.mannwhitneyu(grp1, grp2, alternative="two-sided")</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sig = p &lt; 0.05</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print(f"    p-value : {p:.4f}")</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    print(f"    Conclusion : {'SIGNIFICANT' if sig else 'NO significant difference'}")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16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Element</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Explanation</w:t>
            </w:r>
          </w:p>
        </w:tc>
        <w:tc>
          <w:tcPr>
            <w:tcW w:type="dxa" w:w="51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How to Interpret the Result</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stats.mannwhitneyu()</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Mann-Whitney U test compares two independent groups to determine whether they come from the same underlying distribution. It is non-parametric - it makes NO assumption that the data is normally distributed.</w:t>
            </w:r>
          </w:p>
        </w:tc>
        <w:tc>
          <w:tcPr>
            <w:tcW w:type="dxa" w:w="5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Use this instead of t-test when data is not normally distributed. Total revenue has skewness +4.77 - strongly non-normal. Applying a t-test to this data would produce misleading p-values. Mann-Whitney U uses ranks not raw values, making it robust to skewness.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alternative="two-sided"</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Tests whether Group 1 and Group 2 are DIFFERENT in either direction (Group 1 &gt; Group 2 OR Group 1 &lt; Group 2). A one-sided test would only check one direction.</w:t>
            </w:r>
          </w:p>
        </w:tc>
        <w:tc>
          <w:tcPr>
            <w:tcW w:type="dxa" w:w="5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Two-sided is the standard choice when we have no prior expectation about WHICH group should be larger. We are testing "are male and female customers different?" without assuming males spend more or females spend more.</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p-value interpretation</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 p-value is the probability of observing a test statistic as extreme as the one observed, ASSUMING the null hypothesis (no difference) is true.</w:t>
            </w:r>
          </w:p>
        </w:tc>
        <w:tc>
          <w:tcPr>
            <w:tcW w:type="dxa" w:w="5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 &lt; 0.05: Less than 5% chance the observed difference is random. We reject the null hypothesis - the groups ARE statistically different. p &gt; 0.05: We cannot conclude the groups differ. The observed difference may be random sampling variation.</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sig = p &lt; 0.05</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Sets a significance threshold of 0.05 (5%). This is the standard threshold in business analytics.</w:t>
            </w:r>
          </w:p>
        </w:tc>
        <w:tc>
          <w:tcPr>
            <w:tcW w:type="dxa" w:w="5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Alpha=0.05 means we accept a 5% risk of incorrectly concluding there is a difference when there is none (Type I error). For business decisions, this is typically appropriate. Medical or legal contexts use stricter thresholds (0.01 or 0.001).</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9 - EDA Summary Dashboard and Insight Report</w:t>
      </w:r>
    </w:p>
    <w:p>
      <w:pPr>
        <w:pBdr>
          <w:bottom w:val="single" w:color="BDC3C7" w:sz="2" w:space="1"/>
        </w:pBdr>
        <w:spacing w:after="200" w:before="200"/>
      </w:pPr>
      <w:r>
        <w:t xml:space="preserve"/>
      </w:r>
    </w:p>
    <w:p>
      <w:pPr>
        <w:spacing w:after="80" w:before="200"/>
      </w:pPr>
      <w:r>
        <w:rPr>
          <w:rFonts w:ascii="Arial" w:cs="Arial" w:eastAsia="Arial" w:hAnsi="Arial"/>
          <w:b/>
          <w:bCs/>
          <w:color w:val="0E6655"/>
          <w:sz w:val="23"/>
          <w:szCs w:val="23"/>
        </w:rPr>
        <w:t xml:space="preserve">Cell [52] - Step 9.1: 9-Panel BI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8"/>
              <w:left w:val="single" w:color="6C3483" w:sz="8"/>
              <w:bottom w:val="single" w:color="BDC3C7" w:sz="1"/>
              <w:right w:val="single" w:color="BDC3C7" w:sz="1"/>
            </w:tcBorders>
            <w:shd w:fill="F5EEF8" w:val="clear"/>
            <w:tcMar>
              <w:top w:type="dxa" w:w="100"/>
              <w:left w:type="dxa" w:w="180"/>
              <w:bottom w:type="dxa" w:w="100"/>
              <w:right w:type="dxa" w:w="180"/>
            </w:tcMar>
          </w:tcPr>
          <w:p>
            <w:pPr>
              <w:spacing w:after="60" w:before="0"/>
            </w:pPr>
            <w:r>
              <w:rPr>
                <w:rFonts w:ascii="Arial" w:cs="Arial" w:eastAsia="Arial" w:hAnsi="Arial"/>
                <w:b/>
                <w:bCs/>
                <w:color w:val="6C3483"/>
                <w:sz w:val="20"/>
                <w:szCs w:val="20"/>
              </w:rPr>
              <w:t xml:space="preserve">Dashboard Design Principles Applied in Cell [52]</w:t>
            </w:r>
          </w:p>
          <w:p>
            <w:pPr>
              <w:spacing w:after="0" w:before="0"/>
            </w:pPr>
            <w:r>
              <w:rPr>
                <w:rFonts w:ascii="Arial" w:cs="Arial" w:eastAsia="Arial" w:hAnsi="Arial"/>
                <w:color w:val="2C3E50"/>
                <w:sz w:val="20"/>
                <w:szCs w:val="20"/>
              </w:rPr>
              <w:t xml:space="preserve">The 9-panel dashboard applies five professional BI design principles simultaneously: (1) Single figure, multiple panels - fig.add_subplot(3,3,N) creates a 3x3 grid. (2) Consistent colour scheme - the PALETTE dictionary ensures green=good throughout all 9 panels. (3) Mixed chart types - different questions need different chart types: trends=lines, compositions=pie/donut, distributions=histograms, comparisons=bars. (4) Labelling every bar - text annotations on every bar so the chart works without hovering (unlike interactive BI tools). (5) fig.suptitle() provides the dashboard title above all 9 panels simultaneously.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460"/>
      </w:tblGrid>
      <w:tr>
        <w:trPr>
          <w:tblHeader/>
        </w:trPr>
        <w:tc>
          <w:tcPr>
            <w:tcW w:type="dxa" w:w="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Panel</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Chart</w:t>
            </w:r>
          </w:p>
        </w:tc>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Answers</w:t>
            </w:r>
          </w:p>
        </w:tc>
        <w:tc>
          <w:tcPr>
            <w:tcW w:type="dxa" w:w="5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Finding</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Quarterly Revenue</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Colour-coded bar</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Which quarter performed best? Is the business growing quarter-over-quarter?</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 is relatively consistent across all 4 quarters (no extreme seasonal spike). Q4 tends to be strong for Computing due to year-end corporate procurement. The 4 different bar colours encode Q1-Q4 visually.</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 Category Revenue</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Donut chart</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What is the revenue composition? How concentrated is revenue across categories?</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Computing (48%) + Electronics (31%) = 79% of total revenue in 2 of 8 categories. This extreme concentration is visible in the huge Computing wedge vs tiny Groceries wedge.</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Monthly Volume</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Line + fill_between</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 there monthly seasonality? Are there any anomalous months?</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Low seasonality: transaction volume ranges approximately 300-420 per month with no dramatic peak. fill_between() creates a shaded area under the line for visual emphasis.</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 Top 5 States</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Horizontal bar</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Which geographic markets generate the most revenue?</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Rivers, Lagos, and Abuja collectively dominate. The top 3 states likely represent 50%+ of revenue - geographic concentration risk.</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 Order Status</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Colour-coded bar</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What fraction of orders successfully complete? How much is lost to returns/cancellations?</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68.6% Completed (green). 18.7% Cancelled+Returned (red bars). 1 in 5 orders does not generate final revenue - the most important operational metric.</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 Margin Distribution</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Histogram + mean/median lines</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How consistent are margins? Is there a normal margin or bimodal distribution?</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Near-symmetric bell shape centred around 36%. Mean (35.76%) and median (36.32%) lines nearly overlap - confirming symmetric, consistent margins across all transactions.</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 Return Rate by Category</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Horizontal bar with average line</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Which categories have return problems above the average?</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Electronics and Fashion &amp; Clothing both at 10% (above 9.2% average, shown as red bars). These two categories need specific interventions.</w:t>
            </w:r>
          </w:p>
        </w:tc>
      </w:tr>
      <w:tr>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 Revenue by Payment</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Horizontal bar</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Which payment methods generate the most revenue?</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POS Card and Cash together dominate because they are the most used methods (35.6% and 30.2% of transactions). USSD generates less absolute revenue but serves the low-connectivity customer segment.</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 Channel Bubble</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Bubble scatter</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Which sales channel has the best combination of average order value, margin, and volume?</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Each bubble represents one channel. X=average revenue, Y=average margin, bubble size=volume. Online channels typically show higher average order value (customers research and buy expensive items online). Walk-In typically shows lower average order value but high volume.</w:t>
            </w:r>
          </w:p>
        </w:tc>
      </w:tr>
    </w:tbl>
    <w:p>
      <w:pPr>
        <w:spacing w:after="0" w:before="100"/>
      </w:pPr>
      <w:r>
        <w:t xml:space="preserve"/>
      </w:r>
    </w:p>
    <w:p>
      <w:pPr>
        <w:spacing w:after="80" w:before="200"/>
      </w:pPr>
      <w:r>
        <w:rPr>
          <w:rFonts w:ascii="Arial" w:cs="Arial" w:eastAsia="Arial" w:hAnsi="Arial"/>
          <w:b/>
          <w:bCs/>
          <w:color w:val="0E6655"/>
          <w:sz w:val="23"/>
          <w:szCs w:val="23"/>
        </w:rPr>
        <w:t xml:space="preserve">Cell [53] - Step 9.2: Written EDA Insight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total_rev  = df_clean["total_revenue"].sum()</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comp_rate  = (df_clean["order_status"]=="Completed").mean()*100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ret_rate   = df_clean["is_return"].mean()*100</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top_cat_r  = df_clean.groupby("category")["total_revenue"].sum().idxmax()</w:t>
            </w:r>
          </w:p>
        </w:tc>
      </w:tr>
      <w:tr>
        <w:tc>
          <w:tcPr>
            <w:tcBorders>
              <w:top w:val="none" w:color="FFFFFF" w:sz="0"/>
              <w:left w:val="none" w:color="FFFFFF" w:sz="0"/>
              <w:bottom w:val="none" w:color="FFFFFF" w:sz="0"/>
              <w:right w:val="none" w:color="FFFFFF" w:sz="0"/>
            </w:tcBorders>
            <w:shd w:fill="0D1117" w:val="clear"/>
            <w:tcMar>
              <w:top w:type="dxa" w:w="0"/>
              <w:left w:type="dxa" w:w="180"/>
              <w:bottom w:type="dxa" w:w="0"/>
              <w:right w:type="dxa" w:w="180"/>
            </w:tcMar>
          </w:tcPr>
          <w:p>
            <w:pPr>
              <w:spacing w:after="12" w:before="12"/>
            </w:pPr>
            <w:r>
              <w:rPr>
                <w:rFonts w:ascii="Courier New" w:cs="Courier New" w:eastAsia="Courier New" w:hAnsi="Courier New"/>
                <w:color w:val="58A6FF"/>
                <w:sz w:val="18"/>
                <w:szCs w:val="18"/>
              </w:rPr>
              <w:t xml:space="preserve">top3_rev   = df_clean.groupby("state")["total_revenue"].sum().nlargest(3).sum()/total_rev*100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800"/>
        <w:gridCol w:w="3460"/>
      </w:tblGrid>
      <w:tr>
        <w:trPr>
          <w:tblHeader/>
        </w:trPr>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Line</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Code</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Explanation</w:t>
            </w:r>
          </w:p>
        </w:tc>
        <w:tc>
          <w:tcPr>
            <w:tcW w:type="dxa" w:w="3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Why Compute Before Printing</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total_rev</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df_clean["total_revenue"].sum()</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Sums all 4,500 total_revenue values. The result N613,831,334 is stored in a variable for use in multiple subsequent calculations (margin_pct, top3_rev as % of total_rev).</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Pre-computing avoids repeating the same calculation multiple times in f-strings. DRY principle (Don't Repeat Yourself) - compute once, reference many times.</w:t>
            </w:r>
          </w:p>
        </w:tc>
      </w:tr>
      <w:tr>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comp_rate</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(df_clean["order_status"]=="Completed").mean()*100</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Creates a boolean Series (True where Completed, False elsewhere). .mean() computes fraction of True values. *100 converts to percentage. Result: 68.6%.</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Same pattern as is_return.mean() - binary comparison converted to percentage with *100.</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top_cat_r</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df_clean.groupby("category")["total_revenue"].sum().idxmax()</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Groups by category, sums revenue per group, then .idxmax() returns the INDEX LABEL (category name) with the maximum revenue value. Returns "Computing".</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idxmax() returns the name of the maximum, not the maximum value itself. This allows the print statement to show the category name directly.</w:t>
            </w:r>
          </w:p>
        </w:tc>
      </w:tr>
      <w:tr>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top3_rev</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...nlargest(3).sum()/total_rev*100</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Groups states by total revenue, gets the top 3 states using nlargest(3), sums those 3 values, divides by total revenue, multiplies by 100 to get concentration percentage.</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Geographic concentration is a risk metric. If the top 3 states represent 50%+ of revenue, a logistics disruption in one city could materially impact the entire business.</w:t>
            </w:r>
          </w:p>
        </w:tc>
      </w:tr>
    </w:tbl>
    <w:p>
      <w:pPr>
        <w:spacing w:after="0" w:before="100"/>
      </w:pPr>
      <w:r>
        <w:t xml:space="preserve"/>
      </w:r>
    </w:p>
    <w:p>
      <w:pPr>
        <w:pBdr>
          <w:bottom w:val="single" w:color="BDC3C7" w:sz="2" w:space="1"/>
        </w:pBdr>
        <w:spacing w:after="200" w:before="200"/>
      </w:pPr>
      <w:r>
        <w:t xml:space="preserve"/>
      </w:r>
    </w:p>
    <w:p>
      <w:pPr>
        <w:pStyle w:val="Heading1"/>
        <w:pBdr>
          <w:bottom w:val="single" w:color="D4AC0D" w:sz="8" w:space="6"/>
        </w:pBdr>
        <w:spacing w:after="120" w:before="400"/>
      </w:pPr>
      <w:r>
        <w:rPr>
          <w:rFonts w:ascii="Arial" w:cs="Arial" w:eastAsia="Arial" w:hAnsi="Arial"/>
          <w:b/>
          <w:bCs/>
          <w:color w:val="0D2B55"/>
          <w:sz w:val="30"/>
          <w:szCs w:val="30"/>
        </w:rPr>
        <w:t xml:space="preserve">Part 3 - EDA Key Findings and Final Recommendations</w:t>
      </w:r>
    </w:p>
    <w:p>
      <w:pPr>
        <w:pStyle w:val="Heading2"/>
        <w:spacing w:after="100" w:before="280"/>
      </w:pPr>
      <w:r>
        <w:rPr>
          <w:rFonts w:ascii="Arial" w:cs="Arial" w:eastAsia="Arial" w:hAnsi="Arial"/>
          <w:b/>
          <w:bCs/>
          <w:color w:val="1A5276"/>
          <w:sz w:val="26"/>
          <w:szCs w:val="26"/>
        </w:rPr>
        <w:t xml:space="preserve">3.1 - The Six Core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000"/>
        <w:gridCol w:w="2500"/>
        <w:gridCol w:w="27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Finding</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Source Section</w:t>
            </w:r>
          </w:p>
        </w:tc>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Number</w:t>
            </w:r>
          </w:p>
        </w:tc>
        <w:tc>
          <w:tcPr>
            <w:tcW w:type="dxa" w:w="2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Business Implication</w:t>
            </w:r>
          </w:p>
        </w:tc>
        <w:tc>
          <w:tcPr>
            <w:tcW w:type="dxa" w:w="27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Recommended Action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Data Quality is High</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Sections 0-1</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2.69% of cells missing; 0 duplicates; all ranges valid</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Missing values are structurally explained (walk-in = no delivery_days), not random errors. The dataset can be analysed with confidence.</w:t>
            </w:r>
          </w:p>
        </w:tc>
        <w:tc>
          <w:tcPr>
            <w:tcW w:type="dxa" w:w="2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Use category-specific median for customer_rating, 0 for walk-in delivery_days. Never use dropna() which would lose 68% of data.</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 Always Use Median for Revenue</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Section 2</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 N136,407 vs Median N36,079 (3.78x gap); skewness +4.77</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mean is 3.78x the median due to extreme right-skew. Reporting mean as typical transaction overstates customer spending by N100,000.</w:t>
            </w:r>
          </w:p>
        </w:tc>
        <w:tc>
          <w:tcPr>
            <w:tcW w:type="dxa" w:w="2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When presenting "typical customer spending" in reports, dashboards, or investor materials, always use the median N36,079. Never use mean N136,407.</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Transaction Count Misleads</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Sections 3-4</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Food &amp; Beverages: rank 1 by count, rank 5 by revenue; Computing: rank 7 by count, rank 1 by revenue</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 business that optimises for transaction volume would invest in Food &amp; Beverages and neglect Computing. This would maximise the wrong metric and dramatically underperform financially.</w:t>
            </w:r>
          </w:p>
        </w:tc>
        <w:tc>
          <w:tcPr>
            <w:tcW w:type="dxa" w:w="2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Always cross-reference transaction count with revenue, profit, and margin before any strategic decision. Build all performance dashboards with both count AND revenue metrics side by side.</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 18.7% Order Failure Rate</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Section 3</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840 transactions Cancelled (9.5%) or Returned (9.2%)</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840 transactions consumed logistics costs, customer service resources, and warehouse space without generating final revenue. Each failed transaction costs money. At average order value N36K, 840 failed orders represent N30M in potential lost revenue.</w:t>
            </w:r>
          </w:p>
        </w:tc>
        <w:tc>
          <w:tcPr>
            <w:tcW w:type="dxa" w:w="2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Electronics and Fashion &amp; Clothing (both 10% return rate) need improved product descriptions, size guides, and quality control. Target reducing to below 7% within 6 months.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 B2B Bulk Orders Are a Distinct Segment</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Section 7</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51 orders (1.1%) identified via Modified Z-score; all are 5-unit Computing/Electronics purchases</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These 51 customers are institutional buyers (corporate procurement, schools, government agencies) behaving fundamentally differently from retail customers. They should not be treated the same.</w:t>
            </w:r>
          </w:p>
        </w:tc>
        <w:tc>
          <w:tcPr>
            <w:tcW w:type="dxa" w:w="2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Create a dedicated B2B programme: bulk pricing, dedicated account managers, priority delivery SLAs, quarterly procurement agreements. Do NOT delete from dataset - these are the most valuable transactions.</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 Geographic Revenue Concentration</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Sections 3, 9</w:t>
            </w:r>
          </w:p>
        </w:tc>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Top 3 states likely represent 50%+ of revenue across 15 states</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 concentration in 3 states means a single logistics disruption (flooding in Lagos, civil unrest in Abuja) could dramatically impact overall business performance.</w:t>
            </w:r>
          </w:p>
        </w:tc>
        <w:tc>
          <w:tcPr>
            <w:tcW w:type="dxa" w:w="2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Actively develop mid-tier states: Ogun, Osun, Kwara, Borno. Invest in distribution infrastructure outside the top 3 cities. Geographic diversification reduces revenue risk.</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3.2 - EDA Tools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46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Tool</w:t>
            </w:r>
          </w:p>
        </w:tc>
        <w:tc>
          <w:tcPr>
            <w:tcW w:type="dxa" w:w="2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Syntax</w:t>
            </w:r>
          </w:p>
        </w:tc>
        <w:tc>
          <w:tcPr>
            <w:tcW w:type="dxa" w:w="5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Use This When</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pd.read_csv()</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 = pd.read_csv("file.csv")</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Loading any CSV file. The starting point of every EDA notebook.</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df.shape</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df.shape[0], df.shape[1]</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Checking how many rows and columns exist immediately after loading.</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df.dtypes</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df.dtypes.value_counts()</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Understanding what types of data you have: text, integers, decimals.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df.describe()</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df[cols].describe().round(2)</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Getting 8 statistics (count, mean, std, min, percentiles, max) for all numeric columns simultaneously.</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df.isnull().sum()</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missing = df.isnull().sum()</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Counting missing values per column.</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df.dropna().shape[0]</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df.dropna().shape[0]</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Showing the cost of row-deletion strategy for missing values.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pd.to_datetime()</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pd.to_datetime(df["date_col"])</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Converting text dates to datetime format to unlock .dt operations.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groupby transform</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df.groupby("cat")["col"].transform("median")</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Group-specific imputation that returns full-length Series for fillna().</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pd.cut()</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pd.cut(df["col"], bins=[], labels=[])</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Binning continuous values (like revenue) into discrete labelled categories.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Boolean indexing</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df[df["col"] == "value"]</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Filtering rows to a specific subset for targeted analysis.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groupby + agg()</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df.groupby("cat").agg(new=("src","func"))</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Computing multiple summary statistics per group simultaneously.</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pivot_table()</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df.pivot_table(values, index, columns, aggfunc)</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Creating cross-tabulation: two categorical dimensions x one metric.</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df.corr()</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df[cols].corr().round(3)</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Computing all pairwise correlations between numeric columns.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np.polyfit()</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np.polyfit(x, y, 1)</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Fitting a trend line to a scatter plot.</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sns.heatmap()</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sns.heatmap(corr, mask=np.triu(...), annot=True)</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Visualising correlation matrix with colour-coded cells.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boxplot()</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df.boxplot(column, by="category")</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Comparing distributions across groups showing median, spread, and outliers.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violinplot()</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axes.violinplot(data_list)</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Showing full distribution shape for multiple groups simultaneously.</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stats.mannwhitneyu()</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stats.mannwhitneyu(grp1, grp2, alternative="two-sided")</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Testing whether two groups are statistically different without normality assumption.</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stats.probplot()</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(osm,osr),(slope,intercept,r) = stats.probplot(log_data, dist="norm")</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Creating a QQ plot to check if log-transformed data is approximately normal.</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rolling()</w:t>
            </w:r>
          </w:p>
        </w:tc>
        <w:tc>
          <w:tcPr>
            <w:tcW w:type="dxa" w:w="2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series.rolling(window=3, center=True).mean()</w:t>
            </w:r>
          </w:p>
        </w:tc>
        <w:tc>
          <w:tcPr>
            <w:tcW w:type="dxa" w:w="5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Computing moving averages to smooth time series noise and reveal trends.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pct_change()</w:t>
            </w:r>
          </w:p>
        </w:tc>
        <w:tc>
          <w:tcPr>
            <w:tcW w:type="dxa" w:w="2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monthly["rev"].pct_change()*100</w:t>
            </w:r>
          </w:p>
        </w:tc>
        <w:tc>
          <w:tcPr>
            <w:tcW w:type="dxa" w:w="5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Computing month-over-month or period-over-period growth rates.</w:t>
            </w:r>
          </w:p>
        </w:tc>
      </w:tr>
    </w:tbl>
    <w:p>
      <w:pPr>
        <w:spacing w:after="0" w:before="200"/>
      </w:pPr>
      <w:r>
        <w:t xml:space="preserve"/>
      </w:r>
    </w:p>
    <w:p>
      <w:pPr>
        <w:spacing w:after="60" w:before="200"/>
        <w:jc w:val="center"/>
      </w:pPr>
      <w:r>
        <w:rPr>
          <w:rFonts w:ascii="Arial" w:cs="Arial" w:eastAsia="Arial" w:hAnsi="Arial"/>
          <w:b/>
          <w:bCs/>
          <w:color w:val="0D2B55"/>
          <w:sz w:val="20"/>
          <w:szCs w:val="20"/>
        </w:rPr>
        <w:t xml:space="preserve">EXPLORATORY DATA ANALYSIS - COMPLETE MASTERCLASS TEACHING NOTES</w:t>
      </w:r>
    </w:p>
    <w:p>
      <w:pPr>
        <w:spacing w:after="60" w:before="0"/>
        <w:jc w:val="center"/>
      </w:pPr>
      <w:r>
        <w:rPr>
          <w:rFonts w:ascii="Arial" w:cs="Arial" w:eastAsia="Arial" w:hAnsi="Arial"/>
          <w:color w:val="BDC3C7"/>
          <w:sz w:val="18"/>
          <w:szCs w:val="18"/>
        </w:rPr>
        <w:t xml:space="preserve">Trainer: Kajola Gbenga Adewale | Prodigy Training Hub | Zedcrest Capital Data Analyst Training Programme | 2026</w:t>
      </w:r>
    </w:p>
    <w:p>
      <w:pPr>
        <w:spacing w:after="0" w:before="0"/>
        <w:jc w:val="center"/>
      </w:pPr>
      <w:r>
        <w:rPr>
          <w:rFonts w:ascii="Arial" w:cs="Arial" w:eastAsia="Arial" w:hAnsi="Arial"/>
          <w:color w:val="BDC3C7"/>
          <w:sz w:val="17"/>
          <w:szCs w:val="17"/>
        </w:rPr>
        <w:t xml:space="preserve">Dataset: nigeria_retail_eda.csv | Notebook: Nigeria_Retail_EDA_Masterclass.ipynb | All code verified and executed</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after="0" w:before="80"/>
    </w:pPr>
    <w:r>
      <w:rPr>
        <w:rFonts w:ascii="Arial" w:cs="Arial" w:eastAsia="Arial" w:hAnsi="Arial"/>
        <w:color w:val="BDC3C7"/>
        <w:sz w:val="16"/>
        <w:szCs w:val="16"/>
      </w:rPr>
      <w:t xml:space="preserve">Kajola Gbenga Adewale | Prodigy Training Hub | Zedcrest Capital | 2026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C0D" w:sz="3" w:space="4"/>
      </w:pBdr>
      <w:spacing w:after="100" w:before="0"/>
    </w:pPr>
    <w:r>
      <w:rPr>
        <w:rFonts w:ascii="Arial" w:cs="Arial" w:eastAsia="Arial" w:hAnsi="Arial"/>
        <w:color w:val="1A5276"/>
        <w:sz w:val="18"/>
        <w:szCs w:val="18"/>
      </w:rPr>
      <w:t xml:space="preserve">EDA Masterclass Teaching Notes | Nigeria Retail Intelligence Dataset | Zedcrest Capital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2B55"/>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E66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2026-06-15T11:43:31.537Z</dcterms:created>
  <dcterms:modified xsi:type="dcterms:W3CDTF">2026-06-15T11:43:31.550Z</dcterms:modified>
</cp:coreProperties>
</file>

<file path=docProps/custom.xml><?xml version="1.0" encoding="utf-8"?>
<Properties xmlns="http://schemas.openxmlformats.org/officeDocument/2006/custom-properties" xmlns:vt="http://schemas.openxmlformats.org/officeDocument/2006/docPropsVTypes"/>
</file>