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A6192E"/>
          <w:spacing w:val="20"/>
          <w:sz w:val="30"/>
          <w:szCs w:val="30"/>
        </w:rPr>
        <w:t xml:space="preserve">COCA-COLA NIGERIA LIMITED</w:t>
      </w:r>
    </w:p>
    <w:p>
      <w:pPr>
        <w:spacing w:after="200"/>
        <w:jc w:val="center"/>
      </w:pPr>
      <w:r>
        <w:rPr>
          <w:b/>
          <w:bCs/>
          <w:color w:val="1F2421"/>
          <w:sz w:val="44"/>
          <w:szCs w:val="44"/>
        </w:rPr>
        <w:t xml:space="preserve">Tableau Dashboard Building - Comprehensive Training Manual</w:t>
      </w:r>
    </w:p>
    <w:p>
      <w:pPr>
        <w:spacing w:after="60"/>
        <w:jc w:val="center"/>
      </w:pPr>
      <w:r>
        <w:rPr>
          <w:i/>
          <w:iCs/>
          <w:color w:val="5B6660"/>
          <w:sz w:val="22"/>
          <w:szCs w:val="22"/>
        </w:rPr>
        <w:t xml:space="preserve">Data Connection  •  Data Preparation  •  Worksheet Development  •  Dashboard Design  •  Interactivity</w:t>
      </w:r>
    </w:p>
    <w:p>
      <w:pPr>
        <w:spacing w:after="900"/>
        <w:jc w:val="center"/>
      </w:pPr>
      <w:r>
        <w:rPr>
          <w:color w:val="5B6660"/>
          <w:sz w:val="20"/>
          <w:szCs w:val="20"/>
        </w:rPr>
        <w:t xml:space="preserve">A Cross-Departmental Case Study Covering Operations, Legal, Supply Chain, Admin, Customer Service, IT, Accounts and Finance, Human Resources, Internal Control, and Risk Management and Compliance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A6192E" w:val="clear"/>
            <w:tcMar>
              <w:top w:type="dxa" w:w="120"/>
              <w:left w:type="dxa" w:w="160"/>
              <w:bottom w:type="dxa" w:w="120"/>
              <w:right w:type="dxa" w:w="160"/>
            </w:tcMar>
          </w:tcPr>
          <w:p>
            <w:pPr>
              <w:spacing w:after="60"/>
            </w:pPr>
            <w:r>
              <w:rPr>
                <w:b/>
                <w:bCs/>
                <w:color w:val="FFFFFF"/>
                <w:sz w:val="18"/>
                <w:szCs w:val="18"/>
              </w:rPr>
              <w:t xml:space="preserve">PROBLEMS → SOLUTIONS → FULLY BUILT DASHBOARDS</w:t>
            </w:r>
          </w:p>
          <w:p>
            <w:r>
              <w:rPr>
                <w:color w:val="FFFFFF"/>
                <w:sz w:val="19"/>
                <w:szCs w:val="19"/>
              </w:rPr>
              <w:t xml:space="preserve">This manual documents every business problem faced by each Coca-Cola Nigeria Limited department, the exact data-preparation and calculated-field solution for each problem, and the complete Tableau build - from the first data connection through to a fully interactive, multi-page dashboard.</w:t>
            </w:r>
          </w:p>
        </w:tc>
      </w:tr>
    </w:tbl>
    <w:p>
      <w:pPr>
        <w:spacing w:after="700"/>
      </w:pPr>
    </w:p>
    <w:p>
      <w:pPr>
        <w:jc w:val="center"/>
      </w:pPr>
      <w:r>
        <w:rPr>
          <w:color w:val="5B6660"/>
          <w:sz w:val="20"/>
          <w:szCs w:val="20"/>
        </w:rPr>
        <w:t xml:space="preserve">Prepared by</w:t>
      </w:r>
    </w:p>
    <w:p>
      <w:pPr>
        <w:spacing w:after="0" w:before="60"/>
        <w:jc w:val="center"/>
      </w:pPr>
      <w:r>
        <w:rPr>
          <w:b/>
          <w:bCs/>
          <w:color w:val="A6192E"/>
          <w:sz w:val="30"/>
          <w:szCs w:val="30"/>
        </w:rPr>
        <w:t xml:space="preserve">Kajola Gbenga</w:t>
      </w:r>
    </w:p>
    <w:p>
      <w:pPr>
        <w:spacing w:before="40"/>
        <w:jc w:val="center"/>
      </w:pPr>
      <w:r>
        <w:rPr>
          <w:i/>
          <w:iCs/>
          <w:color w:val="1F2421"/>
          <w:sz w:val="22"/>
          <w:szCs w:val="22"/>
        </w:rPr>
        <w:t xml:space="preserve">Data Scientist &amp; AI Engineer</w:t>
      </w:r>
    </w:p>
    <w:p>
      <w:r>
        <w:br w:type="page"/>
      </w:r>
    </w:p>
    <w:p>
      <w:pPr>
        <w:pStyle w:val="Heading1"/>
        <w:pBdr>
          <w:bottom w:val="single" w:color="A6192E" w:sz="8" w:space="4"/>
        </w:pBdr>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A6192E" w:sz="8" w:space="4"/>
        </w:pBdr>
        <w:spacing w:after="200" w:before="360"/>
      </w:pPr>
      <w:r>
        <w:t xml:space="preserve">1. Introduction &amp; How To Use This Manual</w:t>
      </w:r>
    </w:p>
    <w:p>
      <w:pPr>
        <w:spacing w:after="160"/>
      </w:pPr>
      <w:r>
        <w:t xml:space="preserve">This manual is a comprehensive, hands-on training resource for building Tableau dashboards, structured around a fictional but realistic dataset modelled on Coca-Cola Nigeria Limited. It is designed to take a learner through the complete Tableau workflow - Data Connection, Data Preparation, Worksheet Development, Dashboard Design and Interactivity - while working with real cross-departmental business data covering ten functions: Operations, Legal, Supply Chain, Admin, Customer Service, Information Technology, Accounts and Finance, Human Resources, Internal Control, and Risk Management and Compliance.</w:t>
      </w:r>
    </w:p>
    <w:p>
      <w:pPr>
        <w:spacing w:after="160"/>
      </w:pPr>
      <w:r>
        <w:t xml:space="preserve">The companion Excel workbook, Coca-Cola_Nigeria_Training_Data.xlsx, contains 14 sheets: four master reference sheets (Employee Master, Department Master, Location Master, Product Master) and ten department fact sheets. Every department sheet is connected to the master sheets through shared key columns - EmployeeID, DeptCode, LocationID and ProductID - so that, in Tableau, the whole workbook behaves as a single connected data model rather than ten disconnected spreadsheets.</w:t>
      </w:r>
    </w:p>
    <w:p>
      <w:pPr>
        <w:spacing w:after="160"/>
      </w:pPr>
      <w:r>
        <w:t xml:space="preserve">Each department section in this manual follows the same structure:</w:t>
      </w:r>
    </w:p>
    <w:p>
      <w:pPr>
        <w:pStyle w:val="ListParagraph"/>
        <w:numPr>
          <w:ilvl w:val="0"/>
          <w:numId w:val="1"/>
        </w:numPr>
        <w:spacing w:after="90"/>
      </w:pPr>
      <w:r>
        <w:t xml:space="preserve">The business problems the department faced before a dashboard existed.</w:t>
      </w:r>
    </w:p>
    <w:p>
      <w:pPr>
        <w:pStyle w:val="ListParagraph"/>
        <w:numPr>
          <w:ilvl w:val="0"/>
          <w:numId w:val="1"/>
        </w:numPr>
        <w:spacing w:after="90"/>
      </w:pPr>
      <w:r>
        <w:t xml:space="preserve">A full explanation of every column in that department's data, including data type and the specific task to perform on it.</w:t>
      </w:r>
    </w:p>
    <w:p>
      <w:pPr>
        <w:pStyle w:val="ListParagraph"/>
        <w:numPr>
          <w:ilvl w:val="0"/>
          <w:numId w:val="1"/>
        </w:numPr>
        <w:spacing w:after="90"/>
      </w:pPr>
      <w:r>
        <w:t xml:space="preserve">The measures and calculated fields to build, with the exact Tableau formula solution.</w:t>
      </w:r>
    </w:p>
    <w:p>
      <w:pPr>
        <w:pStyle w:val="ListParagraph"/>
        <w:numPr>
          <w:ilvl w:val="0"/>
          <w:numId w:val="1"/>
        </w:numPr>
        <w:spacing w:after="90"/>
      </w:pPr>
      <w:r>
        <w:t xml:space="preserve">The relationship(s) to build back to the master sheets.</w:t>
      </w:r>
    </w:p>
    <w:p>
      <w:pPr>
        <w:pStyle w:val="ListParagraph"/>
        <w:numPr>
          <w:ilvl w:val="0"/>
          <w:numId w:val="1"/>
        </w:numPr>
        <w:spacing w:after="90"/>
      </w:pPr>
      <w:r>
        <w:t xml:space="preserve">The KPIs to design, each with its formula, chart type and the business question it answers.</w:t>
      </w:r>
    </w:p>
    <w:p>
      <w:pPr>
        <w:pStyle w:val="ListParagraph"/>
        <w:numPr>
          <w:ilvl w:val="0"/>
          <w:numId w:val="1"/>
        </w:numPr>
        <w:spacing w:after="90"/>
      </w:pPr>
      <w:r>
        <w:t xml:space="preserve">The charts to build for the department's dashboard.</w:t>
      </w:r>
    </w:p>
    <w:p>
      <w:pPr>
        <w:pStyle w:val="ListParagraph"/>
        <w:numPr>
          <w:ilvl w:val="0"/>
          <w:numId w:val="1"/>
        </w:numPr>
        <w:spacing w:after="90"/>
      </w:pPr>
      <w:r>
        <w:t xml:space="preserve">The exact dashboard title and a description of how the finished dashboard should look and behave.</w:t>
      </w:r>
    </w:p>
    <w:p>
      <w:pPr>
        <w:spacing w:after="160"/>
      </w:pPr>
      <w:r>
        <w:t xml:space="preserve">All names, transactions, cases, tickets, financial figures and risk entries in the accompanying dataset are synthetic and generated for training purposes only. They do not represent real Coca-Cola Nigeria Limited employees, records or results.</w:t>
      </w:r>
    </w:p>
    <w:p>
      <w:pPr>
        <w:pStyle w:val="Heading1"/>
        <w:pBdr>
          <w:bottom w:val="single" w:color="A6192E" w:sz="8" w:space="4"/>
        </w:pBdr>
        <w:spacing w:after="200" w:before="360"/>
      </w:pPr>
      <w:r>
        <w:t xml:space="preserve">2. Data Model Overview - The Four Master Sheets</w:t>
      </w:r>
    </w:p>
    <w:p>
      <w:pPr>
        <w:spacing w:after="160"/>
      </w:pPr>
      <w:r>
        <w:t xml:space="preserve">Before opening Tableau, it is essential to understand how the data model fits together. The four master sheets below are the reference backbone: every department sheet links to one or more of them using the bold key column shown in each table.</w:t>
      </w:r>
    </w:p>
    <w:p>
      <w:pPr>
        <w:pStyle w:val="Heading2"/>
        <w:spacing w:after="140" w:before="280"/>
      </w:pPr>
      <w:r>
        <w:t xml:space="preserve">Employee Master</w:t>
      </w:r>
    </w:p>
    <w:p>
      <w:pPr>
        <w:spacing w:after="160"/>
      </w:pPr>
      <w:r>
        <w:t xml:space="preserve">The people dimension. Every EmployeeID used across the other nine department sheets (as a supervisor, approver, ticket owner, auditor, risk owner, etc.) is defined once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200"/>
        <w:gridCol w:w="2750"/>
      </w:tblGrid>
      <w:tr>
        <w:trPr>
          <w:tblHeader/>
        </w:trPr>
        <w:tc>
          <w:tcPr>
            <w:tcW w:type="dxa" w:w="170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70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32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2750"/>
            <w:shd w:fill="A6192E" w:val="clear"/>
            <w:tcMar>
              <w:top w:type="dxa" w:w="60"/>
              <w:left w:type="dxa" w:w="80"/>
              <w:bottom w:type="dxa" w:w="60"/>
              <w:right w:type="dxa" w:w="80"/>
            </w:tcMar>
            <w:vAlign w:val="center"/>
          </w:tcPr>
          <w:p>
            <w:pPr>
              <w:spacing w:after="0"/>
            </w:pPr>
            <w:r>
              <w:rPr>
                <w:b/>
                <w:bCs/>
                <w:color w:val="FFFFFF"/>
                <w:sz w:val="18"/>
                <w:szCs w:val="18"/>
              </w:rPr>
              <w:t xml:space="preserve">Task in Tableau</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EmployeeID</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3200"/>
            <w:tcMar>
              <w:top w:type="dxa" w:w="60"/>
              <w:left w:type="dxa" w:w="80"/>
              <w:bottom w:type="dxa" w:w="60"/>
              <w:right w:type="dxa" w:w="80"/>
            </w:tcMar>
            <w:vAlign w:val="center"/>
          </w:tcPr>
          <w:p>
            <w:pPr>
              <w:spacing w:after="0"/>
            </w:pPr>
            <w:r>
              <w:rPr>
                <w:b w:val="false"/>
                <w:bCs w:val="false"/>
                <w:sz w:val="18"/>
                <w:szCs w:val="18"/>
              </w:rPr>
              <w:t xml:space="preserve">Unique staff identifier, format EMP0001.</w:t>
            </w:r>
          </w:p>
        </w:tc>
        <w:tc>
          <w:tcPr>
            <w:tcW w:type="dxa" w:w="2750"/>
            <w:tcMar>
              <w:top w:type="dxa" w:w="60"/>
              <w:left w:type="dxa" w:w="80"/>
              <w:bottom w:type="dxa" w:w="60"/>
              <w:right w:type="dxa" w:w="80"/>
            </w:tcMar>
            <w:vAlign w:val="center"/>
          </w:tcPr>
          <w:p>
            <w:pPr>
              <w:spacing w:after="0"/>
            </w:pPr>
            <w:r>
              <w:rPr>
                <w:b w:val="false"/>
                <w:bCs w:val="false"/>
                <w:sz w:val="18"/>
                <w:szCs w:val="18"/>
              </w:rPr>
              <w:t xml:space="preserve">Set as a Text data type in Tableau (not a number), otherwise leading zeros are lost. Confirm there are no duplicate IDs.</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FullName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Employee's full name.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Check for blank or inconsistent spacing/capitalisation; trim if needed.</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3-letter code linking the employee to a department.</w:t>
            </w:r>
          </w:p>
        </w:tc>
        <w:tc>
          <w:tcPr>
            <w:tcW w:type="dxa" w:w="2750"/>
            <w:tcMar>
              <w:top w:type="dxa" w:w="60"/>
              <w:left w:type="dxa" w:w="80"/>
              <w:bottom w:type="dxa" w:w="60"/>
              <w:right w:type="dxa" w:w="80"/>
            </w:tcMar>
            <w:vAlign w:val="center"/>
          </w:tcPr>
          <w:p>
            <w:pPr>
              <w:spacing w:after="0"/>
            </w:pPr>
            <w:r>
              <w:rPr>
                <w:b w:val="false"/>
                <w:bCs w:val="false"/>
                <w:sz w:val="18"/>
                <w:szCs w:val="18"/>
              </w:rPr>
              <w:t xml:space="preserve">Validate every value exists in Department Master; use this field to build the relationship to department-level sheets.</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Department</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Full department name (descriptive copy of DeptCode).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as the human-readable label on filters/legends instead of the raw code.</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Site where the employee is based.</w:t>
            </w:r>
          </w:p>
        </w:tc>
        <w:tc>
          <w:tcPr>
            <w:tcW w:type="dxa" w:w="2750"/>
            <w:tcMar>
              <w:top w:type="dxa" w:w="60"/>
              <w:left w:type="dxa" w:w="80"/>
              <w:bottom w:type="dxa" w:w="60"/>
              <w:right w:type="dxa" w:w="80"/>
            </w:tcMar>
            <w:vAlign w:val="center"/>
          </w:tcPr>
          <w:p>
            <w:pPr>
              <w:spacing w:after="0"/>
            </w:pPr>
            <w:r>
              <w:rPr>
                <w:b w:val="false"/>
                <w:bCs w:val="false"/>
                <w:sz w:val="18"/>
                <w:szCs w:val="18"/>
              </w:rPr>
              <w:t xml:space="preserve">Validate against Location Master; use to build a Region/State geographic hierarchy.</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LocationName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Descriptive site name.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for tooltips and map labels.</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Grade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 (ordinal)</w:t>
            </w:r>
          </w:p>
        </w:tc>
        <w:tc>
          <w:tcPr>
            <w:tcW w:type="dxa" w:w="3200"/>
            <w:tcMar>
              <w:top w:type="dxa" w:w="60"/>
              <w:left w:type="dxa" w:w="80"/>
              <w:bottom w:type="dxa" w:w="60"/>
              <w:right w:type="dxa" w:w="80"/>
            </w:tcMar>
            <w:vAlign w:val="center"/>
          </w:tcPr>
          <w:p>
            <w:pPr>
              <w:spacing w:after="0"/>
            </w:pPr>
            <w:r>
              <w:rPr>
                <w:b w:val="false"/>
                <w:bCs w:val="false"/>
                <w:sz w:val="18"/>
                <w:szCs w:val="18"/>
              </w:rPr>
              <w:t xml:space="preserve">Job grade/band.</w:t>
            </w:r>
          </w:p>
        </w:tc>
        <w:tc>
          <w:tcPr>
            <w:tcW w:type="dxa" w:w="2750"/>
            <w:tcMar>
              <w:top w:type="dxa" w:w="60"/>
              <w:left w:type="dxa" w:w="80"/>
              <w:bottom w:type="dxa" w:w="60"/>
              <w:right w:type="dxa" w:w="80"/>
            </w:tcMar>
            <w:vAlign w:val="center"/>
          </w:tcPr>
          <w:p>
            <w:pPr>
              <w:spacing w:after="0"/>
            </w:pPr>
            <w:r>
              <w:rPr>
                <w:b w:val="false"/>
                <w:bCs w:val="false"/>
                <w:sz w:val="18"/>
                <w:szCs w:val="18"/>
              </w:rPr>
              <w:t xml:space="preserve">Create a custom sort order (Officer to Head of Section) since alphabetical sort is meaningless here.</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Gender</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Male/Female.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only for lawful, aggregate workforce-diversity reporting; never publish at individual level.</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HireDate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Date</w:t>
            </w:r>
          </w:p>
        </w:tc>
        <w:tc>
          <w:tcPr>
            <w:tcW w:type="dxa" w:w="3200"/>
            <w:tcMar>
              <w:top w:type="dxa" w:w="60"/>
              <w:left w:type="dxa" w:w="80"/>
              <w:bottom w:type="dxa" w:w="60"/>
              <w:right w:type="dxa" w:w="80"/>
            </w:tcMar>
            <w:vAlign w:val="center"/>
          </w:tcPr>
          <w:p>
            <w:pPr>
              <w:spacing w:after="0"/>
            </w:pPr>
            <w:r>
              <w:rPr>
                <w:b w:val="false"/>
                <w:bCs w:val="false"/>
                <w:sz w:val="18"/>
                <w:szCs w:val="18"/>
              </w:rPr>
              <w:t xml:space="preserve">Date the employee joined.</w:t>
            </w:r>
          </w:p>
        </w:tc>
        <w:tc>
          <w:tcPr>
            <w:tcW w:type="dxa" w:w="2750"/>
            <w:tcMar>
              <w:top w:type="dxa" w:w="60"/>
              <w:left w:type="dxa" w:w="80"/>
              <w:bottom w:type="dxa" w:w="60"/>
              <w:right w:type="dxa" w:w="80"/>
            </w:tcMar>
            <w:vAlign w:val="center"/>
          </w:tcPr>
          <w:p>
            <w:pPr>
              <w:spacing w:after="0"/>
            </w:pPr>
            <w:r>
              <w:rPr>
                <w:b w:val="false"/>
                <w:bCs w:val="false"/>
                <w:sz w:val="18"/>
                <w:szCs w:val="18"/>
              </w:rPr>
              <w:t xml:space="preserve">Create calculated fields for Tenure (DATEDIFF in years from HireDate to TODAY()) and Hire Year for cohort analysis.</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EmploymentStatus</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Active or Exited.</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as a Boolean-style filter; combine with HireDate to compute attrition by year.</w:t>
            </w:r>
          </w:p>
        </w:tc>
      </w:tr>
    </w:tbl>
    <w:p>
      <w:pPr>
        <w:spacing w:after="120"/>
      </w:pPr>
    </w:p>
    <w:p>
      <w:pPr>
        <w:pStyle w:val="Heading2"/>
        <w:spacing w:after="140" w:before="280"/>
      </w:pPr>
      <w:r>
        <w:t xml:space="preserve">Department Master</w:t>
      </w:r>
    </w:p>
    <w:p>
      <w:pPr>
        <w:spacing w:after="160"/>
      </w:pPr>
      <w:r>
        <w:t xml:space="preserve">The department dimension: one row per department, used to label DeptCode everywhere else and to hold department-level headcount.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200"/>
        <w:gridCol w:w="2750"/>
      </w:tblGrid>
      <w:tr>
        <w:trPr>
          <w:tblHeader/>
        </w:trPr>
        <w:tc>
          <w:tcPr>
            <w:tcW w:type="dxa" w:w="170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70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32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2750"/>
            <w:shd w:fill="A6192E" w:val="clear"/>
            <w:tcMar>
              <w:top w:type="dxa" w:w="60"/>
              <w:left w:type="dxa" w:w="80"/>
              <w:bottom w:type="dxa" w:w="60"/>
              <w:right w:type="dxa" w:w="80"/>
            </w:tcMar>
            <w:vAlign w:val="center"/>
          </w:tcPr>
          <w:p>
            <w:pPr>
              <w:spacing w:after="0"/>
            </w:pPr>
            <w:r>
              <w:rPr>
                <w:b/>
                <w:bCs/>
                <w:color w:val="FFFFFF"/>
                <w:sz w:val="18"/>
                <w:szCs w:val="18"/>
              </w:rPr>
              <w:t xml:space="preserve">Task in Tableau</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3200"/>
            <w:tcMar>
              <w:top w:type="dxa" w:w="60"/>
              <w:left w:type="dxa" w:w="80"/>
              <w:bottom w:type="dxa" w:w="60"/>
              <w:right w:type="dxa" w:w="80"/>
            </w:tcMar>
            <w:vAlign w:val="center"/>
          </w:tcPr>
          <w:p>
            <w:pPr>
              <w:spacing w:after="0"/>
            </w:pPr>
            <w:r>
              <w:rPr>
                <w:b w:val="false"/>
                <w:bCs w:val="false"/>
                <w:sz w:val="18"/>
                <w:szCs w:val="18"/>
              </w:rPr>
              <w:t xml:space="preserve">3-letter department code (OPS, LEG, SCM, ADM, CS, IT, FIN, HR, IC, RMC).</w:t>
            </w:r>
          </w:p>
        </w:tc>
        <w:tc>
          <w:tcPr>
            <w:tcW w:type="dxa" w:w="2750"/>
            <w:tcMar>
              <w:top w:type="dxa" w:w="60"/>
              <w:left w:type="dxa" w:w="80"/>
              <w:bottom w:type="dxa" w:w="60"/>
              <w:right w:type="dxa" w:w="80"/>
            </w:tcMar>
            <w:vAlign w:val="center"/>
          </w:tcPr>
          <w:p>
            <w:pPr>
              <w:spacing w:after="0"/>
            </w:pPr>
            <w:r>
              <w:rPr>
                <w:b w:val="false"/>
                <w:bCs w:val="false"/>
                <w:sz w:val="18"/>
                <w:szCs w:val="18"/>
              </w:rPr>
              <w:t xml:space="preserve">Relationship key to every fact sheet's DeptCode column.</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Department Name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Full department name.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as the display label instead of the code in all visuals.</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Department Head Title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Title of the department's senior officer.</w:t>
            </w:r>
          </w:p>
        </w:tc>
        <w:tc>
          <w:tcPr>
            <w:tcW w:type="dxa" w:w="2750"/>
            <w:tcMar>
              <w:top w:type="dxa" w:w="60"/>
              <w:left w:type="dxa" w:w="80"/>
              <w:bottom w:type="dxa" w:w="60"/>
              <w:right w:type="dxa" w:w="80"/>
            </w:tcMar>
            <w:vAlign w:val="center"/>
          </w:tcPr>
          <w:p>
            <w:pPr>
              <w:spacing w:after="0"/>
            </w:pPr>
            <w:r>
              <w:rPr>
                <w:b w:val="false"/>
                <w:bCs w:val="false"/>
                <w:sz w:val="18"/>
                <w:szCs w:val="18"/>
              </w:rPr>
              <w:t xml:space="preserve">Optional reference field for dashboard subtitles/context.</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Headcount (Active)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Number</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Count of active employees in the department (pre-aggregated).</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Cross-check this static figure against a live COUNTD of Employee Master filtered to Active, to teach validation of pre-aggregated reference numbers.</w:t>
            </w:r>
          </w:p>
        </w:tc>
      </w:tr>
    </w:tbl>
    <w:p>
      <w:pPr>
        <w:spacing w:after="120"/>
      </w:pPr>
    </w:p>
    <w:p>
      <w:pPr>
        <w:pStyle w:val="Heading2"/>
        <w:spacing w:after="140" w:before="280"/>
      </w:pPr>
      <w:r>
        <w:t xml:space="preserve">Location Master</w:t>
      </w:r>
    </w:p>
    <w:p>
      <w:pPr>
        <w:spacing w:after="160"/>
      </w:pPr>
      <w:r>
        <w:t xml:space="preserve">The geography dimension: Coca-Cola Nigeria's 8 factories, offices and depots.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200"/>
        <w:gridCol w:w="2750"/>
      </w:tblGrid>
      <w:tr>
        <w:trPr>
          <w:tblHeader/>
        </w:trPr>
        <w:tc>
          <w:tcPr>
            <w:tcW w:type="dxa" w:w="170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70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32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2750"/>
            <w:shd w:fill="A6192E" w:val="clear"/>
            <w:tcMar>
              <w:top w:type="dxa" w:w="60"/>
              <w:left w:type="dxa" w:w="80"/>
              <w:bottom w:type="dxa" w:w="60"/>
              <w:right w:type="dxa" w:w="80"/>
            </w:tcMar>
            <w:vAlign w:val="center"/>
          </w:tcPr>
          <w:p>
            <w:pPr>
              <w:spacing w:after="0"/>
            </w:pPr>
            <w:r>
              <w:rPr>
                <w:b/>
                <w:bCs/>
                <w:color w:val="FFFFFF"/>
                <w:sz w:val="18"/>
                <w:szCs w:val="18"/>
              </w:rPr>
              <w:t xml:space="preserve">Task in Tableau</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3200"/>
            <w:tcMar>
              <w:top w:type="dxa" w:w="60"/>
              <w:left w:type="dxa" w:w="80"/>
              <w:bottom w:type="dxa" w:w="60"/>
              <w:right w:type="dxa" w:w="80"/>
            </w:tcMar>
            <w:vAlign w:val="center"/>
          </w:tcPr>
          <w:p>
            <w:pPr>
              <w:spacing w:after="0"/>
            </w:pPr>
            <w:r>
              <w:rPr>
                <w:b w:val="false"/>
                <w:bCs w:val="false"/>
                <w:sz w:val="18"/>
                <w:szCs w:val="18"/>
              </w:rPr>
              <w:t xml:space="preserve">Site code LOC01-LOC08.</w:t>
            </w:r>
          </w:p>
        </w:tc>
        <w:tc>
          <w:tcPr>
            <w:tcW w:type="dxa" w:w="2750"/>
            <w:tcMar>
              <w:top w:type="dxa" w:w="60"/>
              <w:left w:type="dxa" w:w="80"/>
              <w:bottom w:type="dxa" w:w="60"/>
              <w:right w:type="dxa" w:w="80"/>
            </w:tcMar>
            <w:vAlign w:val="center"/>
          </w:tcPr>
          <w:p>
            <w:pPr>
              <w:spacing w:after="0"/>
            </w:pPr>
            <w:r>
              <w:rPr>
                <w:b w:val="false"/>
                <w:bCs w:val="false"/>
                <w:sz w:val="18"/>
                <w:szCs w:val="18"/>
              </w:rPr>
              <w:t xml:space="preserve">Relationship key to every fact sheet's LocationID column.</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Location Name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Descriptive site name.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as map/legend label.</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Region</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Geopolitical zone (e.g. South West, North Central).</w:t>
            </w:r>
          </w:p>
        </w:tc>
        <w:tc>
          <w:tcPr>
            <w:tcW w:type="dxa" w:w="2750"/>
            <w:tcMar>
              <w:top w:type="dxa" w:w="60"/>
              <w:left w:type="dxa" w:w="80"/>
              <w:bottom w:type="dxa" w:w="60"/>
              <w:right w:type="dxa" w:w="80"/>
            </w:tcMar>
            <w:vAlign w:val="center"/>
          </w:tcPr>
          <w:p>
            <w:pPr>
              <w:spacing w:after="0"/>
            </w:pPr>
            <w:r>
              <w:rPr>
                <w:b w:val="false"/>
                <w:bCs w:val="false"/>
                <w:sz w:val="18"/>
                <w:szCs w:val="18"/>
              </w:rPr>
              <w:t xml:space="preserve">Build a geographic hierarchy Region &gt; State &gt; Location Name for drill-down maps.</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State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Nigerian state.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Assign a Geographic Role of 'State/Province' if you want native Tableau mapping; otherwise use as a filter only since these are fictional coordinates.</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Site Type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Factory, Depot or Office.</w:t>
            </w:r>
          </w:p>
        </w:tc>
        <w:tc>
          <w:tcPr>
            <w:tcW w:type="dxa" w:w="2750"/>
            <w:tcMar>
              <w:top w:type="dxa" w:w="60"/>
              <w:left w:type="dxa" w:w="80"/>
              <w:bottom w:type="dxa" w:w="60"/>
              <w:right w:type="dxa" w:w="80"/>
            </w:tcMar>
            <w:vAlign w:val="center"/>
          </w:tcPr>
          <w:p>
            <w:pPr>
              <w:spacing w:after="0"/>
            </w:pPr>
            <w:r>
              <w:rPr>
                <w:b w:val="false"/>
                <w:bCs w:val="false"/>
                <w:sz w:val="18"/>
                <w:szCs w:val="18"/>
              </w:rPr>
              <w:t xml:space="preserve">Use to filter Operations analysis to factories only, and Admin/Legal analysis across all site types.</w:t>
            </w:r>
          </w:p>
        </w:tc>
      </w:tr>
    </w:tbl>
    <w:p>
      <w:pPr>
        <w:spacing w:after="120"/>
      </w:pPr>
    </w:p>
    <w:p>
      <w:pPr>
        <w:pStyle w:val="Heading2"/>
        <w:spacing w:after="140" w:before="280"/>
      </w:pPr>
      <w:r>
        <w:t xml:space="preserve">Product Master</w:t>
      </w:r>
    </w:p>
    <w:p>
      <w:pPr>
        <w:spacing w:after="160"/>
      </w:pPr>
      <w:r>
        <w:t xml:space="preserve">The product dimension: 8 flagship Coca-Cola Nigeria brands referenced by Operations, Supply Chain, Customer Service and Finance.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200"/>
        <w:gridCol w:w="2750"/>
      </w:tblGrid>
      <w:tr>
        <w:trPr>
          <w:tblHeader/>
        </w:trPr>
        <w:tc>
          <w:tcPr>
            <w:tcW w:type="dxa" w:w="170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70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32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2750"/>
            <w:shd w:fill="A6192E" w:val="clear"/>
            <w:tcMar>
              <w:top w:type="dxa" w:w="60"/>
              <w:left w:type="dxa" w:w="80"/>
              <w:bottom w:type="dxa" w:w="60"/>
              <w:right w:type="dxa" w:w="80"/>
            </w:tcMar>
            <w:vAlign w:val="center"/>
          </w:tcPr>
          <w:p>
            <w:pPr>
              <w:spacing w:after="0"/>
            </w:pPr>
            <w:r>
              <w:rPr>
                <w:b/>
                <w:bCs/>
                <w:color w:val="FFFFFF"/>
                <w:sz w:val="18"/>
                <w:szCs w:val="18"/>
              </w:rPr>
              <w:t xml:space="preserve">Task in Tableau</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ProductID</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3200"/>
            <w:tcMar>
              <w:top w:type="dxa" w:w="60"/>
              <w:left w:type="dxa" w:w="80"/>
              <w:bottom w:type="dxa" w:w="60"/>
              <w:right w:type="dxa" w:w="80"/>
            </w:tcMar>
            <w:vAlign w:val="center"/>
          </w:tcPr>
          <w:p>
            <w:pPr>
              <w:spacing w:after="0"/>
            </w:pPr>
            <w:r>
              <w:rPr>
                <w:b w:val="false"/>
                <w:bCs w:val="false"/>
                <w:sz w:val="18"/>
                <w:szCs w:val="18"/>
              </w:rPr>
              <w:t xml:space="preserve">Product code P01-P08.</w:t>
            </w:r>
          </w:p>
        </w:tc>
        <w:tc>
          <w:tcPr>
            <w:tcW w:type="dxa" w:w="2750"/>
            <w:tcMar>
              <w:top w:type="dxa" w:w="60"/>
              <w:left w:type="dxa" w:w="80"/>
              <w:bottom w:type="dxa" w:w="60"/>
              <w:right w:type="dxa" w:w="80"/>
            </w:tcMar>
            <w:vAlign w:val="center"/>
          </w:tcPr>
          <w:p>
            <w:pPr>
              <w:spacing w:after="0"/>
            </w:pPr>
            <w:r>
              <w:rPr>
                <w:b w:val="false"/>
                <w:bCs w:val="false"/>
                <w:sz w:val="18"/>
                <w:szCs w:val="18"/>
              </w:rPr>
              <w:t xml:space="preserve">Relationship key to every fact sheet's ProductID column.</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Product Name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Brand name (Coca-Cola Original, Fanta Orange, Sprite, etc.).</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as the display label; group into a 'Category' hierarchy below it.</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Category</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Product category (Sparkling Soft Drinks, Juices, Water, Energy Drinks).</w:t>
            </w:r>
          </w:p>
        </w:tc>
        <w:tc>
          <w:tcPr>
            <w:tcW w:type="dxa" w:w="2750"/>
            <w:tcMar>
              <w:top w:type="dxa" w:w="60"/>
              <w:left w:type="dxa" w:w="80"/>
              <w:bottom w:type="dxa" w:w="60"/>
              <w:right w:type="dxa" w:w="80"/>
            </w:tcMar>
            <w:vAlign w:val="center"/>
          </w:tcPr>
          <w:p>
            <w:pPr>
              <w:spacing w:after="0"/>
            </w:pPr>
            <w:r>
              <w:rPr>
                <w:b w:val="false"/>
                <w:bCs w:val="false"/>
                <w:sz w:val="18"/>
                <w:szCs w:val="18"/>
              </w:rPr>
              <w:t xml:space="preserve">Build a Product Name &gt; Category hierarchy for drill-down bar charts.</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Unit of Measure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Carton, Crate or Pack.</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in axis/tooltip labelling so KPI cards read correctly, e.g. 'Cartons Produced'.</w:t>
            </w:r>
          </w:p>
        </w:tc>
      </w:tr>
    </w:tbl>
    <w:p>
      <w:pPr>
        <w:spacing w:after="120"/>
      </w:pPr>
    </w:p>
    <w:p>
      <w:r>
        <w:br w:type="page"/>
      </w:r>
    </w:p>
    <w:p>
      <w:pPr>
        <w:pStyle w:val="Heading1"/>
        <w:pBdr>
          <w:bottom w:val="single" w:color="A6192E" w:sz="8" w:space="4"/>
        </w:pBdr>
        <w:spacing w:after="200" w:before="360"/>
      </w:pPr>
      <w:r>
        <w:t xml:space="preserve">3. The Complete Tableau Build Process</w:t>
      </w:r>
    </w:p>
    <w:p>
      <w:pPr>
        <w:spacing w:after="160"/>
      </w:pPr>
      <w:r>
        <w:t xml:space="preserve">This process is applied consistently across all ten departments. Read it once here; each department section that follows references these five stages rather than repeating the general instructions.</w:t>
      </w:r>
    </w:p>
    <w:p>
      <w:pPr>
        <w:pStyle w:val="Heading2"/>
        <w:spacing w:after="140" w:before="280"/>
      </w:pPr>
      <w:r>
        <w:t xml:space="preserve">Step 1: Data Connection</w:t>
      </w:r>
    </w:p>
    <w:p>
      <w:pPr>
        <w:pStyle w:val="ListParagraph"/>
        <w:numPr>
          <w:ilvl w:val="0"/>
          <w:numId w:val="2"/>
        </w:numPr>
        <w:spacing w:after="90"/>
      </w:pPr>
      <w:r>
        <w:t xml:space="preserve">Open Tableau Desktop (or Tableau Public) and choose 'Microsoft Excel' as the connector, then browse to Coca-Cola_Nigeria_Training_Data.xlsx.</w:t>
      </w:r>
    </w:p>
    <w:p>
      <w:pPr>
        <w:pStyle w:val="ListParagraph"/>
        <w:numPr>
          <w:ilvl w:val="0"/>
          <w:numId w:val="2"/>
        </w:numPr>
        <w:spacing w:after="90"/>
      </w:pPr>
      <w:r>
        <w:t xml:space="preserve">All 14 department and master sheets will appear on the left as separate tables. Drag the 4 master sheets (Employee Master, Department Master, Location Master, Product Master) onto the canvas first.</w:t>
      </w:r>
    </w:p>
    <w:p>
      <w:pPr>
        <w:pStyle w:val="ListParagraph"/>
        <w:numPr>
          <w:ilvl w:val="0"/>
          <w:numId w:val="2"/>
        </w:numPr>
        <w:spacing w:after="90"/>
      </w:pPr>
      <w:r>
        <w:t xml:space="preserve">Drag each of the 10 department sheets onto the canvas one at a time. Tableau will prompt you to define how each new table relates to the ones already on the canvas - this is where the shared keys (EmployeeID, DeptCode, LocationID, ProductID) are used.</w:t>
      </w:r>
    </w:p>
    <w:p>
      <w:pPr>
        <w:pStyle w:val="ListParagraph"/>
        <w:numPr>
          <w:ilvl w:val="0"/>
          <w:numId w:val="2"/>
        </w:numPr>
        <w:spacing w:after="90"/>
      </w:pPr>
      <w:r>
        <w:t xml:space="preserve">Use Tableau's Relationships (the default in modern Tableau), not physical Joins, so that each department sheet keeps its own native level of detail (e.g. one row per production run, one row per ticket) while still being able to bring in descriptive fields from the master sheets.</w:t>
      </w:r>
    </w:p>
    <w:p>
      <w:pPr>
        <w:pStyle w:val="ListParagraph"/>
        <w:numPr>
          <w:ilvl w:val="0"/>
          <w:numId w:val="2"/>
        </w:numPr>
        <w:spacing w:after="90"/>
      </w:pPr>
      <w:r>
        <w:t xml:space="preserve">For each relationship, click the linking line and confirm the correct field pairing, e.g. Operations.LocationID = Location Master.LocationID, Operations.ProductID = Product Master.ProductID, Operations.SupervisorEmployeeID = Employee Master.EmployeeID.</w:t>
      </w:r>
    </w:p>
    <w:p>
      <w:pPr>
        <w:pStyle w:val="ListParagraph"/>
        <w:numPr>
          <w:ilvl w:val="0"/>
          <w:numId w:val="2"/>
        </w:numPr>
        <w:spacing w:after="90"/>
      </w:pPr>
      <w:r>
        <w:t xml:space="preserve">Decide between a Live connection (queries the Excel file every time - fine for training since the file is small) and an Extract (a compressed Tableau snapshot - faster and recommended once the model is finalised).</w:t>
      </w:r>
    </w:p>
    <w:p>
      <w:pPr>
        <w:pStyle w:val="ListParagraph"/>
        <w:numPr>
          <w:ilvl w:val="0"/>
          <w:numId w:val="2"/>
        </w:numPr>
        <w:spacing w:after="90"/>
      </w:pPr>
      <w:r>
        <w:t xml:space="preserve">Rename the data source to something meaningful, e.g. 'Coca-Cola Nigeria - Cross Departmental Model', before moving to the sheets.</w:t>
      </w:r>
    </w:p>
    <w:p>
      <w:pPr>
        <w:spacing w:after="120"/>
      </w:pPr>
    </w:p>
    <w:p>
      <w:pPr>
        <w:pStyle w:val="Heading2"/>
        <w:spacing w:after="140" w:before="280"/>
      </w:pPr>
      <w:r>
        <w:t xml:space="preserve">Step 2: Data Preparation</w:t>
      </w:r>
    </w:p>
    <w:p>
      <w:pPr>
        <w:pStyle w:val="ListParagraph"/>
        <w:numPr>
          <w:ilvl w:val="0"/>
          <w:numId w:val="2"/>
        </w:numPr>
        <w:spacing w:after="90"/>
      </w:pPr>
      <w:r>
        <w:t xml:space="preserve">Check every field's data type icon (Abc, #, calendar, globe) matches reality - ID fields should be text (Abc) even though they look alphanumeric, dates should be true Date types, and monetary/measure fields should be numeric.</w:t>
      </w:r>
    </w:p>
    <w:p>
      <w:pPr>
        <w:pStyle w:val="ListParagraph"/>
        <w:numPr>
          <w:ilvl w:val="0"/>
          <w:numId w:val="2"/>
        </w:numPr>
        <w:spacing w:after="90"/>
      </w:pPr>
      <w:r>
        <w:t xml:space="preserve">Rename cryptic field names to business-friendly labels (e.g. OEE_Percent to 'OEE %') using the pill's rename option, and hide fields nobody will use (e.g. free-text Description/Narration columns) to keep the field list clean.</w:t>
      </w:r>
    </w:p>
    <w:p>
      <w:pPr>
        <w:pStyle w:val="ListParagraph"/>
        <w:numPr>
          <w:ilvl w:val="0"/>
          <w:numId w:val="2"/>
        </w:numPr>
        <w:spacing w:after="90"/>
      </w:pPr>
      <w:r>
        <w:t xml:space="preserve">Build Date hierarchies (Year &gt; Quarter &gt; Month &gt; Day) on every Date field so viewers can drill down on any trend chart without extra calculated fields.</w:t>
      </w:r>
    </w:p>
    <w:p>
      <w:pPr>
        <w:pStyle w:val="ListParagraph"/>
        <w:numPr>
          <w:ilvl w:val="0"/>
          <w:numId w:val="2"/>
        </w:numPr>
        <w:spacing w:after="90"/>
      </w:pPr>
      <w:r>
        <w:t xml:space="preserve">Build geographic and product hierarchies: Region &gt; State &gt; Location Name on the Location Master fields, and Category &gt; Product Name on the Product Master fields.</w:t>
      </w:r>
    </w:p>
    <w:p>
      <w:pPr>
        <w:pStyle w:val="ListParagraph"/>
        <w:numPr>
          <w:ilvl w:val="0"/>
          <w:numId w:val="2"/>
        </w:numPr>
        <w:spacing w:after="90"/>
      </w:pPr>
      <w:r>
        <w:t xml:space="preserve">Handle nulls deliberately: DateClosed (Legal), CompletionDate (Admin) and TargetRemediationDate-derived fields are blank by design for open items - use IIF/ISNULL logic rather than letting Tableau silently drop those rows from date-based charts.</w:t>
      </w:r>
    </w:p>
    <w:p>
      <w:pPr>
        <w:pStyle w:val="ListParagraph"/>
        <w:numPr>
          <w:ilvl w:val="0"/>
          <w:numId w:val="2"/>
        </w:numPr>
        <w:spacing w:after="90"/>
      </w:pPr>
      <w:r>
        <w:t xml:space="preserve">Create the calculated fields listed under each department's 'Measures &amp; Calculated Fields' section (see the KPI tables) - this is the single most important data-preparation task, because a Tableau dashboard is only as trustworthy as its calculated fields.</w:t>
      </w:r>
    </w:p>
    <w:p>
      <w:pPr>
        <w:pStyle w:val="ListParagraph"/>
        <w:numPr>
          <w:ilvl w:val="0"/>
          <w:numId w:val="2"/>
        </w:numPr>
        <w:spacing w:after="90"/>
      </w:pPr>
      <w:r>
        <w:t xml:space="preserve">Set default number formats (currency in NGN with thousands separators, percentages to 1 decimal place) on every measure so every worksheet inherits consistent formatting automatically.</w:t>
      </w:r>
    </w:p>
    <w:p>
      <w:pPr>
        <w:pStyle w:val="ListParagraph"/>
        <w:numPr>
          <w:ilvl w:val="0"/>
          <w:numId w:val="2"/>
        </w:numPr>
        <w:spacing w:after="90"/>
      </w:pPr>
      <w:r>
        <w:t xml:space="preserve">Create Groups for any dimension with messy or duplicate labels (e.g. supplier name variants) so the roll-up in charts is accurate.</w:t>
      </w:r>
    </w:p>
    <w:p>
      <w:pPr>
        <w:spacing w:after="120"/>
      </w:pPr>
    </w:p>
    <w:p>
      <w:pPr>
        <w:pStyle w:val="Heading2"/>
        <w:spacing w:after="140" w:before="280"/>
      </w:pPr>
      <w:r>
        <w:t xml:space="preserve">Step 3: Worksheet Development</w:t>
      </w:r>
    </w:p>
    <w:p>
      <w:pPr>
        <w:pStyle w:val="ListParagraph"/>
        <w:numPr>
          <w:ilvl w:val="0"/>
          <w:numId w:val="2"/>
        </w:numPr>
        <w:spacing w:after="90"/>
      </w:pPr>
      <w:r>
        <w:t xml:space="preserve">Build one worksheet per KPI card and one worksheet per chart listed in each department's section below - do not try to build the whole dashboard on one worksheet.</w:t>
      </w:r>
    </w:p>
    <w:p>
      <w:pPr>
        <w:pStyle w:val="ListParagraph"/>
        <w:numPr>
          <w:ilvl w:val="0"/>
          <w:numId w:val="2"/>
        </w:numPr>
        <w:spacing w:after="90"/>
      </w:pPr>
      <w:r>
        <w:t xml:space="preserve">For KPI cards: place the single aggregated measure on Text, use a large font, add a comparison element (e.g. a reference line for target, or a trend arrow) and format the number (currency/percentage) correctly.</w:t>
      </w:r>
    </w:p>
    <w:p>
      <w:pPr>
        <w:pStyle w:val="ListParagraph"/>
        <w:numPr>
          <w:ilvl w:val="0"/>
          <w:numId w:val="2"/>
        </w:numPr>
        <w:spacing w:after="90"/>
      </w:pPr>
      <w:r>
        <w:t xml:space="preserve">For bar/column charts: put the dimension on Rows (or Columns) and the measure on Columns (or Rows), sort descending unless there's a natural order (e.g. months, grades, priority levels), and add data labels for the top values.</w:t>
      </w:r>
    </w:p>
    <w:p>
      <w:pPr>
        <w:pStyle w:val="ListParagraph"/>
        <w:numPr>
          <w:ilvl w:val="0"/>
          <w:numId w:val="2"/>
        </w:numPr>
        <w:spacing w:after="90"/>
      </w:pPr>
      <w:r>
        <w:t xml:space="preserve">For trend/line charts: put the Date hierarchy on Columns and the measure on Rows, add a trend line or forecast if useful, and use colour to split by a second dimension (e.g. Factory, Priority).</w:t>
      </w:r>
    </w:p>
    <w:p>
      <w:pPr>
        <w:pStyle w:val="ListParagraph"/>
        <w:numPr>
          <w:ilvl w:val="0"/>
          <w:numId w:val="2"/>
        </w:numPr>
        <w:spacing w:after="90"/>
      </w:pPr>
      <w:r>
        <w:t xml:space="preserve">For heat maps and the risk matrix: put one dimension on Rows and another on Columns, drop the measure onto Colour (and Size where relevant), and choose a diverging colour palette (green-to-red) for anything risk- or variance-related.</w:t>
      </w:r>
    </w:p>
    <w:p>
      <w:pPr>
        <w:pStyle w:val="ListParagraph"/>
        <w:numPr>
          <w:ilvl w:val="0"/>
          <w:numId w:val="2"/>
        </w:numPr>
        <w:spacing w:after="90"/>
      </w:pPr>
      <w:r>
        <w:t xml:space="preserve">For Pareto charts (Operations downtime, root-cause analysis): combine a descending bar chart of the measure with a dual-axis cumulative % line, and add a reference line at 80% to highlight the vital few causes.</w:t>
      </w:r>
    </w:p>
    <w:p>
      <w:pPr>
        <w:pStyle w:val="ListParagraph"/>
        <w:numPr>
          <w:ilvl w:val="0"/>
          <w:numId w:val="2"/>
        </w:numPr>
        <w:spacing w:after="90"/>
      </w:pPr>
      <w:r>
        <w:t xml:space="preserve">Name every worksheet clearly (e.g. 'OPS - OEE by Line', 'FIN - Budget Variance Heatmap') so they are easy to find when assembling dashboards.</w:t>
      </w:r>
    </w:p>
    <w:p>
      <w:pPr>
        <w:spacing w:after="120"/>
      </w:pPr>
    </w:p>
    <w:p>
      <w:pPr>
        <w:pStyle w:val="Heading2"/>
        <w:spacing w:after="140" w:before="280"/>
      </w:pPr>
      <w:r>
        <w:t xml:space="preserve">Step 4: Dashboard Design</w:t>
      </w:r>
    </w:p>
    <w:p>
      <w:pPr>
        <w:pStyle w:val="ListParagraph"/>
        <w:numPr>
          <w:ilvl w:val="0"/>
          <w:numId w:val="2"/>
        </w:numPr>
        <w:spacing w:after="90"/>
      </w:pPr>
      <w:r>
        <w:t xml:space="preserve">Create one dashboard per department using the exact titles given in each department's section (e.g. 'Coca-Cola Nigeria: Manufacturing Performance Dashboard'), plus one Executive Summary dashboard that pulls the single most important KPI from every department.</w:t>
      </w:r>
    </w:p>
    <w:p>
      <w:pPr>
        <w:pStyle w:val="ListParagraph"/>
        <w:numPr>
          <w:ilvl w:val="0"/>
          <w:numId w:val="2"/>
        </w:numPr>
        <w:spacing w:after="90"/>
      </w:pPr>
      <w:r>
        <w:t xml:space="preserve">Use a fixed-size dashboard (1366x768 or 1920x1080) for consistent viewing, and lay it out with KPI cards along the top, the main trend/breakdown chart in the centre, and supporting detail charts or a table below or to the side.</w:t>
      </w:r>
    </w:p>
    <w:p>
      <w:pPr>
        <w:pStyle w:val="ListParagraph"/>
        <w:numPr>
          <w:ilvl w:val="0"/>
          <w:numId w:val="2"/>
        </w:numPr>
        <w:spacing w:after="90"/>
      </w:pPr>
      <w:r>
        <w:t xml:space="preserve">Add a title banner using a Text object styled with the Coca-Cola Nigeria brand-style dark green, and include the department name and reporting period.</w:t>
      </w:r>
    </w:p>
    <w:p>
      <w:pPr>
        <w:pStyle w:val="ListParagraph"/>
        <w:numPr>
          <w:ilvl w:val="0"/>
          <w:numId w:val="2"/>
        </w:numPr>
        <w:spacing w:after="90"/>
      </w:pPr>
      <w:r>
        <w:t xml:space="preserve">Use containers (horizontal and vertical) rather than free-form floating placement so the dashboard resizes cleanly across devices.</w:t>
      </w:r>
    </w:p>
    <w:p>
      <w:pPr>
        <w:pStyle w:val="ListParagraph"/>
        <w:numPr>
          <w:ilvl w:val="0"/>
          <w:numId w:val="2"/>
        </w:numPr>
        <w:spacing w:after="90"/>
      </w:pPr>
      <w:r>
        <w:t xml:space="preserve">Add a company logo/text mark and a small 'Prepared by Kajola Gbenga, Data Scientist &amp; AI Engineer' credit line in the dashboard footer for the training deliverable.</w:t>
      </w:r>
    </w:p>
    <w:p>
      <w:pPr>
        <w:pStyle w:val="ListParagraph"/>
        <w:numPr>
          <w:ilvl w:val="0"/>
          <w:numId w:val="2"/>
        </w:numPr>
        <w:spacing w:after="90"/>
      </w:pPr>
      <w:r>
        <w:t xml:space="preserve">Build the Executive Summary dashboard last, once all department dashboards exist, and add navigation buttons (see Interactivity) so users can jump from the summary into any department's detail dashboard.</w:t>
      </w:r>
    </w:p>
    <w:p>
      <w:pPr>
        <w:spacing w:after="120"/>
      </w:pPr>
    </w:p>
    <w:p>
      <w:pPr>
        <w:pStyle w:val="Heading2"/>
        <w:spacing w:after="140" w:before="280"/>
      </w:pPr>
      <w:r>
        <w:t xml:space="preserve">Step 5: Interactivity</w:t>
      </w:r>
    </w:p>
    <w:p>
      <w:pPr>
        <w:pStyle w:val="ListParagraph"/>
        <w:numPr>
          <w:ilvl w:val="0"/>
          <w:numId w:val="2"/>
        </w:numPr>
        <w:spacing w:after="90"/>
      </w:pPr>
      <w:r>
        <w:t xml:space="preserve">Add Filter actions so that clicking a bar in one worksheet (e.g. a Product bar in the Operations dashboard) filters every other worksheet on that dashboard to the selected product.</w:t>
      </w:r>
    </w:p>
    <w:p>
      <w:pPr>
        <w:pStyle w:val="ListParagraph"/>
        <w:numPr>
          <w:ilvl w:val="0"/>
          <w:numId w:val="2"/>
        </w:numPr>
        <w:spacing w:after="90"/>
      </w:pPr>
      <w:r>
        <w:t xml:space="preserve">Add a Highlight action on categorical charts (e.g. hovering a Department in Finance highlights the same department across all charts) to guide the eye without hiding other context.</w:t>
      </w:r>
    </w:p>
    <w:p>
      <w:pPr>
        <w:pStyle w:val="ListParagraph"/>
        <w:numPr>
          <w:ilvl w:val="0"/>
          <w:numId w:val="2"/>
        </w:numPr>
        <w:spacing w:after="90"/>
      </w:pPr>
      <w:r>
        <w:t xml:space="preserve">Add global Filters (Date range, Location, Department) as Quick Filters set to 'Apply to Worksheets &gt; All Using This Data Source' so one control drives every chart on the page.</w:t>
      </w:r>
    </w:p>
    <w:p>
      <w:pPr>
        <w:pStyle w:val="ListParagraph"/>
        <w:numPr>
          <w:ilvl w:val="0"/>
          <w:numId w:val="2"/>
        </w:numPr>
        <w:spacing w:after="90"/>
      </w:pPr>
      <w:r>
        <w:t xml:space="preserve">Add Parameters where a user needs to choose between measures (e.g. a parameter to switch the Operations trend chart between 'Actual Output' and 'OEE %') and wire it into a calculated field with a CASE/IF statement.</w:t>
      </w:r>
    </w:p>
    <w:p>
      <w:pPr>
        <w:pStyle w:val="ListParagraph"/>
        <w:numPr>
          <w:ilvl w:val="0"/>
          <w:numId w:val="2"/>
        </w:numPr>
        <w:spacing w:after="90"/>
      </w:pPr>
      <w:r>
        <w:t xml:space="preserve">Add Navigation buttons or a navigation menu on every dashboard (styled as simple rectangles or icons) linking to the Executive Summary and to each of the other 9 department dashboards, so the whole workbook behaves like one connected application.</w:t>
      </w:r>
    </w:p>
    <w:p>
      <w:pPr>
        <w:pStyle w:val="ListParagraph"/>
        <w:numPr>
          <w:ilvl w:val="0"/>
          <w:numId w:val="2"/>
        </w:numPr>
        <w:spacing w:after="90"/>
      </w:pPr>
      <w:r>
        <w:t xml:space="preserve">Add URL actions or Tooltip customisation so hovering a mark shows a rich, formatted tooltip (e.g. an Employee's full name pulled from Employee Master, rather than just the raw EmployeeID) - a direct, visible result of building the relationships correctly in Step 1.</w:t>
      </w:r>
    </w:p>
    <w:p>
      <w:pPr>
        <w:pStyle w:val="ListParagraph"/>
        <w:numPr>
          <w:ilvl w:val="0"/>
          <w:numId w:val="2"/>
        </w:numPr>
        <w:spacing w:after="90"/>
      </w:pPr>
      <w:r>
        <w:t xml:space="preserve">Test every action and filter end-to-end: click through from the Executive Summary into each department dashboard, use every filter, and confirm no KPI breaks or shows a null when a filter is applied.</w:t>
      </w:r>
    </w:p>
    <w:p>
      <w:pPr>
        <w:spacing w:after="120"/>
      </w:pPr>
    </w:p>
    <w:p>
      <w:r>
        <w:br w:type="page"/>
      </w:r>
    </w:p>
    <w:p>
      <w:pPr>
        <w:pStyle w:val="Heading1"/>
        <w:pBdr>
          <w:bottom w:val="single" w:color="A6192E" w:sz="8" w:space="4"/>
        </w:pBdr>
        <w:spacing w:after="200" w:before="360"/>
      </w:pPr>
      <w:r>
        <w:t xml:space="preserve">4. Department-By-Department: Problems, Data, Formulas, KPIs, Charts and Dashboards</w:t>
      </w:r>
    </w:p>
    <w:p>
      <w:pPr>
        <w:spacing w:after="160"/>
      </w:pPr>
      <w:r>
        <w:t xml:space="preserve">Departments are covered in the following order: Operations, Supply Chain, Legal, Admin, Customer Service, Information Technology, Accounts and Finance, Human Resources, Internal Control, and Risk Management and Compliance.</w:t>
      </w:r>
    </w:p>
    <w:p>
      <w:r>
        <w:br w:type="page"/>
      </w:r>
    </w:p>
    <w:p>
      <w:pPr>
        <w:pStyle w:val="Heading1"/>
        <w:pBdr>
          <w:bottom w:val="single" w:color="A6192E" w:sz="8" w:space="4"/>
        </w:pBdr>
        <w:spacing w:after="200" w:before="360"/>
      </w:pPr>
      <w:r>
        <w:t xml:space="preserve">4.1 Operations</w:t>
      </w:r>
    </w:p>
    <w:p>
      <w:pPr>
        <w:spacing w:after="160"/>
      </w:pPr>
      <w:r>
        <w:rPr>
          <w:i/>
          <w:iCs/>
          <w:color w:val="5B6660"/>
          <w:sz w:val="19"/>
          <w:szCs w:val="19"/>
        </w:rPr>
        <w:t xml:space="preserve">Source sheet: Operations   |   Department code: OPS</w:t>
      </w:r>
    </w:p>
    <w:p>
      <w:pPr>
        <w:pStyle w:val="Heading2"/>
        <w:spacing w:after="140" w:before="280"/>
      </w:pPr>
      <w:r>
        <w:t xml:space="preserve">Business Problems (Before The Dashboard)</w:t>
      </w:r>
    </w:p>
    <w:p>
      <w:pPr>
        <w:pStyle w:val="ListParagraph"/>
        <w:numPr>
          <w:ilvl w:val="0"/>
          <w:numId w:val="1"/>
        </w:numPr>
        <w:spacing w:after="90"/>
      </w:pPr>
      <w:r>
        <w:t xml:space="preserve">Two factories run 6 lines across 3 shifts, and management cannot tell which line/shift combination is losing the most output.</w:t>
      </w:r>
    </w:p>
    <w:p>
      <w:pPr>
        <w:pStyle w:val="ListParagraph"/>
        <w:numPr>
          <w:ilvl w:val="0"/>
          <w:numId w:val="1"/>
        </w:numPr>
        <w:spacing w:after="90"/>
      </w:pPr>
      <w:r>
        <w:t xml:space="preserve">Downtime reasons are logged but nobody has ranked them to know which one to fix first.</w:t>
      </w:r>
    </w:p>
    <w:p>
      <w:pPr>
        <w:pStyle w:val="ListParagraph"/>
        <w:numPr>
          <w:ilvl w:val="0"/>
          <w:numId w:val="1"/>
        </w:numPr>
        <w:spacing w:after="90"/>
      </w:pPr>
      <w:r>
        <w:t xml:space="preserve">Scrap is tracked per run but never compared across products to flag which product is hardest to manufacture cleanly.</w:t>
      </w:r>
    </w:p>
    <w:p>
      <w:pPr>
        <w:pStyle w:val="Heading2"/>
        <w:spacing w:after="140" w:before="280"/>
      </w:pPr>
      <w:r>
        <w:t xml:space="preserve">The Solution: Data Preparation &amp; Relationship-Building</w:t>
      </w:r>
    </w:p>
    <w:p>
      <w:pPr>
        <w:spacing w:after="160"/>
      </w:pPr>
      <w:r>
        <w:t xml:space="preserve">Connect the Operations sheet to the relevant master sheet(s) using the foreign-key columns identified in the column table below, via a many-to-one Tableau Relationship for each. This is what allows every business problem above to be answered, because it lets Operations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A6192E"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ProductionID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identifier for one production run/record.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 set as a dimension, never aggregate it.</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of the production run.</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Create Year, Quarter and Month calculated/date-part fields for trend analysis; build a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Factory where production happened (LOC02 or LOC03).</w:t>
            </w:r>
          </w:p>
        </w:tc>
        <w:tc>
          <w:tcPr>
            <w:tcW w:type="dxa" w:w="3050"/>
            <w:tcMar>
              <w:top w:type="dxa" w:w="60"/>
              <w:left w:type="dxa" w:w="80"/>
              <w:bottom w:type="dxa" w:w="60"/>
              <w:right w:type="dxa" w:w="80"/>
            </w:tcMar>
            <w:vAlign w:val="center"/>
          </w:tcPr>
          <w:p>
            <w:pPr>
              <w:spacing w:after="0"/>
            </w:pPr>
            <w:r>
              <w:rPr>
                <w:b w:val="false"/>
                <w:bCs w:val="false"/>
                <w:sz w:val="18"/>
                <w:szCs w:val="18"/>
              </w:rPr>
              <w:t xml:space="preserve">Build relationship to Location Master; use LocationName in visuals instead of the raw code.</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ProductID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Product manufactured in the run.</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Build relationship to Product Master; use Product Name/Category for grouping.</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ProductionLine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Line 1 to Line 6.</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as a dimension on rows for a line-by-line OEE comparison.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Shift</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Morning, Afternoon or Night.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Create a custom sort (Morning, Afternoon, Night) for a clean small-multiple chart.</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Always OPS.</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key to Department Master; mainly used when blending Operations with other departments' spend.</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SupervisorEmployeeID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Employee ID of the shift supervisor.</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 to show supervisor name and to analyse output by supervisor.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PlannedOutputCartons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Target output for the run.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Aggregate with SUM; this is the denominator of Output Achievement %.</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ActualOutputCartons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Actual cartons produced.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Aggregate with SUM; numerator of Output Achievement % and OEE.</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DowntimeHours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Hours the line was down during the run.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Aggregate with SUM/AVG; drives the Downtime Pareto chart.</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DowntimeReason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Reason for downtime, or 'None'.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Filter out 'None' before building the Pareto chart of loss reasons.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ScrapQtyCartons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Cartons scrapped/rejected.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Used to compute Scrap Rate % as a calculated field.</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OEE_Percent</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Actual/Planned output ratio calculated in the source data.</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Cross-check against a Tableau-native calculated field SUM(ActualOutputCartons)/SUM(PlannedOutputCartons) to confirm they match.</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'Output Achievement %' = SUM([ActualOutputCartons]) / SUM([PlannedOutputCartons]).</w:t>
      </w:r>
    </w:p>
    <w:p>
      <w:pPr>
        <w:pStyle w:val="ListParagraph"/>
        <w:numPr>
          <w:ilvl w:val="0"/>
          <w:numId w:val="1"/>
        </w:numPr>
        <w:spacing w:after="90"/>
      </w:pPr>
      <w:r>
        <w:t xml:space="preserve">Create calculated field 'Scrap Rate %' = SUM([ScrapQtyCartons]) / SUM([ActualOutputCartons]).</w:t>
      </w:r>
    </w:p>
    <w:p>
      <w:pPr>
        <w:pStyle w:val="ListParagraph"/>
        <w:numPr>
          <w:ilvl w:val="0"/>
          <w:numId w:val="1"/>
        </w:numPr>
        <w:spacing w:after="90"/>
      </w:pPr>
      <w:r>
        <w:t xml:space="preserve">Create calculated field 'Total Downtime Hours' = SUM([DowntimeHours]) with a table calc for % of total.</w:t>
      </w:r>
    </w:p>
    <w:p>
      <w:pPr>
        <w:pStyle w:val="ListParagraph"/>
        <w:numPr>
          <w:ilvl w:val="0"/>
          <w:numId w:val="1"/>
        </w:numPr>
        <w:spacing w:after="90"/>
      </w:pPr>
      <w:r>
        <w:t xml:space="preserve">Create a Date hierarchy (Year &gt; Quarter &gt; Month) on the Date field for drill-down trend charts.</w:t>
      </w:r>
    </w:p>
    <w:p>
      <w:pPr>
        <w:pStyle w:val="ListParagraph"/>
        <w:numPr>
          <w:ilvl w:val="0"/>
          <w:numId w:val="1"/>
        </w:numPr>
        <w:spacing w:after="90"/>
      </w:pPr>
      <w:r>
        <w:t xml:space="preserve">Build the relationship OPS.LocationID -&gt; Location Master.LocationID and OPS.ProductID -&gt; Product Master.ProductID.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A6192E"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A6192E"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A6192E"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Output Achievement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SUM(ActualOutputCartons)/SUM(PlannedOutputCartons)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 / Bullet chart</w:t>
            </w:r>
          </w:p>
        </w:tc>
        <w:tc>
          <w:tcPr>
            <w:tcW w:type="dxa" w:w="1850"/>
            <w:tcMar>
              <w:top w:type="dxa" w:w="60"/>
              <w:left w:type="dxa" w:w="80"/>
              <w:bottom w:type="dxa" w:w="60"/>
              <w:right w:type="dxa" w:w="80"/>
            </w:tcMar>
            <w:vAlign w:val="center"/>
          </w:tcPr>
          <w:p>
            <w:pPr>
              <w:spacing w:after="0"/>
            </w:pPr>
            <w:r>
              <w:rPr>
                <w:b w:val="false"/>
                <w:bCs w:val="false"/>
                <w:sz w:val="18"/>
                <w:szCs w:val="18"/>
              </w:rPr>
              <w:t xml:space="preserve">Measures how close actual production came to plan.</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OEE %</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AVG(OEE_Percent)</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 + colour-coded by factory/line</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Overall Equipment Effectiveness, the core manufacturing health metric.</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Scrap Rate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SUM(ScrapQtyCartons)/SUM(ActualOutputCartons)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Tracks production waste as a share of good output.</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Total Downtime Hours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SUM(DowntimeHours)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Pareto (bar + cumulative line) by DowntimeReason</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Identifies the biggest drivers of lost production time.</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Line chart: Planned vs Actual Output over Month, split by Factory.</w:t>
      </w:r>
    </w:p>
    <w:p>
      <w:pPr>
        <w:pStyle w:val="ListParagraph"/>
        <w:numPr>
          <w:ilvl w:val="0"/>
          <w:numId w:val="1"/>
        </w:numPr>
        <w:spacing w:after="90"/>
      </w:pPr>
      <w:r>
        <w:t xml:space="preserve">Bar chart: Average OEE % by Production Line, sorted descending.</w:t>
      </w:r>
    </w:p>
    <w:p>
      <w:pPr>
        <w:pStyle w:val="ListParagraph"/>
        <w:numPr>
          <w:ilvl w:val="0"/>
          <w:numId w:val="1"/>
        </w:numPr>
        <w:spacing w:after="90"/>
      </w:pPr>
      <w:r>
        <w:t xml:space="preserve">Pareto chart: Downtime Hours by Downtime Reason with cumulative % line.</w:t>
      </w:r>
    </w:p>
    <w:p>
      <w:pPr>
        <w:pStyle w:val="ListParagraph"/>
        <w:numPr>
          <w:ilvl w:val="0"/>
          <w:numId w:val="1"/>
        </w:numPr>
        <w:spacing w:after="90"/>
      </w:pPr>
      <w:r>
        <w:t xml:space="preserve">Heat map: Scrap Rate % by Factory x Product.</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132E"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Coca-Cola Nigeria: Manufacturing Performance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A6192E" w:sz="8" w:space="4"/>
        </w:pBdr>
        <w:spacing w:after="200" w:before="360"/>
      </w:pPr>
      <w:r>
        <w:t xml:space="preserve">4.2 Supply Chain</w:t>
      </w:r>
    </w:p>
    <w:p>
      <w:pPr>
        <w:spacing w:after="160"/>
      </w:pPr>
      <w:r>
        <w:rPr>
          <w:i/>
          <w:iCs/>
          <w:color w:val="5B6660"/>
          <w:sz w:val="19"/>
          <w:szCs w:val="19"/>
        </w:rPr>
        <w:t xml:space="preserve">Source sheet: Supply Chain   |   Department code: SCM</w:t>
      </w:r>
    </w:p>
    <w:p>
      <w:pPr>
        <w:pStyle w:val="Heading2"/>
        <w:spacing w:after="140" w:before="280"/>
      </w:pPr>
      <w:r>
        <w:t xml:space="preserve">Business Problems (Before The Dashboard)</w:t>
      </w:r>
    </w:p>
    <w:p>
      <w:pPr>
        <w:pStyle w:val="ListParagraph"/>
        <w:numPr>
          <w:ilvl w:val="0"/>
          <w:numId w:val="1"/>
        </w:numPr>
        <w:spacing w:after="90"/>
      </w:pPr>
      <w:r>
        <w:t xml:space="preserve">Procurement cannot see, at a glance, which suppliers are unreliable versus consistently on time.</w:t>
      </w:r>
    </w:p>
    <w:p>
      <w:pPr>
        <w:pStyle w:val="ListParagraph"/>
        <w:numPr>
          <w:ilvl w:val="0"/>
          <w:numId w:val="1"/>
        </w:numPr>
        <w:spacing w:after="90"/>
      </w:pPr>
      <w:r>
        <w:t xml:space="preserve">Nobody has a single number for total spend exposure by supplier to support negotiation.</w:t>
      </w:r>
    </w:p>
    <w:p>
      <w:pPr>
        <w:pStyle w:val="ListParagraph"/>
        <w:numPr>
          <w:ilvl w:val="0"/>
          <w:numId w:val="1"/>
        </w:numPr>
        <w:spacing w:after="90"/>
      </w:pPr>
      <w:r>
        <w:t xml:space="preserve">Inventory dips are noticed too late because there is no trend view by location.</w:t>
      </w:r>
    </w:p>
    <w:p>
      <w:pPr>
        <w:pStyle w:val="Heading2"/>
        <w:spacing w:after="140" w:before="280"/>
      </w:pPr>
      <w:r>
        <w:t xml:space="preserve">The Solution: Data Preparation &amp; Relationship-Building</w:t>
      </w:r>
    </w:p>
    <w:p>
      <w:pPr>
        <w:spacing w:after="160"/>
      </w:pPr>
      <w:r>
        <w:t xml:space="preserve">Connect the Supply Chain sheet to the relevant master sheet(s) using the foreign-key columns identified in the column table below, via a many-to-one Tableau Relationship for each. This is what allows every business problem above to be answered, because it lets Supply Chain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A6192E"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POID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Purchase order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 treat as a dimension.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OrderDate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PO was raised.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the Date hierarchy and for LeadTimeDays.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PromisedDeliveryDate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Date the supplier promised delivery.</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Used as the benchmark in the On-Time Delivery calculation.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ActualDeliveryDate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goods actually arrived.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Compared against PromisedDeliveryDate for the OnTimeDelivery field.</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Supplier</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Supplier/vendor name.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as a dimension for spend concentration (treemap) analysis; check for naming inconsistencies before grouping.</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ProductID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Product/material ordered.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Product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Receiving factory or depot.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Always SCM.</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OrderQtyCartons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Quantity ordered.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SUM aggregation; denominator for fill-rate calculation.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DeliveredQtyCartons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Quantity actually delivered.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SUM aggregation; numerator for fill-rate calculation.</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UnitCostNGN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Cost per carton.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Used inside TotalCostNGN; format as currency.</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TotalCostNGN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OrderQty x UnitCost.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Cross-check with a Tableau calculated field; format as NGN currency with thousands separators.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LeadTimeDays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ActualDeliveryDate minus OrderDate.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AVG to report average lead time; watch for outliers/negative values as a data-quality check.</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OnTimeDelivery</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(Yes/No, formula-driven)</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Whether actual delivery was on/before the promised date.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Convert to a 1/0 calculated field to compute On-Time Delivery % with AVG or SUM/COUNT.</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InventoryLevelCartons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Snapshot inventory level tied to the order.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AVG or latest-value analysis; used for stock trend line.</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'Fill Rate %' = SUM([DeliveredQtyCartons]) / SUM([OrderQtyCartons]).</w:t>
      </w:r>
    </w:p>
    <w:p>
      <w:pPr>
        <w:pStyle w:val="ListParagraph"/>
        <w:numPr>
          <w:ilvl w:val="0"/>
          <w:numId w:val="1"/>
        </w:numPr>
        <w:spacing w:after="90"/>
      </w:pPr>
      <w:r>
        <w:t xml:space="preserve">Create calculated field 'On-Time Delivery %' = SUM(IIF([OnTimeDelivery]="Yes",1,0)) / COUNTD([POID]).</w:t>
      </w:r>
    </w:p>
    <w:p>
      <w:pPr>
        <w:pStyle w:val="ListParagraph"/>
        <w:numPr>
          <w:ilvl w:val="0"/>
          <w:numId w:val="1"/>
        </w:numPr>
        <w:spacing w:after="90"/>
      </w:pPr>
      <w:r>
        <w:t xml:space="preserve">Create calculated field 'Average Lead Time (Days)' = AVG([LeadTimeDays]).</w:t>
      </w:r>
    </w:p>
    <w:p>
      <w:pPr>
        <w:pStyle w:val="ListParagraph"/>
        <w:numPr>
          <w:ilvl w:val="0"/>
          <w:numId w:val="1"/>
        </w:numPr>
        <w:spacing w:after="90"/>
      </w:pPr>
      <w:r>
        <w:t xml:space="preserve">Build the relationship SCM.Supplier as a stand-alone dimension (no master sheet needed) but relate SCM.ProductID/LocationID to their master sheets.</w:t>
      </w:r>
    </w:p>
    <w:p>
      <w:pPr>
        <w:pStyle w:val="ListParagraph"/>
        <w:numPr>
          <w:ilvl w:val="0"/>
          <w:numId w:val="1"/>
        </w:numPr>
        <w:spacing w:after="90"/>
      </w:pPr>
      <w:r>
        <w:t xml:space="preserve">Group suppliers with inconsistent naming (if any) using a Tableau Group before building the treemap.</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A6192E"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A6192E"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A6192E"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On-Time Delivery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SUM(IIF(OnTimeDelivery="Yes",1,0))/COUNTD(POID)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Gauge /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Core supplier reliability metric.</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Lead Time (Days)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AVG(LeadTimeDays)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 + trend line</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Speed of the inbound supply chain.</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Procurement Spend (NGN)</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SUM(TotalCostNGN)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Overall cost exposure to track against budget.</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Fill Rate %</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SUM(DeliveredQtyCartons)/SUM(OrderQtyCartons)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Measures completeness of supplier deliveries.</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Treemap: Total Spend by Supplier.</w:t>
      </w:r>
    </w:p>
    <w:p>
      <w:pPr>
        <w:pStyle w:val="ListParagraph"/>
        <w:numPr>
          <w:ilvl w:val="0"/>
          <w:numId w:val="1"/>
        </w:numPr>
        <w:spacing w:after="90"/>
      </w:pPr>
      <w:r>
        <w:t xml:space="preserve">Bar chart: On-Time Delivery % by Supplier, sorted ascending to expose worst performers.</w:t>
      </w:r>
    </w:p>
    <w:p>
      <w:pPr>
        <w:pStyle w:val="ListParagraph"/>
        <w:numPr>
          <w:ilvl w:val="0"/>
          <w:numId w:val="1"/>
        </w:numPr>
        <w:spacing w:after="90"/>
      </w:pPr>
      <w:r>
        <w:t xml:space="preserve">Line chart: Inventory Level trend by Month, by Location.</w:t>
      </w:r>
    </w:p>
    <w:p>
      <w:pPr>
        <w:pStyle w:val="ListParagraph"/>
        <w:numPr>
          <w:ilvl w:val="0"/>
          <w:numId w:val="1"/>
        </w:numPr>
        <w:spacing w:after="90"/>
      </w:pPr>
      <w:r>
        <w:t xml:space="preserve">Scatter plot: Lead Time (days) vs Order Quantity, coloured by Supplier.</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132E"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Coca-Cola Nigeria: Supply Chain and Procurement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A6192E" w:sz="8" w:space="4"/>
        </w:pBdr>
        <w:spacing w:after="200" w:before="360"/>
      </w:pPr>
      <w:r>
        <w:t xml:space="preserve">4.3 Legal</w:t>
      </w:r>
    </w:p>
    <w:p>
      <w:pPr>
        <w:spacing w:after="160"/>
      </w:pPr>
      <w:r>
        <w:rPr>
          <w:i/>
          <w:iCs/>
          <w:color w:val="5B6660"/>
          <w:sz w:val="19"/>
          <w:szCs w:val="19"/>
        </w:rPr>
        <w:t xml:space="preserve">Source sheet: Legal   |   Department code: LEG</w:t>
      </w:r>
    </w:p>
    <w:p>
      <w:pPr>
        <w:pStyle w:val="Heading2"/>
        <w:spacing w:after="140" w:before="280"/>
      </w:pPr>
      <w:r>
        <w:t xml:space="preserve">Business Problems (Before The Dashboard)</w:t>
      </w:r>
    </w:p>
    <w:p>
      <w:pPr>
        <w:pStyle w:val="ListParagraph"/>
        <w:numPr>
          <w:ilvl w:val="0"/>
          <w:numId w:val="1"/>
        </w:numPr>
        <w:spacing w:after="90"/>
      </w:pPr>
      <w:r>
        <w:t xml:space="preserve">Management has no single view of how many legal matters are open right now, or how risky they are.</w:t>
      </w:r>
    </w:p>
    <w:p>
      <w:pPr>
        <w:pStyle w:val="ListParagraph"/>
        <w:numPr>
          <w:ilvl w:val="0"/>
          <w:numId w:val="1"/>
        </w:numPr>
        <w:spacing w:after="90"/>
      </w:pPr>
      <w:r>
        <w:t xml:space="preserve">External counsel spend is not tracked against internal caseload to judge value for money.</w:t>
      </w:r>
    </w:p>
    <w:p>
      <w:pPr>
        <w:pStyle w:val="ListParagraph"/>
        <w:numPr>
          <w:ilvl w:val="0"/>
          <w:numId w:val="1"/>
        </w:numPr>
        <w:spacing w:after="90"/>
      </w:pPr>
      <w:r>
        <w:t xml:space="preserve">There is no way to see which department (Operations, Supply Chain, HR, etc.) generates the most legal exposure.</w:t>
      </w:r>
    </w:p>
    <w:p>
      <w:pPr>
        <w:pStyle w:val="Heading2"/>
        <w:spacing w:after="140" w:before="280"/>
      </w:pPr>
      <w:r>
        <w:t xml:space="preserve">The Solution: Data Preparation &amp; Relationship-Building</w:t>
      </w:r>
    </w:p>
    <w:p>
      <w:pPr>
        <w:spacing w:after="160"/>
      </w:pPr>
      <w:r>
        <w:t xml:space="preserve">Connect the Legal sheet to the relevant master sheet(s) using the foreign-key columns identified in the column table below, via a many-to-one Tableau Relationship for each. This is what allows every business problem above to be answered, because it lets Legal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A6192E"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CaseID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legal case/matter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DateOpened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case was opened.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 and DaysOpen calculation.</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CaseType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Contract, Litigation, IP, Regulatory, Employment Dispute, Land/Lease, Compliance Advisory.</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as a dimension for the case-mix bar/pie chart.</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DeptCodeInvolved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Department the matter relates to.</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 enables 'which department generates the most legal risk' analysis.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Site the matter relates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AssignedEmployeeID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Legal officer handling the case.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 used for caseload-per-officer analysis.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RiskLevel</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(ordinal)</w:t>
            </w:r>
          </w:p>
        </w:tc>
        <w:tc>
          <w:tcPr>
            <w:tcW w:type="dxa" w:w="2900"/>
            <w:tcMar>
              <w:top w:type="dxa" w:w="60"/>
              <w:left w:type="dxa" w:w="80"/>
              <w:bottom w:type="dxa" w:w="60"/>
              <w:right w:type="dxa" w:w="80"/>
            </w:tcMar>
            <w:vAlign w:val="center"/>
          </w:tcPr>
          <w:p>
            <w:pPr>
              <w:spacing w:after="0"/>
            </w:pPr>
            <w:r>
              <w:rPr>
                <w:b w:val="false"/>
                <w:bCs w:val="false"/>
                <w:sz w:val="18"/>
                <w:szCs w:val="18"/>
              </w:rPr>
              <w:t xml:space="preserve">Low, Medium or High.</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Create a custom sort order; use as colour encoding.</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ExternalCounselUsed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(Yes/No)</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Whether outside counsel was engaged.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Convert to a filter/segmentation for cost analysis.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ExternalCounselCostNGN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Fees paid to external counsel (0 if not used).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SUM aggregation; format as currency.</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Status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Open or Closed.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Use as a filter to build an 'open caseload' KPI.</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DateClosed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Date, nullable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Date the case closed (blank if still open).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Handle nulls explicitly - do not let Tableau silently exclude open cases from date-based views.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DaysOpen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Number/Text (formula-driven)</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Days between opening and closing, or 'Open Case' text if unresolved.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Because this column mixes text and numbers, recreate it as a pure numeric Tableau calculated field using DATEDIFF and IIF/IFNULL, separate from the source text version.</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'Case Age (Days)' = IIF(ISNULL([DateClosed]), DATEDIFF('day',[DateOpened],TODAY()), DATEDIFF('day',[DateOpened],[DateClosed])).</w:t>
      </w:r>
    </w:p>
    <w:p>
      <w:pPr>
        <w:pStyle w:val="ListParagraph"/>
        <w:numPr>
          <w:ilvl w:val="0"/>
          <w:numId w:val="1"/>
        </w:numPr>
        <w:spacing w:after="90"/>
      </w:pPr>
      <w:r>
        <w:t xml:space="preserve">Create calculated field 'Open Caseload' = COUNTD(IIF([Status]="Open",[CaseID],NULL)).</w:t>
      </w:r>
    </w:p>
    <w:p>
      <w:pPr>
        <w:pStyle w:val="ListParagraph"/>
        <w:numPr>
          <w:ilvl w:val="0"/>
          <w:numId w:val="1"/>
        </w:numPr>
        <w:spacing w:after="90"/>
      </w:pPr>
      <w:r>
        <w:t xml:space="preserve">Create calculated field 'Avg Days to Close' = AVG(IIF([Status]="Closed",DATEDIFF('day',[DateOpened],[DateClosed]),NULL)).</w:t>
      </w:r>
    </w:p>
    <w:p>
      <w:pPr>
        <w:pStyle w:val="ListParagraph"/>
        <w:numPr>
          <w:ilvl w:val="0"/>
          <w:numId w:val="1"/>
        </w:numPr>
        <w:spacing w:after="90"/>
      </w:pPr>
      <w:r>
        <w:t xml:space="preserve">Build the relationship Legal.DeptCodeInvolved -&gt; Department Master.DeptCode and Legal.AssignedEmployeeID -&gt; Employee Master.EmployeeID.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A6192E"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A6192E"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A6192E"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Open Caseload</w:t>
            </w:r>
          </w:p>
        </w:tc>
        <w:tc>
          <w:tcPr>
            <w:tcW w:type="dxa" w:w="3500"/>
            <w:tcMar>
              <w:top w:type="dxa" w:w="60"/>
              <w:left w:type="dxa" w:w="80"/>
              <w:bottom w:type="dxa" w:w="60"/>
              <w:right w:type="dxa" w:w="80"/>
            </w:tcMar>
            <w:vAlign w:val="center"/>
          </w:tcPr>
          <w:p>
            <w:pPr>
              <w:spacing w:after="0"/>
            </w:pPr>
            <w:r>
              <w:rPr>
                <w:b w:val="false"/>
                <w:bCs w:val="false"/>
                <w:sz w:val="18"/>
                <w:szCs w:val="18"/>
              </w:rPr>
              <w:t xml:space="preserve">COUNTD(IIF(Status="Open",CaseID,NULL))</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How many matters are currently unresolved.</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Days to Close</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AVG(days between DateOpened and DateClosed)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Legal team efficiency indicator.</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External Counsel Spend (NGN)</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SUM(ExternalCounselCostNGN)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 + trend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Controls outside legal cost exposure.</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High-Risk Case Share %</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cases where RiskLevel=High / COUNTD all cases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Flags concentration of serious legal exposure.</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Bar chart: Case Count by Case Type.</w:t>
      </w:r>
    </w:p>
    <w:p>
      <w:pPr>
        <w:pStyle w:val="ListParagraph"/>
        <w:numPr>
          <w:ilvl w:val="0"/>
          <w:numId w:val="1"/>
        </w:numPr>
        <w:spacing w:after="90"/>
      </w:pPr>
      <w:r>
        <w:t xml:space="preserve">Stacked bar: Cases by Department Involved, coloured by Risk Level.</w:t>
      </w:r>
    </w:p>
    <w:p>
      <w:pPr>
        <w:pStyle w:val="ListParagraph"/>
        <w:numPr>
          <w:ilvl w:val="0"/>
          <w:numId w:val="1"/>
        </w:numPr>
        <w:spacing w:after="90"/>
      </w:pPr>
      <w:r>
        <w:t xml:space="preserve">Line chart: External Counsel Spend by Month.</w:t>
      </w:r>
    </w:p>
    <w:p>
      <w:pPr>
        <w:pStyle w:val="ListParagraph"/>
        <w:numPr>
          <w:ilvl w:val="0"/>
          <w:numId w:val="1"/>
        </w:numPr>
        <w:spacing w:after="90"/>
      </w:pPr>
      <w:r>
        <w:t xml:space="preserve">Table: Case ageing list for all currently Open cases, sorted by Case Age descending.</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132E"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Coca-Cola Nigeria: Legal and Contracts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A6192E" w:sz="8" w:space="4"/>
        </w:pBdr>
        <w:spacing w:after="200" w:before="360"/>
      </w:pPr>
      <w:r>
        <w:t xml:space="preserve">4.4 Admin</w:t>
      </w:r>
    </w:p>
    <w:p>
      <w:pPr>
        <w:spacing w:after="160"/>
      </w:pPr>
      <w:r>
        <w:rPr>
          <w:i/>
          <w:iCs/>
          <w:color w:val="5B6660"/>
          <w:sz w:val="19"/>
          <w:szCs w:val="19"/>
        </w:rPr>
        <w:t xml:space="preserve">Source sheet: Admin   |   Department code: ADM</w:t>
      </w:r>
    </w:p>
    <w:p>
      <w:pPr>
        <w:pStyle w:val="Heading2"/>
        <w:spacing w:after="140" w:before="280"/>
      </w:pPr>
      <w:r>
        <w:t xml:space="preserve">Business Problems (Before The Dashboard)</w:t>
      </w:r>
    </w:p>
    <w:p>
      <w:pPr>
        <w:pStyle w:val="ListParagraph"/>
        <w:numPr>
          <w:ilvl w:val="0"/>
          <w:numId w:val="1"/>
        </w:numPr>
        <w:spacing w:after="90"/>
      </w:pPr>
      <w:r>
        <w:t xml:space="preserve">Admin spend is scattered across seven categories with no ranked view of where the money goes.</w:t>
      </w:r>
    </w:p>
    <w:p>
      <w:pPr>
        <w:pStyle w:val="ListParagraph"/>
        <w:numPr>
          <w:ilvl w:val="0"/>
          <w:numId w:val="1"/>
        </w:numPr>
        <w:spacing w:after="90"/>
      </w:pPr>
      <w:r>
        <w:t xml:space="preserve">There is no visibility into how long approvals take, so bottlenecks go unnoticed.</w:t>
      </w:r>
    </w:p>
    <w:p>
      <w:pPr>
        <w:pStyle w:val="ListParagraph"/>
        <w:numPr>
          <w:ilvl w:val="0"/>
          <w:numId w:val="1"/>
        </w:numPr>
        <w:spacing w:after="90"/>
      </w:pPr>
      <w:r>
        <w:t xml:space="preserve">Nobody can see which site (factory, depot or office) is driving the most admin requests.</w:t>
      </w:r>
    </w:p>
    <w:p>
      <w:pPr>
        <w:pStyle w:val="Heading2"/>
        <w:spacing w:after="140" w:before="280"/>
      </w:pPr>
      <w:r>
        <w:t xml:space="preserve">The Solution: Data Preparation &amp; Relationship-Building</w:t>
      </w:r>
    </w:p>
    <w:p>
      <w:pPr>
        <w:spacing w:after="160"/>
      </w:pPr>
      <w:r>
        <w:t xml:space="preserve">Connect the Admin sheet to the relevant master sheet(s) using the foreign-key columns identified in the column table below, via a many-to-one Tableau Relationship for each. This is what allows every business problem above to be answered, because it lets Admin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A6192E"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RequestID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admin service request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request was logged.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Site the request relates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Always ADM.</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Category</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Facility Maintenance, Travel &amp; Logistics, Fleet Management, Procurement (Admin), Office Supplies, Utility Services, Event/Protocol.</w:t>
            </w:r>
          </w:p>
        </w:tc>
        <w:tc>
          <w:tcPr>
            <w:tcW w:type="dxa" w:w="3050"/>
            <w:tcMar>
              <w:top w:type="dxa" w:w="60"/>
              <w:left w:type="dxa" w:w="80"/>
              <w:bottom w:type="dxa" w:w="60"/>
              <w:right w:type="dxa" w:w="80"/>
            </w:tcMar>
            <w:vAlign w:val="center"/>
          </w:tcPr>
          <w:p>
            <w:pPr>
              <w:spacing w:after="0"/>
            </w:pPr>
            <w:r>
              <w:rPr>
                <w:b w:val="false"/>
                <w:bCs w:val="false"/>
                <w:sz w:val="18"/>
                <w:szCs w:val="18"/>
              </w:rPr>
              <w:t xml:space="preserve">Dimension for spend-by-category analysis.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RequestedByEmployeeID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Employee who raised the request.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 can reveal which department consumes the most admin support.</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Description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Free-text description.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Not used for aggregation; available for tooltip detail only.</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CostNGN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Cost of fulfilling the request.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SUM aggregation; format as currency.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ApprovalStatus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Approved, Pending or Rejected.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as a filter and for the Approval Rate % KPI.</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CompletionDate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 nullable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completed (blank if not yet completed).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Handle nulls explicitly when computing turnaround time.</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TurnaroundDays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Number/Text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Days from request to completion, or 'Not Completed'.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Rebuild as a clean numeric Tableau calculated field, separate from the mixed-type source column.</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'Approval Rate %' = COUNTD(IIF([ApprovalStatus]="Approved",[RequestID],NULL)) / COUNTD([RequestID]).</w:t>
      </w:r>
    </w:p>
    <w:p>
      <w:pPr>
        <w:pStyle w:val="ListParagraph"/>
        <w:numPr>
          <w:ilvl w:val="0"/>
          <w:numId w:val="1"/>
        </w:numPr>
        <w:spacing w:after="90"/>
      </w:pPr>
      <w:r>
        <w:t xml:space="preserve">Create calculated field 'Avg Turnaround (Days)' = AVG(IIF(NOT ISNULL([CompletionDate]),DATEDIFF('day',[Date],[CompletionDate]),NULL)).</w:t>
      </w:r>
    </w:p>
    <w:p>
      <w:pPr>
        <w:pStyle w:val="ListParagraph"/>
        <w:numPr>
          <w:ilvl w:val="0"/>
          <w:numId w:val="1"/>
        </w:numPr>
        <w:spacing w:after="90"/>
      </w:pPr>
      <w:r>
        <w:t xml:space="preserve">Build the relationship Admin.LocationID -&gt; Location Master.LocationID.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A6192E"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A6192E"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A6192E"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Admin Spend (NGN)</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SUM(CostNGN)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Overall cost of running administrative services.</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Approval Rate %</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Approved requests / all requests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Efficiency of the approval workflow.</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Average Turnaround (Days)</w:t>
            </w:r>
          </w:p>
        </w:tc>
        <w:tc>
          <w:tcPr>
            <w:tcW w:type="dxa" w:w="3500"/>
            <w:tcMar>
              <w:top w:type="dxa" w:w="60"/>
              <w:left w:type="dxa" w:w="80"/>
              <w:bottom w:type="dxa" w:w="60"/>
              <w:right w:type="dxa" w:w="80"/>
            </w:tcMar>
            <w:vAlign w:val="center"/>
          </w:tcPr>
          <w:p>
            <w:pPr>
              <w:spacing w:after="0"/>
            </w:pPr>
            <w:r>
              <w:rPr>
                <w:b w:val="false"/>
                <w:bCs w:val="false"/>
                <w:sz w:val="18"/>
                <w:szCs w:val="18"/>
              </w:rPr>
              <w:t xml:space="preserve">AVG completion time for approved requests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Speed of service delivery.</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Open/Pending Requests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requests where ApprovalStatus=Pending</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Current backlog size.</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Bar chart: Total Spend by Category.</w:t>
      </w:r>
    </w:p>
    <w:p>
      <w:pPr>
        <w:pStyle w:val="ListParagraph"/>
        <w:numPr>
          <w:ilvl w:val="0"/>
          <w:numId w:val="1"/>
        </w:numPr>
        <w:spacing w:after="90"/>
      </w:pPr>
      <w:r>
        <w:t xml:space="preserve">Map/bar: Requests by Location.</w:t>
      </w:r>
    </w:p>
    <w:p>
      <w:pPr>
        <w:pStyle w:val="ListParagraph"/>
        <w:numPr>
          <w:ilvl w:val="0"/>
          <w:numId w:val="1"/>
        </w:numPr>
        <w:spacing w:after="90"/>
      </w:pPr>
      <w:r>
        <w:t xml:space="preserve">Donut chart: Requests by Approval Status.</w:t>
      </w:r>
    </w:p>
    <w:p>
      <w:pPr>
        <w:pStyle w:val="ListParagraph"/>
        <w:numPr>
          <w:ilvl w:val="0"/>
          <w:numId w:val="1"/>
        </w:numPr>
        <w:spacing w:after="90"/>
      </w:pPr>
      <w:r>
        <w:t xml:space="preserve">Table: All Pending requests older than 14 days.</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132E"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Coca-Cola Nigeria: Administration Services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A6192E" w:sz="8" w:space="4"/>
        </w:pBdr>
        <w:spacing w:after="200" w:before="360"/>
      </w:pPr>
      <w:r>
        <w:t xml:space="preserve">4.5 Customer Service</w:t>
      </w:r>
    </w:p>
    <w:p>
      <w:pPr>
        <w:spacing w:after="160"/>
      </w:pPr>
      <w:r>
        <w:rPr>
          <w:i/>
          <w:iCs/>
          <w:color w:val="5B6660"/>
          <w:sz w:val="19"/>
          <w:szCs w:val="19"/>
        </w:rPr>
        <w:t xml:space="preserve">Source sheet: Customer Service   |   Department code: CS</w:t>
      </w:r>
    </w:p>
    <w:p>
      <w:pPr>
        <w:pStyle w:val="Heading2"/>
        <w:spacing w:after="140" w:before="280"/>
      </w:pPr>
      <w:r>
        <w:t xml:space="preserve">Business Problems (Before The Dashboard)</w:t>
      </w:r>
    </w:p>
    <w:p>
      <w:pPr>
        <w:pStyle w:val="ListParagraph"/>
        <w:numPr>
          <w:ilvl w:val="0"/>
          <w:numId w:val="1"/>
        </w:numPr>
        <w:spacing w:after="90"/>
      </w:pPr>
      <w:r>
        <w:t xml:space="preserve">Customer complaints arrive through six different channels with no unified view of volume.</w:t>
      </w:r>
    </w:p>
    <w:p>
      <w:pPr>
        <w:pStyle w:val="ListParagraph"/>
        <w:numPr>
          <w:ilvl w:val="0"/>
          <w:numId w:val="1"/>
        </w:numPr>
        <w:spacing w:after="90"/>
      </w:pPr>
      <w:r>
        <w:t xml:space="preserve">Nobody can tell which product is generating the most complaints, or the worst satisfaction scores.</w:t>
      </w:r>
    </w:p>
    <w:p>
      <w:pPr>
        <w:pStyle w:val="ListParagraph"/>
        <w:numPr>
          <w:ilvl w:val="0"/>
          <w:numId w:val="1"/>
        </w:numPr>
        <w:spacing w:after="90"/>
      </w:pPr>
      <w:r>
        <w:t xml:space="preserve">Escalations are not tracked as a rate, so deteriorating service quality is not caught early.</w:t>
      </w:r>
    </w:p>
    <w:p>
      <w:pPr>
        <w:pStyle w:val="Heading2"/>
        <w:spacing w:after="140" w:before="280"/>
      </w:pPr>
      <w:r>
        <w:t xml:space="preserve">The Solution: Data Preparation &amp; Relationship-Building</w:t>
      </w:r>
    </w:p>
    <w:p>
      <w:pPr>
        <w:spacing w:after="160"/>
      </w:pPr>
      <w:r>
        <w:t xml:space="preserve">Connect the Customer Service sheet to the relevant master sheet(s) using the foreign-key columns identified in the column table below, via a many-to-one Tableau Relationship for each. This is what allows every business problem above to be answered, because it lets Customer Service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A6192E"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TicketID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complaint/ticket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ticket was logged.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Channel</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Call Centre, Social Media, Email, WhatsApp, Walk-in, Website.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Dimension for channel-mix analysis.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ProductID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Product the complaint concerns.</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Product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Site/region the ticket relates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Always CS.</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ComplaintType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Product Quality, Packaging Defect, Late Delivery, Wrong Product Delivered, Pricing Complaint, Counterfeit Report, General Inquiry.</w:t>
            </w:r>
          </w:p>
        </w:tc>
        <w:tc>
          <w:tcPr>
            <w:tcW w:type="dxa" w:w="3050"/>
            <w:tcMar>
              <w:top w:type="dxa" w:w="60"/>
              <w:left w:type="dxa" w:w="80"/>
              <w:bottom w:type="dxa" w:w="60"/>
              <w:right w:type="dxa" w:w="80"/>
            </w:tcMar>
            <w:vAlign w:val="center"/>
          </w:tcPr>
          <w:p>
            <w:pPr>
              <w:spacing w:after="0"/>
            </w:pPr>
            <w:r>
              <w:rPr>
                <w:b w:val="false"/>
                <w:bCs w:val="false"/>
                <w:sz w:val="18"/>
                <w:szCs w:val="18"/>
              </w:rPr>
              <w:t xml:space="preserve">Dimension for root-cause analysis.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Priority</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(ordinal)</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Low, Medium, High, Critical.</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Create a custom sort order and colour palette (green to red).</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AssignedEmployeeID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CS agent handling the ticket.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Employee Master; used for agent workload/performance.</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ResolutionTimeHours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Hours taken to resolve the ticket.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AVG aggregation; watch for skew from a few very slow tickets - consider a median via a table calc.</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CSAT_Score_1to5</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ordinal 1-5)</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Customer satisfaction score.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AVG aggregation for the headline CSAT KPI; also usable as a discrete colour dimension.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Status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Resolved, Open or Escalated.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Use as a filter and for backlog KPI.</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'Average CSAT' = AVG([CSAT_Score_1to5]).</w:t>
      </w:r>
    </w:p>
    <w:p>
      <w:pPr>
        <w:pStyle w:val="ListParagraph"/>
        <w:numPr>
          <w:ilvl w:val="0"/>
          <w:numId w:val="1"/>
        </w:numPr>
        <w:spacing w:after="90"/>
      </w:pPr>
      <w:r>
        <w:t xml:space="preserve">Create calculated field 'Average Resolution Time (Hrs)' = AVG([ResolutionTimeHours]).</w:t>
      </w:r>
    </w:p>
    <w:p>
      <w:pPr>
        <w:pStyle w:val="ListParagraph"/>
        <w:numPr>
          <w:ilvl w:val="0"/>
          <w:numId w:val="1"/>
        </w:numPr>
        <w:spacing w:after="90"/>
      </w:pPr>
      <w:r>
        <w:t xml:space="preserve">Create calculated field 'Escalation Rate %' = COUNTD(IIF([Status]="Escalated",[TicketID],NULL)) / COUNTD([TicketID]).</w:t>
      </w:r>
    </w:p>
    <w:p>
      <w:pPr>
        <w:pStyle w:val="ListParagraph"/>
        <w:numPr>
          <w:ilvl w:val="0"/>
          <w:numId w:val="1"/>
        </w:numPr>
        <w:spacing w:after="90"/>
      </w:pPr>
      <w:r>
        <w:t xml:space="preserve">Build the relationship CS.ProductID -&gt; Product Master.ProductID and CS.LocationID -&gt; Location Master.LocationID.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A6192E"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A6192E"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A6192E"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Average CSAT Score</w:t>
            </w:r>
          </w:p>
        </w:tc>
        <w:tc>
          <w:tcPr>
            <w:tcW w:type="dxa" w:w="3500"/>
            <w:tcMar>
              <w:top w:type="dxa" w:w="60"/>
              <w:left w:type="dxa" w:w="80"/>
              <w:bottom w:type="dxa" w:w="60"/>
              <w:right w:type="dxa" w:w="80"/>
            </w:tcMar>
            <w:vAlign w:val="center"/>
          </w:tcPr>
          <w:p>
            <w:pPr>
              <w:spacing w:after="0"/>
            </w:pPr>
            <w:r>
              <w:rPr>
                <w:b w:val="false"/>
                <w:bCs w:val="false"/>
                <w:sz w:val="18"/>
                <w:szCs w:val="18"/>
              </w:rPr>
              <w:t xml:space="preserve">AVG(CSAT_Score_1to5)</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Gauge (1-5 scale)</w:t>
            </w:r>
          </w:p>
        </w:tc>
        <w:tc>
          <w:tcPr>
            <w:tcW w:type="dxa" w:w="1850"/>
            <w:tcMar>
              <w:top w:type="dxa" w:w="60"/>
              <w:left w:type="dxa" w:w="80"/>
              <w:bottom w:type="dxa" w:w="60"/>
              <w:right w:type="dxa" w:w="80"/>
            </w:tcMar>
            <w:vAlign w:val="center"/>
          </w:tcPr>
          <w:p>
            <w:pPr>
              <w:spacing w:after="0"/>
            </w:pPr>
            <w:r>
              <w:rPr>
                <w:b w:val="false"/>
                <w:bCs w:val="false"/>
                <w:sz w:val="18"/>
                <w:szCs w:val="18"/>
              </w:rPr>
              <w:t xml:space="preserve">Headline customer happiness metric.</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Resolution Time (Hrs)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AVG(ResolutionTimeHours)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Service speed indicator.</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Escalation Rate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Escalated tickets / all tickets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Flags how often first-line service fails.</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Total Tickets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COUNTD(TicketID)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 + trend line</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Overall complaint/contact volume.</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Bar chart: Ticket Volume by Channel.</w:t>
      </w:r>
    </w:p>
    <w:p>
      <w:pPr>
        <w:pStyle w:val="ListParagraph"/>
        <w:numPr>
          <w:ilvl w:val="0"/>
          <w:numId w:val="1"/>
        </w:numPr>
        <w:spacing w:after="90"/>
      </w:pPr>
      <w:r>
        <w:t xml:space="preserve">Pie/Treemap: Tickets by Complaint Type.</w:t>
      </w:r>
    </w:p>
    <w:p>
      <w:pPr>
        <w:pStyle w:val="ListParagraph"/>
        <w:numPr>
          <w:ilvl w:val="0"/>
          <w:numId w:val="1"/>
        </w:numPr>
        <w:spacing w:after="90"/>
      </w:pPr>
      <w:r>
        <w:t xml:space="preserve">Bar chart: Tickets by Product, coloured by average CSAT.</w:t>
      </w:r>
    </w:p>
    <w:p>
      <w:pPr>
        <w:pStyle w:val="ListParagraph"/>
        <w:numPr>
          <w:ilvl w:val="0"/>
          <w:numId w:val="1"/>
        </w:numPr>
        <w:spacing w:after="90"/>
      </w:pPr>
      <w:r>
        <w:t xml:space="preserve">Area chart: Ticket Volume trend by Month, coloured by Priority.</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132E"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Coca-Cola Nigeria: Customer Experience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A6192E" w:sz="8" w:space="4"/>
        </w:pBdr>
        <w:spacing w:after="200" w:before="360"/>
      </w:pPr>
      <w:r>
        <w:t xml:space="preserve">4.6 Information Technology</w:t>
      </w:r>
    </w:p>
    <w:p>
      <w:pPr>
        <w:spacing w:after="160"/>
      </w:pPr>
      <w:r>
        <w:rPr>
          <w:i/>
          <w:iCs/>
          <w:color w:val="5B6660"/>
          <w:sz w:val="19"/>
          <w:szCs w:val="19"/>
        </w:rPr>
        <w:t xml:space="preserve">Source sheet: IT   |   Department code: IT</w:t>
      </w:r>
    </w:p>
    <w:p>
      <w:pPr>
        <w:pStyle w:val="Heading2"/>
        <w:spacing w:after="140" w:before="280"/>
      </w:pPr>
      <w:r>
        <w:t xml:space="preserve">Business Problems (Before The Dashboard)</w:t>
      </w:r>
    </w:p>
    <w:p>
      <w:pPr>
        <w:pStyle w:val="ListParagraph"/>
        <w:numPr>
          <w:ilvl w:val="0"/>
          <w:numId w:val="1"/>
        </w:numPr>
        <w:spacing w:after="90"/>
      </w:pPr>
      <w:r>
        <w:t xml:space="preserve">IT cannot currently prove whether it is meeting its own service-level targets.</w:t>
      </w:r>
    </w:p>
    <w:p>
      <w:pPr>
        <w:pStyle w:val="ListParagraph"/>
        <w:numPr>
          <w:ilvl w:val="0"/>
          <w:numId w:val="1"/>
        </w:numPr>
        <w:spacing w:after="90"/>
      </w:pPr>
      <w:r>
        <w:t xml:space="preserve">There is no ranked view of which ticket category (hardware, network, security, etc.) consumes the most support effort.</w:t>
      </w:r>
    </w:p>
    <w:p>
      <w:pPr>
        <w:pStyle w:val="ListParagraph"/>
        <w:numPr>
          <w:ilvl w:val="0"/>
          <w:numId w:val="1"/>
        </w:numPr>
        <w:spacing w:after="90"/>
      </w:pPr>
      <w:r>
        <w:t xml:space="preserve">Technician workload is not visible, making resourcing decisions a guess.</w:t>
      </w:r>
    </w:p>
    <w:p>
      <w:pPr>
        <w:pStyle w:val="Heading2"/>
        <w:spacing w:after="140" w:before="280"/>
      </w:pPr>
      <w:r>
        <w:t xml:space="preserve">The Solution: Data Preparation &amp; Relationship-Building</w:t>
      </w:r>
    </w:p>
    <w:p>
      <w:pPr>
        <w:spacing w:after="160"/>
      </w:pPr>
      <w:r>
        <w:t xml:space="preserve">Connect the IT sheet to the relevant master sheet(s) using the foreign-key columns identified in the column table below, via a many-to-one Tableau Relationship for each. This is what allows every business problem above to be answered, because it lets Information Technology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A6192E"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TicketID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IT support ticket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ticket was logged.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Site the ticket relates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Always IT.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Category</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Hardware, Software, Network, Security Incident, Access Request, ERP/SAP Support.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Dimension for ticket-mix analysis.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Priority</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(ordinal)</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Low, Medium, High, Critical.</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Custom sort order; drives the SLA target.</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RequestedByEmployeeID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Employee who raised the ticket.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Employee Master; can show which department raises most IT tickets.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AssignedITEmployeeID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IT staff member who resolved it.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 used for technician workload analysis.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SLA_TargetHours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Contracted resolution time for the ticket's priority.</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Reference measure; denominator/benchmark for SLA compliance.</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ActualResolutionHours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Actual hours taken to resolve.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Compared against SLA_TargetHours.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SLA_Met</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(Yes/No,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Whether the ticket was resolved within target.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Convert to a 1/0 calculated field for the SLA Compliance % KPI.</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Status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Resolved, Open or Escalated.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Filter for backlog KPI.</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'SLA Compliance %' = SUM(IIF([SLA_Met]="Yes",1,0)) / COUNTD([TicketID]).</w:t>
      </w:r>
    </w:p>
    <w:p>
      <w:pPr>
        <w:pStyle w:val="ListParagraph"/>
        <w:numPr>
          <w:ilvl w:val="0"/>
          <w:numId w:val="1"/>
        </w:numPr>
        <w:spacing w:after="90"/>
      </w:pPr>
      <w:r>
        <w:t xml:space="preserve">Create calculated field 'Avg Resolution Hours' = AVG([ActualResolutionHours]).</w:t>
      </w:r>
    </w:p>
    <w:p>
      <w:pPr>
        <w:pStyle w:val="ListParagraph"/>
        <w:numPr>
          <w:ilvl w:val="0"/>
          <w:numId w:val="1"/>
        </w:numPr>
        <w:spacing w:after="90"/>
      </w:pPr>
      <w:r>
        <w:t xml:space="preserve">Build the relationship IT.LocationID -&gt; Location Master.LocationID and IT.AssignedITEmployeeID -&gt; Employee Master.EmployeeID.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A6192E"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A6192E"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A6192E"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SLA Compliance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SUM(IIF(SLA_Met="Yes",1,0))/COUNTD(TicketID)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Gauge</w:t>
            </w:r>
          </w:p>
        </w:tc>
        <w:tc>
          <w:tcPr>
            <w:tcW w:type="dxa" w:w="1850"/>
            <w:tcMar>
              <w:top w:type="dxa" w:w="60"/>
              <w:left w:type="dxa" w:w="80"/>
              <w:bottom w:type="dxa" w:w="60"/>
              <w:right w:type="dxa" w:w="80"/>
            </w:tcMar>
            <w:vAlign w:val="center"/>
          </w:tcPr>
          <w:p>
            <w:pPr>
              <w:spacing w:after="0"/>
            </w:pPr>
            <w:r>
              <w:rPr>
                <w:b w:val="false"/>
                <w:bCs w:val="false"/>
                <w:sz w:val="18"/>
                <w:szCs w:val="18"/>
              </w:rPr>
              <w:t xml:space="preserve">Core IT service-level metric.</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Resolution Hours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AVG(ActualResolutionHours)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Speed of IT support.</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Critical Ticket Count</w:t>
            </w:r>
          </w:p>
        </w:tc>
        <w:tc>
          <w:tcPr>
            <w:tcW w:type="dxa" w:w="3500"/>
            <w:tcMar>
              <w:top w:type="dxa" w:w="60"/>
              <w:left w:type="dxa" w:w="80"/>
              <w:bottom w:type="dxa" w:w="60"/>
              <w:right w:type="dxa" w:w="80"/>
            </w:tcMar>
            <w:vAlign w:val="center"/>
          </w:tcPr>
          <w:p>
            <w:pPr>
              <w:spacing w:after="0"/>
            </w:pPr>
            <w:r>
              <w:rPr>
                <w:b w:val="false"/>
                <w:bCs w:val="false"/>
                <w:sz w:val="18"/>
                <w:szCs w:val="18"/>
              </w:rPr>
              <w:t xml:space="preserve">COUNTD tickets where Priority=Critical</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Volume of business-impacting incidents.</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Open Ticket Backlog</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tickets where Status&lt;&gt;Resolved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Current unresolved workload.</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Stacked bar: Ticket Volume by Category, coloured by Priority.</w:t>
      </w:r>
    </w:p>
    <w:p>
      <w:pPr>
        <w:pStyle w:val="ListParagraph"/>
        <w:numPr>
          <w:ilvl w:val="0"/>
          <w:numId w:val="1"/>
        </w:numPr>
        <w:spacing w:after="90"/>
      </w:pPr>
      <w:r>
        <w:t xml:space="preserve">Line chart: SLA Compliance % trend by Month.</w:t>
      </w:r>
    </w:p>
    <w:p>
      <w:pPr>
        <w:pStyle w:val="ListParagraph"/>
        <w:numPr>
          <w:ilvl w:val="0"/>
          <w:numId w:val="1"/>
        </w:numPr>
        <w:spacing w:after="90"/>
      </w:pPr>
      <w:r>
        <w:t xml:space="preserve">Bar chart: Average Resolution Hours by Assigned IT Employee.</w:t>
      </w:r>
    </w:p>
    <w:p>
      <w:pPr>
        <w:pStyle w:val="ListParagraph"/>
        <w:numPr>
          <w:ilvl w:val="0"/>
          <w:numId w:val="1"/>
        </w:numPr>
        <w:spacing w:after="90"/>
      </w:pPr>
      <w:r>
        <w:t xml:space="preserve">Bar chart: Tickets by Location.</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132E"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Coca-Cola Nigeria: IT Service Management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A6192E" w:sz="8" w:space="4"/>
        </w:pBdr>
        <w:spacing w:after="200" w:before="360"/>
      </w:pPr>
      <w:r>
        <w:t xml:space="preserve">4.7 Accounts and Finance</w:t>
      </w:r>
    </w:p>
    <w:p>
      <w:pPr>
        <w:spacing w:after="160"/>
      </w:pPr>
      <w:r>
        <w:rPr>
          <w:i/>
          <w:iCs/>
          <w:color w:val="5B6660"/>
          <w:sz w:val="19"/>
          <w:szCs w:val="19"/>
        </w:rPr>
        <w:t xml:space="preserve">Source sheet: Accounts and Finance   |   Department code: FIN</w:t>
      </w:r>
    </w:p>
    <w:p>
      <w:pPr>
        <w:pStyle w:val="Heading2"/>
        <w:spacing w:after="140" w:before="280"/>
      </w:pPr>
      <w:r>
        <w:t xml:space="preserve">Business Problems (Before The Dashboard)</w:t>
      </w:r>
    </w:p>
    <w:p>
      <w:pPr>
        <w:pStyle w:val="ListParagraph"/>
        <w:numPr>
          <w:ilvl w:val="0"/>
          <w:numId w:val="1"/>
        </w:numPr>
        <w:spacing w:after="90"/>
      </w:pPr>
      <w:r>
        <w:t xml:space="preserve">Finance cannot see, in one place, which departments are over or under budget.</w:t>
      </w:r>
    </w:p>
    <w:p>
      <w:pPr>
        <w:pStyle w:val="ListParagraph"/>
        <w:numPr>
          <w:ilvl w:val="0"/>
          <w:numId w:val="1"/>
        </w:numPr>
        <w:spacing w:after="90"/>
      </w:pPr>
      <w:r>
        <w:t xml:space="preserve">Revenue by product is buried in transaction-level data with no visual ranking.</w:t>
      </w:r>
    </w:p>
    <w:p>
      <w:pPr>
        <w:pStyle w:val="ListParagraph"/>
        <w:numPr>
          <w:ilvl w:val="0"/>
          <w:numId w:val="1"/>
        </w:numPr>
        <w:spacing w:after="90"/>
      </w:pPr>
      <w:r>
        <w:t xml:space="preserve">Variance trends over time are not tracked, so recurring overspend goes unnoticed until year-end.</w:t>
      </w:r>
    </w:p>
    <w:p>
      <w:pPr>
        <w:pStyle w:val="Heading2"/>
        <w:spacing w:after="140" w:before="280"/>
      </w:pPr>
      <w:r>
        <w:t xml:space="preserve">The Solution: Data Preparation &amp; Relationship-Building</w:t>
      </w:r>
    </w:p>
    <w:p>
      <w:pPr>
        <w:spacing w:after="160"/>
      </w:pPr>
      <w:r>
        <w:t xml:space="preserve">Connect the Accounts and Finance sheet to the relevant master sheet(s) using the foreign-key columns identified in the column table below, via a many-to-one Tableau Relationship for each. This is what allows every business problem above to be answered, because it lets Accounts and Finance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A6192E"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TransactionID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financial transaction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Transaction date.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Department the cost/revenue is attributed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Department Master; enables cost-by-department analysis across the whole company.</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Site the transaction relates to.</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AccountCategory</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Revenue, Cost of Goods Sold, Operating Expense, Capital Expenditure, Marketing Spend, Logistics Cost.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Primary dimension for the P&amp;L-style breakdown.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ProductID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 (blank for non-product lines)</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Product tied to Revenue/COGS/Marketing lines.</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Product Master; note some rows are legitimately blank (Opex/Capex are not product-specific) - handle as a null, not an error.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DescriptionNarration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Free-text narration.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Not aggregated; available for tooltip detail.</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BudgetNGN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Budgeted amount.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SUM aggregation; denominator for variance %.</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ActualAmountNGN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Actual amount recorded.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SUM aggregation; numerator for variance.</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VarianceNGN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Actual minus Budget.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Cross-check with a Tableau calculated field; colour red/green by sign.</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Variance_Percent</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Variance as a % of Budget.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Format as a percentage; use for the variance heat map.</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ApprovedByEmployeeID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Finance officer who approved the transaction.</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'Total Actual (NGN)' = SUM([ActualAmountNGN]).</w:t>
      </w:r>
    </w:p>
    <w:p>
      <w:pPr>
        <w:pStyle w:val="ListParagraph"/>
        <w:numPr>
          <w:ilvl w:val="0"/>
          <w:numId w:val="1"/>
        </w:numPr>
        <w:spacing w:after="90"/>
      </w:pPr>
      <w:r>
        <w:t xml:space="preserve">Create calculated field 'Budget Variance %' = SUM([ActualAmountNGN]-[BudgetNGN]) / SUM([BudgetNGN]).</w:t>
      </w:r>
    </w:p>
    <w:p>
      <w:pPr>
        <w:pStyle w:val="ListParagraph"/>
        <w:numPr>
          <w:ilvl w:val="0"/>
          <w:numId w:val="1"/>
        </w:numPr>
        <w:spacing w:after="90"/>
      </w:pPr>
      <w:r>
        <w:t xml:space="preserve">Create calculated field 'Net Revenue less COGS' using an IIF on AccountCategory to isolate Revenue and COGS rows before subtracting.</w:t>
      </w:r>
    </w:p>
    <w:p>
      <w:pPr>
        <w:pStyle w:val="ListParagraph"/>
        <w:numPr>
          <w:ilvl w:val="0"/>
          <w:numId w:val="1"/>
        </w:numPr>
        <w:spacing w:after="90"/>
      </w:pPr>
      <w:r>
        <w:t xml:space="preserve">Build the relationship Finance.DeptCode -&gt; Department Master.DeptCode, Finance.LocationID -&gt; Location Master.LocationID, and Finance.ProductID -&gt; Product Master.ProductID (left/many-to-one, allowing nulls for non-product lines).</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A6192E"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A6192E"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A6192E"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Revenue (NGN)</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SUM(ActualAmountNGN) where AccountCategory=Revenue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Top-line performance.</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Budget Variance %</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SUM(Actual-Budget)/SUM(Budget)</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 colour-coded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Overall financial discipline indicator.</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Operating Expense (NGN)</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SUM(ActualAmountNGN) where AccountCategory=Operating Expense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Cost-control tracking.</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Spend by Department (NGN)</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SUM(ActualAmountNGN) by 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Bar chart</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Shows which function is consuming the most budget.</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Treemap: Actual Spend by Account Category.</w:t>
      </w:r>
    </w:p>
    <w:p>
      <w:pPr>
        <w:pStyle w:val="ListParagraph"/>
        <w:numPr>
          <w:ilvl w:val="0"/>
          <w:numId w:val="1"/>
        </w:numPr>
        <w:spacing w:after="90"/>
      </w:pPr>
      <w:r>
        <w:t xml:space="preserve">Bar chart: Revenue by Product.</w:t>
      </w:r>
    </w:p>
    <w:p>
      <w:pPr>
        <w:pStyle w:val="ListParagraph"/>
        <w:numPr>
          <w:ilvl w:val="0"/>
          <w:numId w:val="1"/>
        </w:numPr>
        <w:spacing w:after="90"/>
      </w:pPr>
      <w:r>
        <w:t xml:space="preserve">Line chart: Monthly Actual vs Budget trend.</w:t>
      </w:r>
    </w:p>
    <w:p>
      <w:pPr>
        <w:pStyle w:val="ListParagraph"/>
        <w:numPr>
          <w:ilvl w:val="0"/>
          <w:numId w:val="1"/>
        </w:numPr>
        <w:spacing w:after="90"/>
      </w:pPr>
      <w:r>
        <w:t xml:space="preserve">Heat map: Variance % by Department x Month.</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132E"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Coca-Cola Nigeria: Finance Performance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A6192E" w:sz="8" w:space="4"/>
        </w:pBdr>
        <w:spacing w:after="200" w:before="360"/>
      </w:pPr>
      <w:r>
        <w:t xml:space="preserve">4.8 Human Resources</w:t>
      </w:r>
    </w:p>
    <w:p>
      <w:pPr>
        <w:spacing w:after="160"/>
      </w:pPr>
      <w:r>
        <w:rPr>
          <w:i/>
          <w:iCs/>
          <w:color w:val="5B6660"/>
          <w:sz w:val="19"/>
          <w:szCs w:val="19"/>
        </w:rPr>
        <w:t xml:space="preserve">Source sheet: Human Resources   |   Department code: HR</w:t>
      </w:r>
    </w:p>
    <w:p>
      <w:pPr>
        <w:pStyle w:val="Heading2"/>
        <w:spacing w:after="140" w:before="280"/>
      </w:pPr>
      <w:r>
        <w:t xml:space="preserve">Business Problems (Before The Dashboard)</w:t>
      </w:r>
    </w:p>
    <w:p>
      <w:pPr>
        <w:pStyle w:val="ListParagraph"/>
        <w:numPr>
          <w:ilvl w:val="0"/>
          <w:numId w:val="1"/>
        </w:numPr>
        <w:spacing w:after="90"/>
      </w:pPr>
      <w:r>
        <w:t xml:space="preserve">HR cannot currently see attrition as a rate broken down by department, only as a raw headcount list.</w:t>
      </w:r>
    </w:p>
    <w:p>
      <w:pPr>
        <w:pStyle w:val="ListParagraph"/>
        <w:numPr>
          <w:ilvl w:val="0"/>
          <w:numId w:val="1"/>
        </w:numPr>
        <w:spacing w:after="90"/>
      </w:pPr>
      <w:r>
        <w:t xml:space="preserve">Training investment is not linked back to performance ratings to judge return on learning spend.</w:t>
      </w:r>
    </w:p>
    <w:p>
      <w:pPr>
        <w:pStyle w:val="ListParagraph"/>
        <w:numPr>
          <w:ilvl w:val="0"/>
          <w:numId w:val="1"/>
        </w:numPr>
        <w:spacing w:after="90"/>
      </w:pPr>
      <w:r>
        <w:t xml:space="preserve">Leave-taking patterns across departments are invisible, hiding potential burnout risk.</w:t>
      </w:r>
    </w:p>
    <w:p>
      <w:pPr>
        <w:pStyle w:val="Heading2"/>
        <w:spacing w:after="140" w:before="280"/>
      </w:pPr>
      <w:r>
        <w:t xml:space="preserve">The Solution: Data Preparation &amp; Relationship-Building</w:t>
      </w:r>
    </w:p>
    <w:p>
      <w:pPr>
        <w:spacing w:after="160"/>
      </w:pPr>
      <w:r>
        <w:t xml:space="preserve">Connect the Human Resources sheet to the relevant master sheet(s) using the foreign-key columns identified in the column table below, via a many-to-one Tableau Relationship for each. This is what allows every business problem above to be answered, because it lets Human Resources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A6192E"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TrainingID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HR event/training record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of the training/HR event.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EmployeeID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Employee the record relates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Employee Master - this is the sheet's primary link back to the people dimension.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 (copied from Employee Master)</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Employee's department at the time of the record.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 also cross-check it always matches the employee's DeptCode in Employee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 (copied from Employee Master)</w:t>
            </w:r>
          </w:p>
        </w:tc>
        <w:tc>
          <w:tcPr>
            <w:tcW w:type="dxa" w:w="2900"/>
            <w:tcMar>
              <w:top w:type="dxa" w:w="60"/>
              <w:left w:type="dxa" w:w="80"/>
              <w:bottom w:type="dxa" w:w="60"/>
              <w:right w:type="dxa" w:w="80"/>
            </w:tcMar>
            <w:vAlign w:val="center"/>
          </w:tcPr>
          <w:p>
            <w:pPr>
              <w:spacing w:after="0"/>
            </w:pPr>
            <w:r>
              <w:rPr>
                <w:b w:val="false"/>
                <w:bCs w:val="false"/>
                <w:sz w:val="18"/>
                <w:szCs w:val="18"/>
              </w:rPr>
              <w:t xml:space="preserve">Employee's site at the time of the record.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TrainingType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Technical Skills, Leadership Development, Health &amp; Safety, Compliance Refresher, Tableau/Data Analytics, Customer Excellence, Onboarding.</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Dimension for training-mix analysis.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TrainingHours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Hours of training delivered.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SUM aggregation for total training hours.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TrainingCostNGN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Cost of the training.</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SUM aggregation; format as currency.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PerformanceRating_1to5</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ordinal 1-5)</w:t>
            </w:r>
          </w:p>
        </w:tc>
        <w:tc>
          <w:tcPr>
            <w:tcW w:type="dxa" w:w="2900"/>
            <w:tcMar>
              <w:top w:type="dxa" w:w="60"/>
              <w:left w:type="dxa" w:w="80"/>
              <w:bottom w:type="dxa" w:w="60"/>
              <w:right w:type="dxa" w:w="80"/>
            </w:tcMar>
            <w:vAlign w:val="center"/>
          </w:tcPr>
          <w:p>
            <w:pPr>
              <w:spacing w:after="0"/>
            </w:pPr>
            <w:r>
              <w:rPr>
                <w:b w:val="false"/>
                <w:bCs w:val="false"/>
                <w:sz w:val="18"/>
                <w:szCs w:val="18"/>
              </w:rPr>
              <w:t xml:space="preserve">Most recent performance rating.</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AVG aggregation for average performance KPI; also usable as a discrete colour dimension.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LeaveDaysTakenYTD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Leave days taken year-to-date.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AVG/SUM aggregation; useful for a box-and-whisker plot of leave distribution.</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AttritionFlag</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(Yes/No)</w:t>
            </w:r>
          </w:p>
        </w:tc>
        <w:tc>
          <w:tcPr>
            <w:tcW w:type="dxa" w:w="2900"/>
            <w:tcMar>
              <w:top w:type="dxa" w:w="60"/>
              <w:left w:type="dxa" w:w="80"/>
              <w:bottom w:type="dxa" w:w="60"/>
              <w:right w:type="dxa" w:w="80"/>
            </w:tcMar>
            <w:vAlign w:val="center"/>
          </w:tcPr>
          <w:p>
            <w:pPr>
              <w:spacing w:after="0"/>
            </w:pPr>
            <w:r>
              <w:rPr>
                <w:b w:val="false"/>
                <w:bCs w:val="false"/>
                <w:sz w:val="18"/>
                <w:szCs w:val="18"/>
              </w:rPr>
              <w:t xml:space="preserve">Whether this record relates to an employee who has exited.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Convert to 1/0 for the Attrition Rate % calculated field.</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'Attrition Rate %' = COUNTD(IIF([AttritionFlag]="Yes",[EmployeeID],NULL)) / COUNTD([EmployeeID]).</w:t>
      </w:r>
    </w:p>
    <w:p>
      <w:pPr>
        <w:pStyle w:val="ListParagraph"/>
        <w:numPr>
          <w:ilvl w:val="0"/>
          <w:numId w:val="1"/>
        </w:numPr>
        <w:spacing w:after="90"/>
      </w:pPr>
      <w:r>
        <w:t xml:space="preserve">Create calculated field 'Average Performance Rating' = AVG([PerformanceRating_1to5]).</w:t>
      </w:r>
    </w:p>
    <w:p>
      <w:pPr>
        <w:pStyle w:val="ListParagraph"/>
        <w:numPr>
          <w:ilvl w:val="0"/>
          <w:numId w:val="1"/>
        </w:numPr>
        <w:spacing w:after="90"/>
      </w:pPr>
      <w:r>
        <w:t xml:space="preserve">Create calculated field 'Total Training Investment (NGN)' = SUM([TrainingCostNGN]).</w:t>
      </w:r>
    </w:p>
    <w:p>
      <w:pPr>
        <w:pStyle w:val="ListParagraph"/>
        <w:numPr>
          <w:ilvl w:val="0"/>
          <w:numId w:val="1"/>
        </w:numPr>
        <w:spacing w:after="90"/>
      </w:pPr>
      <w:r>
        <w:t xml:space="preserve">Build the relationship HR.EmployeeID -&gt; Employee Master.EmployeeID (one-to-many, since one employee can have several training records).</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A6192E"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A6192E"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A6192E"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Attrition Rate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Exited employees / all employees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Headline retention metric.</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Performance Rating</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AVG(PerformanceRating_1to5)</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Gauge (1-5 scale)</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Workforce performance health check.</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Training Hours</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SUM(TrainingHours)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 + bar by TrainingType</w:t>
            </w:r>
          </w:p>
        </w:tc>
        <w:tc>
          <w:tcPr>
            <w:tcW w:type="dxa" w:w="1850"/>
            <w:tcMar>
              <w:top w:type="dxa" w:w="60"/>
              <w:left w:type="dxa" w:w="80"/>
              <w:bottom w:type="dxa" w:w="60"/>
              <w:right w:type="dxa" w:w="80"/>
            </w:tcMar>
            <w:vAlign w:val="center"/>
          </w:tcPr>
          <w:p>
            <w:pPr>
              <w:spacing w:after="0"/>
            </w:pPr>
            <w:r>
              <w:rPr>
                <w:b w:val="false"/>
                <w:bCs w:val="false"/>
                <w:sz w:val="18"/>
                <w:szCs w:val="18"/>
              </w:rPr>
              <w:t xml:space="preserve">Learning &amp; development investment in time.</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Total Training Cost (NGN)</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SUM(TrainingCostNGN)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Learning &amp; development investment in cost.</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Bar chart: Headcount by Department (from Employee Master, related via HR sheet).</w:t>
      </w:r>
    </w:p>
    <w:p>
      <w:pPr>
        <w:pStyle w:val="ListParagraph"/>
        <w:numPr>
          <w:ilvl w:val="0"/>
          <w:numId w:val="1"/>
        </w:numPr>
        <w:spacing w:after="90"/>
      </w:pPr>
      <w:r>
        <w:t xml:space="preserve">Donut chart: Gender distribution.</w:t>
      </w:r>
    </w:p>
    <w:p>
      <w:pPr>
        <w:pStyle w:val="ListParagraph"/>
        <w:numPr>
          <w:ilvl w:val="0"/>
          <w:numId w:val="1"/>
        </w:numPr>
        <w:spacing w:after="90"/>
      </w:pPr>
      <w:r>
        <w:t xml:space="preserve">Bar chart: Training Hours by Training Type.</w:t>
      </w:r>
    </w:p>
    <w:p>
      <w:pPr>
        <w:pStyle w:val="ListParagraph"/>
        <w:numPr>
          <w:ilvl w:val="0"/>
          <w:numId w:val="1"/>
        </w:numPr>
        <w:spacing w:after="90"/>
      </w:pPr>
      <w:r>
        <w:t xml:space="preserve">Box-and-whisker plot: Leave Days Taken YTD by Department.</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132E"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Coca-Cola Nigeria: Human Capital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A6192E" w:sz="8" w:space="4"/>
        </w:pBdr>
        <w:spacing w:after="200" w:before="360"/>
      </w:pPr>
      <w:r>
        <w:t xml:space="preserve">4.9 Internal Control</w:t>
      </w:r>
    </w:p>
    <w:p>
      <w:pPr>
        <w:spacing w:after="160"/>
      </w:pPr>
      <w:r>
        <w:rPr>
          <w:i/>
          <w:iCs/>
          <w:color w:val="5B6660"/>
          <w:sz w:val="19"/>
          <w:szCs w:val="19"/>
        </w:rPr>
        <w:t xml:space="preserve">Source sheet: Internal Control   |   Department code: IC</w:t>
      </w:r>
    </w:p>
    <w:p>
      <w:pPr>
        <w:pStyle w:val="Heading2"/>
        <w:spacing w:after="140" w:before="280"/>
      </w:pPr>
      <w:r>
        <w:t xml:space="preserve">Business Problems (Before The Dashboard)</w:t>
      </w:r>
    </w:p>
    <w:p>
      <w:pPr>
        <w:pStyle w:val="ListParagraph"/>
        <w:numPr>
          <w:ilvl w:val="0"/>
          <w:numId w:val="1"/>
        </w:numPr>
        <w:spacing w:after="90"/>
      </w:pPr>
      <w:r>
        <w:t xml:space="preserve">There is no single view of which department has the most repeat control weaknesses.</w:t>
      </w:r>
    </w:p>
    <w:p>
      <w:pPr>
        <w:pStyle w:val="ListParagraph"/>
        <w:numPr>
          <w:ilvl w:val="0"/>
          <w:numId w:val="1"/>
        </w:numPr>
        <w:spacing w:after="90"/>
      </w:pPr>
      <w:r>
        <w:t xml:space="preserve">Overdue remediation items are not flagged proactively, only discovered when the next audit cycle starts.</w:t>
      </w:r>
    </w:p>
    <w:p>
      <w:pPr>
        <w:pStyle w:val="ListParagraph"/>
        <w:numPr>
          <w:ilvl w:val="0"/>
          <w:numId w:val="1"/>
        </w:numPr>
        <w:spacing w:after="90"/>
      </w:pPr>
      <w:r>
        <w:t xml:space="preserve">Severity of findings is not visually distinguished from volume, so a department with many Low findings can look worse than one with few High findings.</w:t>
      </w:r>
    </w:p>
    <w:p>
      <w:pPr>
        <w:pStyle w:val="Heading2"/>
        <w:spacing w:after="140" w:before="280"/>
      </w:pPr>
      <w:r>
        <w:t xml:space="preserve">The Solution: Data Preparation &amp; Relationship-Building</w:t>
      </w:r>
    </w:p>
    <w:p>
      <w:pPr>
        <w:spacing w:after="160"/>
      </w:pPr>
      <w:r>
        <w:t xml:space="preserve">Connect the Internal Control sheet to the relevant master sheet(s) using the foreign-key columns identified in the column table below, via a many-to-one Tableau Relationship for each. This is what allows every business problem above to be answered, because it lets Internal Control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A6192E"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AuditID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audit/review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audit finding was raised.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DeptCodeAudited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Department that was audited.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Department Master; central to the 'which department has the most findings' analysis.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Site that was audited.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ControlArea</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Cash Management, Inventory Controls, Procurement Compliance, Payroll Controls, IT Access Controls, Fixed Assets, Revenue Assurance, Expense Authorization.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Dimension for control-area heat map.</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Finding</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Description of the audit finding, or 'No Exception Noted'.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Filter out 'No Exception Noted' before building the findings-only charts, but keep it for a 'clean audit rate' KPI.</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Severity</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(ordinal, blank/None when no finding)</w:t>
            </w:r>
          </w:p>
        </w:tc>
        <w:tc>
          <w:tcPr>
            <w:tcW w:type="dxa" w:w="2900"/>
            <w:tcMar>
              <w:top w:type="dxa" w:w="60"/>
              <w:left w:type="dxa" w:w="80"/>
              <w:bottom w:type="dxa" w:w="60"/>
              <w:right w:type="dxa" w:w="80"/>
            </w:tcMar>
            <w:vAlign w:val="center"/>
          </w:tcPr>
          <w:p>
            <w:pPr>
              <w:spacing w:after="0"/>
            </w:pPr>
            <w:r>
              <w:rPr>
                <w:b w:val="false"/>
                <w:bCs w:val="false"/>
                <w:sz w:val="18"/>
                <w:szCs w:val="18"/>
              </w:rPr>
              <w:t xml:space="preserve">Low, Medium, High, or None.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Custom sort order; handle 'None' as a distinct, expected category rather than a data error.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ResponsibleEmployeeID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Internal Control officer who raised/owns the finding.</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Status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Closed, In Progress or Overdue.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for the Overdue Findings KPI.</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TargetRemediationDate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by which the finding should be fixed.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Compare to TODAY() to flag overdue items dynamically in Tableau, in addition to the static Status column.</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DaysToRemediate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TargetRemediationDate minus Date raised.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AVG aggregation; cross-check against a Tableau DATEDIFF calculated field.</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'Findings Count' = COUNTD(IIF([Finding]&lt;&gt;"No Exception Noted",[AuditID],NULL)).</w:t>
      </w:r>
    </w:p>
    <w:p>
      <w:pPr>
        <w:pStyle w:val="ListParagraph"/>
        <w:numPr>
          <w:ilvl w:val="0"/>
          <w:numId w:val="1"/>
        </w:numPr>
        <w:spacing w:after="90"/>
      </w:pPr>
      <w:r>
        <w:t xml:space="preserve">Create calculated field 'Clean Audit Rate %' = COUNTD(IIF([Finding]="No Exception Noted",[AuditID],NULL)) / COUNTD([AuditID]).</w:t>
      </w:r>
    </w:p>
    <w:p>
      <w:pPr>
        <w:pStyle w:val="ListParagraph"/>
        <w:numPr>
          <w:ilvl w:val="0"/>
          <w:numId w:val="1"/>
        </w:numPr>
        <w:spacing w:after="90"/>
      </w:pPr>
      <w:r>
        <w:t xml:space="preserve">Create calculated field 'Is Overdue (Live)' = IIF([Status]&lt;&gt;"Closed" AND [TargetRemediationDate]&lt;TODAY(),1,0), to flag overdue items even if the Status field has not been refreshed.</w:t>
      </w:r>
    </w:p>
    <w:p>
      <w:pPr>
        <w:pStyle w:val="ListParagraph"/>
        <w:numPr>
          <w:ilvl w:val="0"/>
          <w:numId w:val="1"/>
        </w:numPr>
        <w:spacing w:after="90"/>
      </w:pPr>
      <w:r>
        <w:t xml:space="preserve">Build the relationship IC.DeptCodeAudited -&gt; Department Master.DeptCode and IC.ResponsibleEmployeeID -&gt; Employee Master.EmployeeID.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A6192E"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A6192E"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A6192E"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Findings</w:t>
            </w:r>
          </w:p>
        </w:tc>
        <w:tc>
          <w:tcPr>
            <w:tcW w:type="dxa" w:w="3500"/>
            <w:tcMar>
              <w:top w:type="dxa" w:w="60"/>
              <w:left w:type="dxa" w:w="80"/>
              <w:bottom w:type="dxa" w:w="60"/>
              <w:right w:type="dxa" w:w="80"/>
            </w:tcMar>
            <w:vAlign w:val="center"/>
          </w:tcPr>
          <w:p>
            <w:pPr>
              <w:spacing w:after="0"/>
            </w:pPr>
            <w:r>
              <w:rPr>
                <w:b w:val="false"/>
                <w:bCs w:val="false"/>
                <w:sz w:val="18"/>
                <w:szCs w:val="18"/>
              </w:rPr>
              <w:t xml:space="preserve">COUNTD findings excluding 'No Exception Noted'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Overall control-weakness volume.</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Overdue Findings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findings where Status=Overdue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Findings that have breached their remediation deadline.</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Clean Audit Rate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Audits with no exception / all audits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Share of audits that passed cleanly.</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Days to Remediate</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AVG(DaysToRemediate)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Speed of closing control gaps.</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Heat map: Findings by Control Area x Department Audited.</w:t>
      </w:r>
    </w:p>
    <w:p>
      <w:pPr>
        <w:pStyle w:val="ListParagraph"/>
        <w:numPr>
          <w:ilvl w:val="0"/>
          <w:numId w:val="1"/>
        </w:numPr>
        <w:spacing w:after="90"/>
      </w:pPr>
      <w:r>
        <w:t xml:space="preserve">Bar chart: Findings by Severity.</w:t>
      </w:r>
    </w:p>
    <w:p>
      <w:pPr>
        <w:pStyle w:val="ListParagraph"/>
        <w:numPr>
          <w:ilvl w:val="0"/>
          <w:numId w:val="1"/>
        </w:numPr>
        <w:spacing w:after="90"/>
      </w:pPr>
      <w:r>
        <w:t xml:space="preserve">Bar chart: Findings by Status (Closed / In Progress / Overdue).</w:t>
      </w:r>
    </w:p>
    <w:p>
      <w:pPr>
        <w:pStyle w:val="ListParagraph"/>
        <w:numPr>
          <w:ilvl w:val="0"/>
          <w:numId w:val="1"/>
        </w:numPr>
        <w:spacing w:after="90"/>
      </w:pPr>
      <w:r>
        <w:t xml:space="preserve">Table: All Overdue findings with days past target date.</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132E"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Coca-Cola Nigeria: Internal Control and Audit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A6192E" w:sz="8" w:space="4"/>
        </w:pBdr>
        <w:spacing w:after="200" w:before="360"/>
      </w:pPr>
      <w:r>
        <w:t xml:space="preserve">4.10 Risk Management and Compliance</w:t>
      </w:r>
    </w:p>
    <w:p>
      <w:pPr>
        <w:spacing w:after="160"/>
      </w:pPr>
      <w:r>
        <w:rPr>
          <w:i/>
          <w:iCs/>
          <w:color w:val="5B6660"/>
          <w:sz w:val="19"/>
          <w:szCs w:val="19"/>
        </w:rPr>
        <w:t xml:space="preserve">Source sheet: Risk Management and Compliance   |   Department code: RMC</w:t>
      </w:r>
    </w:p>
    <w:p>
      <w:pPr>
        <w:pStyle w:val="Heading2"/>
        <w:spacing w:after="140" w:before="280"/>
      </w:pPr>
      <w:r>
        <w:t xml:space="preserve">Business Problems (Before The Dashboard)</w:t>
      </w:r>
    </w:p>
    <w:p>
      <w:pPr>
        <w:pStyle w:val="ListParagraph"/>
        <w:numPr>
          <w:ilvl w:val="0"/>
          <w:numId w:val="1"/>
        </w:numPr>
        <w:spacing w:after="90"/>
      </w:pPr>
      <w:r>
        <w:t xml:space="preserve">The company has a risk register but no visual heat map to prioritise where to act first.</w:t>
      </w:r>
    </w:p>
    <w:p>
      <w:pPr>
        <w:pStyle w:val="ListParagraph"/>
        <w:numPr>
          <w:ilvl w:val="0"/>
          <w:numId w:val="1"/>
        </w:numPr>
        <w:spacing w:after="90"/>
      </w:pPr>
      <w:r>
        <w:t xml:space="preserve">Regulatory exposure (NAFDAC, SON, FIRS, NDPR, etc.) is not broken out to show which regulation carries the most open risk.</w:t>
      </w:r>
    </w:p>
    <w:p>
      <w:pPr>
        <w:pStyle w:val="ListParagraph"/>
        <w:numPr>
          <w:ilvl w:val="0"/>
          <w:numId w:val="1"/>
        </w:numPr>
        <w:spacing w:after="90"/>
      </w:pPr>
      <w:r>
        <w:t xml:space="preserve">Mitigation progress is not tracked visually, so stalled risks are hard to spot.</w:t>
      </w:r>
    </w:p>
    <w:p>
      <w:pPr>
        <w:pStyle w:val="Heading2"/>
        <w:spacing w:after="140" w:before="280"/>
      </w:pPr>
      <w:r>
        <w:t xml:space="preserve">The Solution: Data Preparation &amp; Relationship-Building</w:t>
      </w:r>
    </w:p>
    <w:p>
      <w:pPr>
        <w:spacing w:after="160"/>
      </w:pPr>
      <w:r>
        <w:t xml:space="preserve">Connect the Risk Management and Compliance sheet to the relevant master sheet(s) using the foreign-key columns identified in the column table below, via a many-to-one Tableau Relationship for each. This is what allows every business problem above to be answered, because it lets Risk Management and Compliance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A6192E"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A6192E"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A6192E"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RiskID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risk register entry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DateIdentified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risk was logged.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Department that owns/is exposed to the risk.</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Department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Site the risk relates to.</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RiskCategory</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Operational, Financial, Regulatory/Compliance, Health &amp; Safety, Supply Chain, Cybersecurity, Reputational, Fraud.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Primary dimension for the risk register breakdown.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RiskDescription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Free-text description.</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Not aggregated; tooltip detail only.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Likelihood_1to5</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ordinal 1-5)</w:t>
            </w:r>
          </w:p>
        </w:tc>
        <w:tc>
          <w:tcPr>
            <w:tcW w:type="dxa" w:w="2900"/>
            <w:tcMar>
              <w:top w:type="dxa" w:w="60"/>
              <w:left w:type="dxa" w:w="80"/>
              <w:bottom w:type="dxa" w:w="60"/>
              <w:right w:type="dxa" w:w="80"/>
            </w:tcMar>
            <w:vAlign w:val="center"/>
          </w:tcPr>
          <w:p>
            <w:pPr>
              <w:spacing w:after="0"/>
            </w:pPr>
            <w:r>
              <w:rPr>
                <w:b w:val="false"/>
                <w:bCs w:val="false"/>
                <w:sz w:val="18"/>
                <w:szCs w:val="18"/>
              </w:rPr>
              <w:t xml:space="preserve">Probability rating.</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Used as one axis of the risk heat map; also multiplied into RiskScore.</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Impact_1to5</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 ordinal 1-5)</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Severity rating.</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Used as the other axis of the risk heat map; also multiplied into RiskScore.</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RiskScore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Likelihood x Impact.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Cross-check with a Tableau calculated field; bucket into Low/Medium/High/Critical bands with a calculated field for the KPI cards.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ComplianceRegulation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Relevant Nigerian regulatory framework (NAFDAC, SON, FIRS, NDPR, Labour Act, NESREA) or 'Not Applicable'.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Dimension for regulatory-exposure analysis; filter out 'Not Applicable' for the compliance-specific view.</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MitigationStatus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Mitigated, In Progress or Not Started.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for the Mitigation Status donut and the Unmitigated Risk KPI.</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RiskOwnerEmployeeID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Risk &amp; Compliance officer who owns the risk.</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'Risk Band' = IF [RiskScore] &gt;= 20 THEN "Critical" ELSEIF [RiskScore] &gt;= 12 THEN "High" ELSEIF [RiskScore] &gt;= 6 THEN "Medium" ELSE "Low" END.</w:t>
      </w:r>
    </w:p>
    <w:p>
      <w:pPr>
        <w:pStyle w:val="ListParagraph"/>
        <w:numPr>
          <w:ilvl w:val="0"/>
          <w:numId w:val="1"/>
        </w:numPr>
        <w:spacing w:after="90"/>
      </w:pPr>
      <w:r>
        <w:t xml:space="preserve">Create calculated field 'Unmitigated Risk Count' = COUNTD(IIF([MitigationStatus]&lt;&gt;"Mitigated",[RiskID],NULL)).</w:t>
      </w:r>
    </w:p>
    <w:p>
      <w:pPr>
        <w:pStyle w:val="ListParagraph"/>
        <w:numPr>
          <w:ilvl w:val="0"/>
          <w:numId w:val="1"/>
        </w:numPr>
        <w:spacing w:after="90"/>
      </w:pPr>
      <w:r>
        <w:t xml:space="preserve">Create calculated field 'Average Risk Score' = AVG([RiskScore]).</w:t>
      </w:r>
    </w:p>
    <w:p>
      <w:pPr>
        <w:pStyle w:val="ListParagraph"/>
        <w:numPr>
          <w:ilvl w:val="0"/>
          <w:numId w:val="1"/>
        </w:numPr>
        <w:spacing w:after="90"/>
      </w:pPr>
      <w:r>
        <w:t xml:space="preserve">Build the relationship RMC.DeptCode -&gt; Department Master.DeptCode and RMC.RiskOwnerEmployeeID -&gt; Employee Master.EmployeeID.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A6192E"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A6192E"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A6192E"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A6192E"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Average Risk Score</w:t>
            </w:r>
          </w:p>
        </w:tc>
        <w:tc>
          <w:tcPr>
            <w:tcW w:type="dxa" w:w="3500"/>
            <w:tcMar>
              <w:top w:type="dxa" w:w="60"/>
              <w:left w:type="dxa" w:w="80"/>
              <w:bottom w:type="dxa" w:w="60"/>
              <w:right w:type="dxa" w:w="80"/>
            </w:tcMar>
            <w:vAlign w:val="center"/>
          </w:tcPr>
          <w:p>
            <w:pPr>
              <w:spacing w:after="0"/>
            </w:pPr>
            <w:r>
              <w:rPr>
                <w:b w:val="false"/>
                <w:bCs w:val="false"/>
                <w:sz w:val="18"/>
                <w:szCs w:val="18"/>
              </w:rPr>
              <w:t xml:space="preserve">AVG(Likelihood x Impact)</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Overall risk exposure level.</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Critical/High Risk Count</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risks where Risk Band is Critical or High</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Volume of top-tier risks needing attention.</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Unmitigated Risk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Risks not yet Mitigated / all risks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Share of the risk register still exposed.</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Risks by Regulation</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risks by ComplianceRegulation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Bar chart</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Shows concentration of regulatory exposure.</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Heat map / scatter: Likelihood x Impact grid (the classic 5x5 risk matrix), sized by risk count, coloured by Risk Band.</w:t>
      </w:r>
    </w:p>
    <w:p>
      <w:pPr>
        <w:pStyle w:val="ListParagraph"/>
        <w:numPr>
          <w:ilvl w:val="0"/>
          <w:numId w:val="1"/>
        </w:numPr>
        <w:spacing w:after="90"/>
      </w:pPr>
      <w:r>
        <w:t xml:space="preserve">Donut chart: Risks by Mitigation Status.</w:t>
      </w:r>
    </w:p>
    <w:p>
      <w:pPr>
        <w:pStyle w:val="ListParagraph"/>
        <w:numPr>
          <w:ilvl w:val="0"/>
          <w:numId w:val="1"/>
        </w:numPr>
        <w:spacing w:after="90"/>
      </w:pPr>
      <w:r>
        <w:t xml:space="preserve">Bar chart: Risk count by Department.</w:t>
      </w:r>
    </w:p>
    <w:p>
      <w:pPr>
        <w:pStyle w:val="ListParagraph"/>
        <w:numPr>
          <w:ilvl w:val="0"/>
          <w:numId w:val="1"/>
        </w:numPr>
        <w:spacing w:after="90"/>
      </w:pPr>
      <w:r>
        <w:t xml:space="preserve">Bar chart: Risk count by Compliance Regulation.</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4132E"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Coca-Cola Nigeria: Risk and Compliance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A6192E" w:sz="8" w:space="4"/>
        </w:pBdr>
        <w:spacing w:after="200" w:before="360"/>
      </w:pPr>
      <w:r>
        <w:t xml:space="preserve">5. Executive Summary Dashboard</w:t>
      </w:r>
    </w:p>
    <w:p>
      <w:pPr>
        <w:spacing w:after="160"/>
      </w:pPr>
      <w:r>
        <w:t xml:space="preserve">Once all ten department dashboards are complete, build one final dashboard titled 'Coca-Cola Nigeria Limited: Group Executive Summary' that ties the entire workbook together for senior management.</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800"/>
        <w:gridCol w:w="6350"/>
      </w:tblGrid>
      <w:tr>
        <w:trPr>
          <w:tblHeader/>
        </w:trPr>
        <w:tc>
          <w:tcPr>
            <w:tcW w:type="dxa" w:w="2800"/>
            <w:shd w:fill="A6192E" w:val="clear"/>
            <w:tcMar>
              <w:top w:type="dxa" w:w="60"/>
              <w:left w:type="dxa" w:w="80"/>
              <w:bottom w:type="dxa" w:w="60"/>
              <w:right w:type="dxa" w:w="80"/>
            </w:tcMar>
            <w:vAlign w:val="center"/>
          </w:tcPr>
          <w:p>
            <w:pPr>
              <w:spacing w:after="0"/>
            </w:pPr>
            <w:r>
              <w:rPr>
                <w:b/>
                <w:bCs/>
                <w:color w:val="FFFFFF"/>
                <w:sz w:val="18"/>
                <w:szCs w:val="18"/>
              </w:rPr>
              <w:t xml:space="preserve">Department</w:t>
            </w:r>
          </w:p>
        </w:tc>
        <w:tc>
          <w:tcPr>
            <w:tcW w:type="dxa" w:w="6350"/>
            <w:shd w:fill="A6192E" w:val="clear"/>
            <w:tcMar>
              <w:top w:type="dxa" w:w="60"/>
              <w:left w:type="dxa" w:w="80"/>
              <w:bottom w:type="dxa" w:w="60"/>
              <w:right w:type="dxa" w:w="80"/>
            </w:tcMar>
            <w:vAlign w:val="center"/>
          </w:tcPr>
          <w:p>
            <w:pPr>
              <w:spacing w:after="0"/>
            </w:pPr>
            <w:r>
              <w:rPr>
                <w:b/>
                <w:bCs/>
                <w:color w:val="FFFFFF"/>
                <w:sz w:val="18"/>
                <w:szCs w:val="18"/>
              </w:rPr>
              <w:t xml:space="preserve">Headline KPI To Feature</w:t>
            </w:r>
          </w:p>
        </w:tc>
      </w:tr>
      <w:tr>
        <w:tc>
          <w:tcPr>
            <w:tcW w:type="dxa" w:w="2800"/>
            <w:tcMar>
              <w:top w:type="dxa" w:w="60"/>
              <w:left w:type="dxa" w:w="80"/>
              <w:bottom w:type="dxa" w:w="60"/>
              <w:right w:type="dxa" w:w="80"/>
            </w:tcMar>
            <w:vAlign w:val="center"/>
          </w:tcPr>
          <w:p>
            <w:pPr>
              <w:spacing w:after="0"/>
            </w:pPr>
            <w:r>
              <w:rPr>
                <w:b w:val="false"/>
                <w:bCs w:val="false"/>
                <w:sz w:val="18"/>
                <w:szCs w:val="18"/>
              </w:rPr>
              <w:t xml:space="preserve">Operations</w:t>
            </w:r>
          </w:p>
        </w:tc>
        <w:tc>
          <w:tcPr>
            <w:tcW w:type="dxa" w:w="6350"/>
            <w:tcMar>
              <w:top w:type="dxa" w:w="60"/>
              <w:left w:type="dxa" w:w="80"/>
              <w:bottom w:type="dxa" w:w="60"/>
              <w:right w:type="dxa" w:w="80"/>
            </w:tcMar>
            <w:vAlign w:val="center"/>
          </w:tcPr>
          <w:p>
            <w:pPr>
              <w:spacing w:after="0"/>
            </w:pPr>
            <w:r>
              <w:rPr>
                <w:b w:val="false"/>
                <w:bCs w:val="false"/>
                <w:sz w:val="18"/>
                <w:szCs w:val="18"/>
              </w:rPr>
              <w:t xml:space="preserve">Output Achievement % - Measures how close actual production came to plan.</w:t>
            </w:r>
          </w:p>
        </w:tc>
      </w:tr>
      <w:tr>
        <w:tc>
          <w:tcPr>
            <w:tcW w:type="dxa" w:w="2800"/>
            <w:shd w:fill="F5F7F3" w:val="clear"/>
            <w:tcMar>
              <w:top w:type="dxa" w:w="60"/>
              <w:left w:type="dxa" w:w="80"/>
              <w:bottom w:type="dxa" w:w="60"/>
              <w:right w:type="dxa" w:w="80"/>
            </w:tcMar>
            <w:vAlign w:val="center"/>
          </w:tcPr>
          <w:p>
            <w:pPr>
              <w:spacing w:after="0"/>
            </w:pPr>
            <w:r>
              <w:rPr>
                <w:b w:val="false"/>
                <w:bCs w:val="false"/>
                <w:sz w:val="18"/>
                <w:szCs w:val="18"/>
              </w:rPr>
              <w:t xml:space="preserve">Supply Chain</w:t>
            </w:r>
          </w:p>
        </w:tc>
        <w:tc>
          <w:tcPr>
            <w:tcW w:type="dxa" w:w="6350"/>
            <w:shd w:fill="F5F7F3" w:val="clear"/>
            <w:tcMar>
              <w:top w:type="dxa" w:w="60"/>
              <w:left w:type="dxa" w:w="80"/>
              <w:bottom w:type="dxa" w:w="60"/>
              <w:right w:type="dxa" w:w="80"/>
            </w:tcMar>
            <w:vAlign w:val="center"/>
          </w:tcPr>
          <w:p>
            <w:pPr>
              <w:spacing w:after="0"/>
            </w:pPr>
            <w:r>
              <w:rPr>
                <w:b w:val="false"/>
                <w:bCs w:val="false"/>
                <w:sz w:val="18"/>
                <w:szCs w:val="18"/>
              </w:rPr>
              <w:t xml:space="preserve">On-Time Delivery % - Core supplier reliability metric.</w:t>
            </w:r>
          </w:p>
        </w:tc>
      </w:tr>
      <w:tr>
        <w:tc>
          <w:tcPr>
            <w:tcW w:type="dxa" w:w="2800"/>
            <w:tcMar>
              <w:top w:type="dxa" w:w="60"/>
              <w:left w:type="dxa" w:w="80"/>
              <w:bottom w:type="dxa" w:w="60"/>
              <w:right w:type="dxa" w:w="80"/>
            </w:tcMar>
            <w:vAlign w:val="center"/>
          </w:tcPr>
          <w:p>
            <w:pPr>
              <w:spacing w:after="0"/>
            </w:pPr>
            <w:r>
              <w:rPr>
                <w:b w:val="false"/>
                <w:bCs w:val="false"/>
                <w:sz w:val="18"/>
                <w:szCs w:val="18"/>
              </w:rPr>
              <w:t xml:space="preserve">Legal</w:t>
            </w:r>
          </w:p>
        </w:tc>
        <w:tc>
          <w:tcPr>
            <w:tcW w:type="dxa" w:w="6350"/>
            <w:tcMar>
              <w:top w:type="dxa" w:w="60"/>
              <w:left w:type="dxa" w:w="80"/>
              <w:bottom w:type="dxa" w:w="60"/>
              <w:right w:type="dxa" w:w="80"/>
            </w:tcMar>
            <w:vAlign w:val="center"/>
          </w:tcPr>
          <w:p>
            <w:pPr>
              <w:spacing w:after="0"/>
            </w:pPr>
            <w:r>
              <w:rPr>
                <w:b w:val="false"/>
                <w:bCs w:val="false"/>
                <w:sz w:val="18"/>
                <w:szCs w:val="18"/>
              </w:rPr>
              <w:t xml:space="preserve">Open Caseload - How many matters are currently unresolved.</w:t>
            </w:r>
          </w:p>
        </w:tc>
      </w:tr>
      <w:tr>
        <w:tc>
          <w:tcPr>
            <w:tcW w:type="dxa" w:w="2800"/>
            <w:shd w:fill="F5F7F3" w:val="clear"/>
            <w:tcMar>
              <w:top w:type="dxa" w:w="60"/>
              <w:left w:type="dxa" w:w="80"/>
              <w:bottom w:type="dxa" w:w="60"/>
              <w:right w:type="dxa" w:w="80"/>
            </w:tcMar>
            <w:vAlign w:val="center"/>
          </w:tcPr>
          <w:p>
            <w:pPr>
              <w:spacing w:after="0"/>
            </w:pPr>
            <w:r>
              <w:rPr>
                <w:b w:val="false"/>
                <w:bCs w:val="false"/>
                <w:sz w:val="18"/>
                <w:szCs w:val="18"/>
              </w:rPr>
              <w:t xml:space="preserve">Admin</w:t>
            </w:r>
          </w:p>
        </w:tc>
        <w:tc>
          <w:tcPr>
            <w:tcW w:type="dxa" w:w="6350"/>
            <w:shd w:fill="F5F7F3" w:val="clear"/>
            <w:tcMar>
              <w:top w:type="dxa" w:w="60"/>
              <w:left w:type="dxa" w:w="80"/>
              <w:bottom w:type="dxa" w:w="60"/>
              <w:right w:type="dxa" w:w="80"/>
            </w:tcMar>
            <w:vAlign w:val="center"/>
          </w:tcPr>
          <w:p>
            <w:pPr>
              <w:spacing w:after="0"/>
            </w:pPr>
            <w:r>
              <w:rPr>
                <w:b w:val="false"/>
                <w:bCs w:val="false"/>
                <w:sz w:val="18"/>
                <w:szCs w:val="18"/>
              </w:rPr>
              <w:t xml:space="preserve">Total Admin Spend (NGN) - Overall cost of running administrative services.</w:t>
            </w:r>
          </w:p>
        </w:tc>
      </w:tr>
      <w:tr>
        <w:tc>
          <w:tcPr>
            <w:tcW w:type="dxa" w:w="2800"/>
            <w:tcMar>
              <w:top w:type="dxa" w:w="60"/>
              <w:left w:type="dxa" w:w="80"/>
              <w:bottom w:type="dxa" w:w="60"/>
              <w:right w:type="dxa" w:w="80"/>
            </w:tcMar>
            <w:vAlign w:val="center"/>
          </w:tcPr>
          <w:p>
            <w:pPr>
              <w:spacing w:after="0"/>
            </w:pPr>
            <w:r>
              <w:rPr>
                <w:b w:val="false"/>
                <w:bCs w:val="false"/>
                <w:sz w:val="18"/>
                <w:szCs w:val="18"/>
              </w:rPr>
              <w:t xml:space="preserve">Customer Service</w:t>
            </w:r>
          </w:p>
        </w:tc>
        <w:tc>
          <w:tcPr>
            <w:tcW w:type="dxa" w:w="6350"/>
            <w:tcMar>
              <w:top w:type="dxa" w:w="60"/>
              <w:left w:type="dxa" w:w="80"/>
              <w:bottom w:type="dxa" w:w="60"/>
              <w:right w:type="dxa" w:w="80"/>
            </w:tcMar>
            <w:vAlign w:val="center"/>
          </w:tcPr>
          <w:p>
            <w:pPr>
              <w:spacing w:after="0"/>
            </w:pPr>
            <w:r>
              <w:rPr>
                <w:b w:val="false"/>
                <w:bCs w:val="false"/>
                <w:sz w:val="18"/>
                <w:szCs w:val="18"/>
              </w:rPr>
              <w:t xml:space="preserve">Average CSAT Score - Headline customer happiness metric.</w:t>
            </w:r>
          </w:p>
        </w:tc>
      </w:tr>
      <w:tr>
        <w:tc>
          <w:tcPr>
            <w:tcW w:type="dxa" w:w="2800"/>
            <w:shd w:fill="F5F7F3" w:val="clear"/>
            <w:tcMar>
              <w:top w:type="dxa" w:w="60"/>
              <w:left w:type="dxa" w:w="80"/>
              <w:bottom w:type="dxa" w:w="60"/>
              <w:right w:type="dxa" w:w="80"/>
            </w:tcMar>
            <w:vAlign w:val="center"/>
          </w:tcPr>
          <w:p>
            <w:pPr>
              <w:spacing w:after="0"/>
            </w:pPr>
            <w:r>
              <w:rPr>
                <w:b w:val="false"/>
                <w:bCs w:val="false"/>
                <w:sz w:val="18"/>
                <w:szCs w:val="18"/>
              </w:rPr>
              <w:t xml:space="preserve">Information Technology</w:t>
            </w:r>
          </w:p>
        </w:tc>
        <w:tc>
          <w:tcPr>
            <w:tcW w:type="dxa" w:w="6350"/>
            <w:shd w:fill="F5F7F3" w:val="clear"/>
            <w:tcMar>
              <w:top w:type="dxa" w:w="60"/>
              <w:left w:type="dxa" w:w="80"/>
              <w:bottom w:type="dxa" w:w="60"/>
              <w:right w:type="dxa" w:w="80"/>
            </w:tcMar>
            <w:vAlign w:val="center"/>
          </w:tcPr>
          <w:p>
            <w:pPr>
              <w:spacing w:after="0"/>
            </w:pPr>
            <w:r>
              <w:rPr>
                <w:b w:val="false"/>
                <w:bCs w:val="false"/>
                <w:sz w:val="18"/>
                <w:szCs w:val="18"/>
              </w:rPr>
              <w:t xml:space="preserve">SLA Compliance % - Core IT service-level metric.</w:t>
            </w:r>
          </w:p>
        </w:tc>
      </w:tr>
      <w:tr>
        <w:tc>
          <w:tcPr>
            <w:tcW w:type="dxa" w:w="2800"/>
            <w:tcMar>
              <w:top w:type="dxa" w:w="60"/>
              <w:left w:type="dxa" w:w="80"/>
              <w:bottom w:type="dxa" w:w="60"/>
              <w:right w:type="dxa" w:w="80"/>
            </w:tcMar>
            <w:vAlign w:val="center"/>
          </w:tcPr>
          <w:p>
            <w:pPr>
              <w:spacing w:after="0"/>
            </w:pPr>
            <w:r>
              <w:rPr>
                <w:b w:val="false"/>
                <w:bCs w:val="false"/>
                <w:sz w:val="18"/>
                <w:szCs w:val="18"/>
              </w:rPr>
              <w:t xml:space="preserve">Accounts and Finance</w:t>
            </w:r>
          </w:p>
        </w:tc>
        <w:tc>
          <w:tcPr>
            <w:tcW w:type="dxa" w:w="6350"/>
            <w:tcMar>
              <w:top w:type="dxa" w:w="60"/>
              <w:left w:type="dxa" w:w="80"/>
              <w:bottom w:type="dxa" w:w="60"/>
              <w:right w:type="dxa" w:w="80"/>
            </w:tcMar>
            <w:vAlign w:val="center"/>
          </w:tcPr>
          <w:p>
            <w:pPr>
              <w:spacing w:after="0"/>
            </w:pPr>
            <w:r>
              <w:rPr>
                <w:b w:val="false"/>
                <w:bCs w:val="false"/>
                <w:sz w:val="18"/>
                <w:szCs w:val="18"/>
              </w:rPr>
              <w:t xml:space="preserve">Total Revenue (NGN) - Top-line performance.</w:t>
            </w:r>
          </w:p>
        </w:tc>
      </w:tr>
      <w:tr>
        <w:tc>
          <w:tcPr>
            <w:tcW w:type="dxa" w:w="2800"/>
            <w:shd w:fill="F5F7F3" w:val="clear"/>
            <w:tcMar>
              <w:top w:type="dxa" w:w="60"/>
              <w:left w:type="dxa" w:w="80"/>
              <w:bottom w:type="dxa" w:w="60"/>
              <w:right w:type="dxa" w:w="80"/>
            </w:tcMar>
            <w:vAlign w:val="center"/>
          </w:tcPr>
          <w:p>
            <w:pPr>
              <w:spacing w:after="0"/>
            </w:pPr>
            <w:r>
              <w:rPr>
                <w:b w:val="false"/>
                <w:bCs w:val="false"/>
                <w:sz w:val="18"/>
                <w:szCs w:val="18"/>
              </w:rPr>
              <w:t xml:space="preserve">Human Resources</w:t>
            </w:r>
          </w:p>
        </w:tc>
        <w:tc>
          <w:tcPr>
            <w:tcW w:type="dxa" w:w="6350"/>
            <w:shd w:fill="F5F7F3" w:val="clear"/>
            <w:tcMar>
              <w:top w:type="dxa" w:w="60"/>
              <w:left w:type="dxa" w:w="80"/>
              <w:bottom w:type="dxa" w:w="60"/>
              <w:right w:type="dxa" w:w="80"/>
            </w:tcMar>
            <w:vAlign w:val="center"/>
          </w:tcPr>
          <w:p>
            <w:pPr>
              <w:spacing w:after="0"/>
            </w:pPr>
            <w:r>
              <w:rPr>
                <w:b w:val="false"/>
                <w:bCs w:val="false"/>
                <w:sz w:val="18"/>
                <w:szCs w:val="18"/>
              </w:rPr>
              <w:t xml:space="preserve">Attrition Rate % - Headline retention metric.</w:t>
            </w:r>
          </w:p>
        </w:tc>
      </w:tr>
      <w:tr>
        <w:tc>
          <w:tcPr>
            <w:tcW w:type="dxa" w:w="2800"/>
            <w:tcMar>
              <w:top w:type="dxa" w:w="60"/>
              <w:left w:type="dxa" w:w="80"/>
              <w:bottom w:type="dxa" w:w="60"/>
              <w:right w:type="dxa" w:w="80"/>
            </w:tcMar>
            <w:vAlign w:val="center"/>
          </w:tcPr>
          <w:p>
            <w:pPr>
              <w:spacing w:after="0"/>
            </w:pPr>
            <w:r>
              <w:rPr>
                <w:b w:val="false"/>
                <w:bCs w:val="false"/>
                <w:sz w:val="18"/>
                <w:szCs w:val="18"/>
              </w:rPr>
              <w:t xml:space="preserve">Internal Control</w:t>
            </w:r>
          </w:p>
        </w:tc>
        <w:tc>
          <w:tcPr>
            <w:tcW w:type="dxa" w:w="6350"/>
            <w:tcMar>
              <w:top w:type="dxa" w:w="60"/>
              <w:left w:type="dxa" w:w="80"/>
              <w:bottom w:type="dxa" w:w="60"/>
              <w:right w:type="dxa" w:w="80"/>
            </w:tcMar>
            <w:vAlign w:val="center"/>
          </w:tcPr>
          <w:p>
            <w:pPr>
              <w:spacing w:after="0"/>
            </w:pPr>
            <w:r>
              <w:rPr>
                <w:b w:val="false"/>
                <w:bCs w:val="false"/>
                <w:sz w:val="18"/>
                <w:szCs w:val="18"/>
              </w:rPr>
              <w:t xml:space="preserve">Total Findings - Overall control-weakness volume.</w:t>
            </w:r>
          </w:p>
        </w:tc>
      </w:tr>
      <w:tr>
        <w:tc>
          <w:tcPr>
            <w:tcW w:type="dxa" w:w="2800"/>
            <w:shd w:fill="F5F7F3" w:val="clear"/>
            <w:tcMar>
              <w:top w:type="dxa" w:w="60"/>
              <w:left w:type="dxa" w:w="80"/>
              <w:bottom w:type="dxa" w:w="60"/>
              <w:right w:type="dxa" w:w="80"/>
            </w:tcMar>
            <w:vAlign w:val="center"/>
          </w:tcPr>
          <w:p>
            <w:pPr>
              <w:spacing w:after="0"/>
            </w:pPr>
            <w:r>
              <w:rPr>
                <w:b w:val="false"/>
                <w:bCs w:val="false"/>
                <w:sz w:val="18"/>
                <w:szCs w:val="18"/>
              </w:rPr>
              <w:t xml:space="preserve">Risk Management and Compliance</w:t>
            </w:r>
          </w:p>
        </w:tc>
        <w:tc>
          <w:tcPr>
            <w:tcW w:type="dxa" w:w="6350"/>
            <w:shd w:fill="F5F7F3" w:val="clear"/>
            <w:tcMar>
              <w:top w:type="dxa" w:w="60"/>
              <w:left w:type="dxa" w:w="80"/>
              <w:bottom w:type="dxa" w:w="60"/>
              <w:right w:type="dxa" w:w="80"/>
            </w:tcMar>
            <w:vAlign w:val="center"/>
          </w:tcPr>
          <w:p>
            <w:pPr>
              <w:spacing w:after="0"/>
            </w:pPr>
            <w:r>
              <w:rPr>
                <w:b w:val="false"/>
                <w:bCs w:val="false"/>
                <w:sz w:val="18"/>
                <w:szCs w:val="18"/>
              </w:rPr>
              <w:t xml:space="preserve">Average Risk Score - Overall risk exposure level.</w:t>
            </w:r>
          </w:p>
        </w:tc>
      </w:tr>
    </w:tbl>
    <w:p>
      <w:pPr>
        <w:spacing w:after="120"/>
      </w:pPr>
    </w:p>
    <w:p>
      <w:pPr>
        <w:pStyle w:val="ListParagraph"/>
        <w:numPr>
          <w:ilvl w:val="0"/>
          <w:numId w:val="3"/>
        </w:numPr>
        <w:spacing w:after="90"/>
      </w:pPr>
      <w:r>
        <w:t xml:space="preserve">Place all 10 headline KPI cards in a single horizontal container across the top of the Executive Summary dashboard.</w:t>
      </w:r>
    </w:p>
    <w:p>
      <w:pPr>
        <w:pStyle w:val="ListParagraph"/>
        <w:numPr>
          <w:ilvl w:val="0"/>
          <w:numId w:val="3"/>
        </w:numPr>
        <w:spacing w:after="90"/>
      </w:pPr>
      <w:r>
        <w:t xml:space="preserve">Add a navigation button under each KPI card, using a Dashboard navigation action, to jump straight to that department's full dashboard.</w:t>
      </w:r>
    </w:p>
    <w:p>
      <w:pPr>
        <w:pStyle w:val="ListParagraph"/>
        <w:numPr>
          <w:ilvl w:val="0"/>
          <w:numId w:val="3"/>
        </w:numPr>
        <w:spacing w:after="90"/>
      </w:pPr>
      <w:r>
        <w:t xml:space="preserve">Add a company-wide Date filter applied to every worksheet on every dashboard via the same data source, so the whole workbook can move to any month or quarter from one control.</w:t>
      </w:r>
    </w:p>
    <w:p>
      <w:pPr>
        <w:pStyle w:val="ListParagraph"/>
        <w:numPr>
          <w:ilvl w:val="0"/>
          <w:numId w:val="3"/>
        </w:numPr>
        <w:spacing w:after="90"/>
      </w:pPr>
      <w:r>
        <w:t xml:space="preserve">Add a company map using the Region/State hierarchy from Location Master, showing a blended metric such as headcount by site with a colour overlay of average risk score.</w:t>
      </w:r>
    </w:p>
    <w:p>
      <w:pPr>
        <w:pStyle w:val="ListParagraph"/>
        <w:numPr>
          <w:ilvl w:val="0"/>
          <w:numId w:val="3"/>
        </w:numPr>
        <w:spacing w:after="90"/>
      </w:pPr>
      <w:r>
        <w:t xml:space="preserve">Test every navigation button, filter and tooltip before publishing the workbook to Tableau Server or Tableau Public.</w:t>
      </w:r>
    </w:p>
    <w:p>
      <w:r>
        <w:br w:type="page"/>
      </w:r>
    </w:p>
    <w:p>
      <w:pPr>
        <w:pStyle w:val="Heading1"/>
        <w:pBdr>
          <w:bottom w:val="single" w:color="A6192E" w:sz="8" w:space="4"/>
        </w:pBdr>
        <w:spacing w:after="200" w:before="360"/>
      </w:pPr>
      <w:r>
        <w:t xml:space="preserve">6. Final Quality-Assurance Checklist</w:t>
      </w:r>
    </w:p>
    <w:p>
      <w:pPr>
        <w:pStyle w:val="ListParagraph"/>
        <w:numPr>
          <w:ilvl w:val="0"/>
          <w:numId w:val="1"/>
        </w:numPr>
        <w:spacing w:after="90"/>
      </w:pPr>
      <w:r>
        <w:t xml:space="preserve">Every calculated field's result was spot-checked against the pre-computed formula column already present in the Excel workbook (OEE_Percent, Variance_Percent, RiskScore, SLA_Met, OnTimeDelivery, DaysOpen, TurnaroundDays, DaysToRemediate) - they must match.</w:t>
      </w:r>
    </w:p>
    <w:p>
      <w:pPr>
        <w:pStyle w:val="ListParagraph"/>
        <w:numPr>
          <w:ilvl w:val="0"/>
          <w:numId w:val="1"/>
        </w:numPr>
        <w:spacing w:after="90"/>
      </w:pPr>
      <w:r>
        <w:t xml:space="preserve">No KPI card shows Null, and no chart silently drops rows because of an unhandled blank date (Legal DateClosed, Admin CompletionDate).</w:t>
      </w:r>
    </w:p>
    <w:p>
      <w:pPr>
        <w:pStyle w:val="ListParagraph"/>
        <w:numPr>
          <w:ilvl w:val="0"/>
          <w:numId w:val="1"/>
        </w:numPr>
        <w:spacing w:after="90"/>
      </w:pPr>
      <w:r>
        <w:t xml:space="preserve">Every relationship uses the correct key: EmployeeID for people, DeptCode for departments, LocationID for sites, ProductID for products - never a descriptive text name used as a join key.</w:t>
      </w:r>
    </w:p>
    <w:p>
      <w:pPr>
        <w:pStyle w:val="ListParagraph"/>
        <w:numPr>
          <w:ilvl w:val="0"/>
          <w:numId w:val="1"/>
        </w:numPr>
        <w:spacing w:after="90"/>
      </w:pPr>
      <w:r>
        <w:t xml:space="preserve">Every dashboard uses the exact title specified in this manual, and a footer credit line appears on the title dashboard.</w:t>
      </w:r>
    </w:p>
    <w:p>
      <w:pPr>
        <w:pStyle w:val="ListParagraph"/>
        <w:numPr>
          <w:ilvl w:val="0"/>
          <w:numId w:val="1"/>
        </w:numPr>
        <w:spacing w:after="90"/>
      </w:pPr>
      <w:r>
        <w:t xml:space="preserve">All filter actions, highlight actions and navigation buttons were tested department by department, then again from the Executive Summary dashboard outward.</w:t>
      </w:r>
    </w:p>
    <w:p>
      <w:pPr>
        <w:pStyle w:val="ListParagraph"/>
        <w:numPr>
          <w:ilvl w:val="0"/>
          <w:numId w:val="1"/>
        </w:numPr>
        <w:spacing w:after="90"/>
      </w:pPr>
      <w:r>
        <w:t xml:space="preserve">Currency values are formatted in NGN with thousands separators, and every percentage KPI is formatted to one decimal place.</w:t>
      </w:r>
    </w:p>
    <w:p>
      <w:pPr>
        <w:pStyle w:val="ListParagraph"/>
        <w:numPr>
          <w:ilvl w:val="0"/>
          <w:numId w:val="1"/>
        </w:numPr>
        <w:spacing w:after="90"/>
      </w:pPr>
      <w:r>
        <w:t xml:space="preserve">All ten department dashboards and the Executive Summary dashboard were reviewed together as one interactive workbook, not as isolated pages.</w:t>
      </w:r>
    </w:p>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A6192E" w:val="clear"/>
            <w:tcMar>
              <w:top w:type="dxa" w:w="120"/>
              <w:left w:type="dxa" w:w="160"/>
              <w:bottom w:type="dxa" w:w="120"/>
              <w:right w:type="dxa" w:w="160"/>
            </w:tcMar>
          </w:tcPr>
          <w:p>
            <w:pPr>
              <w:spacing w:after="60"/>
            </w:pPr>
            <w:r>
              <w:rPr>
                <w:b/>
                <w:bCs/>
                <w:color w:val="FFFFFF"/>
                <w:sz w:val="18"/>
                <w:szCs w:val="18"/>
              </w:rPr>
              <w:t xml:space="preserve">END OF MANUAL</w:t>
            </w:r>
          </w:p>
          <w:p>
            <w:r>
              <w:rPr>
                <w:color w:val="FFFFFF"/>
                <w:sz w:val="19"/>
                <w:szCs w:val="19"/>
              </w:rPr>
              <w:t xml:space="preserve">Prepared by Kajola Gbenga, Data Scientist &amp; AI Engineer. All data is synthetic and for training purposes only.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60"/>
        <w:sz w:val="15"/>
        <w:szCs w:val="15"/>
      </w:rPr>
      <w:t xml:space="preserve">Page </w:t>
    </w:r>
    <w:r>
      <w:rPr>
        <w:color w:val="5B6660"/>
        <w:sz w:val="15"/>
        <w:szCs w:val="15"/>
      </w:rPr>
      <w:fldChar w:fldCharType="begin"/>
      <w:instrText xml:space="preserve">PAGE</w:instrText>
      <w:fldChar w:fldCharType="separate"/>
      <w:fldChar w:fldCharType="end"/>
    </w:r>
    <w:r>
      <w:rPr>
        <w:color w:val="5B6660"/>
        <w:sz w:val="15"/>
        <w:szCs w:val="15"/>
      </w:rPr>
      <w:t xml:space="preserve"> of </w:t>
    </w:r>
    <w:r>
      <w:rPr>
        <w:color w:val="5B6660"/>
        <w:sz w:val="15"/>
        <w:szCs w:val="15"/>
      </w:rPr>
      <w:fldChar w:fldCharType="begin"/>
      <w:instrText xml:space="preserve">NUMPAGES</w:instrText>
      <w:fldChar w:fldCharType="separate"/>
      <w:fldChar w:fldCharType="end"/>
    </w:r>
    <w:r>
      <w:rPr>
        <w:color w:val="5B6660"/>
        <w:sz w:val="15"/>
        <w:szCs w:val="15"/>
      </w:rPr>
      <w:t xml:space="preserve">   •   Kajola Gbenga, Data Scientist &amp; AI Engineer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660"/>
        <w:sz w:val="15"/>
        <w:szCs w:val="15"/>
      </w:rPr>
      <w:t xml:space="preserve">Coca-Cola Nigeria Limited - Tableau Dashboard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360"/>
      </w:pPr>
    </w:lvl>
  </w:abstractNum>
  <w:abstractNum w:abstractNumId="3" w15:restartNumberingAfterBreak="0">
    <w:multiLevelType w:val="hybridMultilevel"/>
    <w:lvl w:ilvl="0" w15:tentative="1">
      <w:start w:val="1"/>
      <w:numFmt w:val="decimal"/>
      <w:lvlText w:val="%1."/>
      <w:lvlJc w:val="start"/>
      <w:pPr>
        <w:ind w:left="43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A6192E"/>
      <w:sz w:val="30"/>
      <w:szCs w:val="30"/>
    </w:rPr>
  </w:style>
  <w:style w:type="paragraph" w:styleId="Heading2">
    <w:name w:val="Heading 2"/>
    <w:basedOn w:val="Normal"/>
    <w:next w:val="Normal"/>
    <w:qFormat/>
    <w:pPr>
      <w:spacing w:after="120" w:before="220"/>
    </w:pPr>
    <w:rPr>
      <w:rFonts w:ascii="Calibri" w:cs="Calibri" w:eastAsia="Calibri" w:hAnsi="Calibri"/>
      <w:b/>
      <w:bCs/>
      <w:color w:val="E4132E"/>
      <w:sz w:val="24"/>
      <w:szCs w:val="24"/>
    </w:rPr>
  </w:style>
  <w:style w:type="paragraph" w:styleId="Heading3">
    <w:name w:val="Heading 3"/>
    <w:basedOn w:val="Normal"/>
    <w:next w:val="Normal"/>
    <w:qFormat/>
    <w:pPr>
      <w:spacing w:after="90" w:before="160"/>
    </w:pPr>
    <w:rPr>
      <w:rFonts w:ascii="Calibri" w:cs="Calibri" w:eastAsia="Calibri" w:hAnsi="Calibri"/>
      <w:b/>
      <w:bCs/>
      <w:color w:val="1F2421"/>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Coca-Cola Nigeria Limited - Tableau Dashboard Building Training Manual</dc:title>
  <dc:creator>Kajola Gbenga</dc:creator>
  <cp:lastModifiedBy>Un-named</cp:lastModifiedBy>
  <cp:revision>1</cp:revision>
  <dcterms:created xsi:type="dcterms:W3CDTF">2026-07-29T20:20:18.103Z</dcterms:created>
  <dcterms:modified xsi:type="dcterms:W3CDTF">2026-07-29T20:20:18.117Z</dcterms:modified>
</cp:coreProperties>
</file>

<file path=docProps/custom.xml><?xml version="1.0" encoding="utf-8"?>
<Properties xmlns="http://schemas.openxmlformats.org/officeDocument/2006/custom-properties" xmlns:vt="http://schemas.openxmlformats.org/officeDocument/2006/docPropsVTypes"/>
</file>