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8"/>
          <w:sz w:val="30"/>
          <w:szCs w:val="30"/>
        </w:rPr>
        <w:t xml:space="preserve">SEPLAT ENERGY PLC</w:t>
      </w:r>
    </w:p>
    <w:p>
      <w:pPr>
        <w:spacing w:after="400"/>
        <w:jc w:val="center"/>
      </w:pPr>
      <w:r>
        <w:rPr>
          <w:b/>
          <w:bCs/>
          <w:color w:val="2E86AB"/>
          <w:sz w:val="44"/>
          <w:szCs w:val="44"/>
        </w:rPr>
        <w:t xml:space="preserve">Tableau Dashboard Building - Comprehensive Training Guide</w:t>
      </w:r>
    </w:p>
    <w:p>
      <w:pPr>
        <w:spacing w:after="200"/>
        <w:jc w:val="center"/>
      </w:pPr>
      <w:r>
        <w:rPr>
          <w:i/>
          <w:iCs/>
          <w:sz w:val="24"/>
          <w:szCs w:val="24"/>
        </w:rPr>
        <w:t xml:space="preserve">From Data Connection to Interactive, KPI Driven Dashboards</w:t>
      </w:r>
    </w:p>
    <w:p>
      <w:pPr>
        <w:spacing w:before="800"/>
        <w:jc w:val="center"/>
      </w:pPr>
      <w:r>
        <w:rPr>
          <w:sz w:val="20"/>
          <w:szCs w:val="20"/>
        </w:rPr>
        <w:t xml:space="preserve">Companion files: Seplat_Energy_Training_Dataset.xlsx, Tableau_Training_Tasks.html, Tableau_Training_Solutions.html</w:t>
      </w:r>
    </w:p>
    <w:p>
      <w:r>
        <w:br w:type="page"/>
      </w:r>
    </w:p>
    <w:p>
      <w:pPr>
        <w:pStyle w:val="Heading1"/>
        <w:spacing w:after="18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Introduction and Training Objectives</w:t>
      </w:r>
    </w:p>
    <w:p>
      <w:pPr>
        <w:spacing w:after="140"/>
      </w:pPr>
      <w:r>
        <w:rPr>
          <w:sz w:val="21"/>
          <w:szCs w:val="21"/>
        </w:rPr>
        <w:t xml:space="preserve">This guide is the complete facilitator and trainee reference for a hands on Tableau dashboard building course, built entirely around one realistic, richly connected company data set: Seplat Energy PLC, a Nigerian independent oil and gas company. The training dataset spans 11 departments in a single Excel workbook, so that trainees practise the full real world workflow of connecting to a multi table source, building the data model, preparing the fields, developing worksheets, designing dashboards and adding interactivity, exactly as they would on the job.</w:t>
      </w:r>
    </w:p>
    <w:p>
      <w:pPr>
        <w:spacing w:after="140"/>
      </w:pPr>
      <w:r>
        <w:rPr>
          <w:sz w:val="21"/>
          <w:szCs w:val="21"/>
        </w:rPr>
        <w:t xml:space="preserve">By the end of this training, participants will be able to:</w:t>
      </w:r>
    </w:p>
    <w:p>
      <w:pPr>
        <w:pStyle w:val="ListParagraph"/>
        <w:numPr>
          <w:ilvl w:val="0"/>
          <w:numId w:val="1"/>
        </w:numPr>
        <w:spacing w:after="80"/>
      </w:pPr>
      <w:r>
        <w:rPr>
          <w:sz w:val="21"/>
          <w:szCs w:val="21"/>
        </w:rPr>
        <w:t xml:space="preserve">Connect Tableau to a multi sheet Excel workbook and build a correct relationship model that avoids row duplication (fan-out).</w:t>
      </w:r>
    </w:p>
    <w:p>
      <w:pPr>
        <w:pStyle w:val="ListParagraph"/>
        <w:numPr>
          <w:ilvl w:val="0"/>
          <w:numId w:val="1"/>
        </w:numPr>
        <w:spacing w:after="80"/>
      </w:pPr>
      <w:r>
        <w:rPr>
          <w:sz w:val="21"/>
          <w:szCs w:val="21"/>
        </w:rPr>
        <w:t xml:space="preserve">Clean, type and enrich raw columns using calculated fields, splits, hierarchies and correct sort orders.</w:t>
      </w:r>
    </w:p>
    <w:p>
      <w:pPr>
        <w:pStyle w:val="ListParagraph"/>
        <w:numPr>
          <w:ilvl w:val="0"/>
          <w:numId w:val="1"/>
        </w:numPr>
        <w:spacing w:after="80"/>
      </w:pPr>
      <w:r>
        <w:rPr>
          <w:sz w:val="21"/>
          <w:szCs w:val="21"/>
        </w:rPr>
        <w:t xml:space="preserve">Build individual worksheets using the right chart type for the underlying business question (bar, line, Pareto, heat map, treemap, bullet, donut, KPI card).</w:t>
      </w:r>
    </w:p>
    <w:p>
      <w:pPr>
        <w:pStyle w:val="ListParagraph"/>
        <w:numPr>
          <w:ilvl w:val="0"/>
          <w:numId w:val="1"/>
        </w:numPr>
        <w:spacing w:after="80"/>
      </w:pPr>
      <w:r>
        <w:rPr>
          <w:sz w:val="21"/>
          <w:szCs w:val="21"/>
        </w:rPr>
        <w:t xml:space="preserve">Design and assemble complete, consistently styled dashboards for 10 departments plus an Executive Overview.</w:t>
      </w:r>
    </w:p>
    <w:p>
      <w:pPr>
        <w:pStyle w:val="ListParagraph"/>
        <w:numPr>
          <w:ilvl w:val="0"/>
          <w:numId w:val="1"/>
        </w:numPr>
        <w:spacing w:after="80"/>
      </w:pPr>
      <w:r>
        <w:rPr>
          <w:sz w:val="21"/>
          <w:szCs w:val="21"/>
        </w:rPr>
        <w:t xml:space="preserve">Add filters, parameters, dashboard actions and navigation so dashboards are genuinely interactive.</w:t>
      </w:r>
    </w:p>
    <w:p>
      <w:pPr>
        <w:pStyle w:val="ListParagraph"/>
        <w:numPr>
          <w:ilvl w:val="0"/>
          <w:numId w:val="1"/>
        </w:numPr>
        <w:spacing w:after="80"/>
      </w:pPr>
      <w:r>
        <w:rPr>
          <w:sz w:val="21"/>
          <w:szCs w:val="21"/>
        </w:rPr>
        <w:t xml:space="preserve">Define and validate sound, working KPIs for every department, expressed as correct Tableau calculated field syntax.</w:t>
      </w:r>
    </w:p>
    <w:p>
      <w:pPr>
        <w:spacing w:after="140"/>
      </w:pPr>
      <w:r>
        <w:rPr>
          <w:sz w:val="21"/>
          <w:szCs w:val="21"/>
        </w:rPr>
        <w:t xml:space="preserve">The training is built around three companion files in addition to this guide:</w:t>
      </w:r>
    </w:p>
    <w:p>
      <w:pPr>
        <w:pStyle w:val="ListParagraph"/>
        <w:numPr>
          <w:ilvl w:val="0"/>
          <w:numId w:val="1"/>
        </w:numPr>
        <w:spacing w:after="80"/>
      </w:pPr>
      <w:r>
        <w:rPr>
          <w:sz w:val="21"/>
          <w:szCs w:val="21"/>
        </w:rPr>
        <w:t xml:space="preserve">Seplat_Energy_Training_Dataset.xlsx - the connected, 11 sheet training data set.</w:t>
      </w:r>
    </w:p>
    <w:p>
      <w:pPr>
        <w:pStyle w:val="ListParagraph"/>
        <w:numPr>
          <w:ilvl w:val="0"/>
          <w:numId w:val="1"/>
        </w:numPr>
        <w:spacing w:after="80"/>
      </w:pPr>
      <w:r>
        <w:rPr>
          <w:sz w:val="21"/>
          <w:szCs w:val="21"/>
        </w:rPr>
        <w:t xml:space="preserve">Tableau_Training_Tasks.html - a detailed breakdown of every column, the tasks to perform on it, and the measures, relationships, KPIs, charts and dashboard pages to be built.</w:t>
      </w:r>
    </w:p>
    <w:p>
      <w:pPr>
        <w:pStyle w:val="ListParagraph"/>
        <w:numPr>
          <w:ilvl w:val="0"/>
          <w:numId w:val="1"/>
        </w:numPr>
        <w:spacing w:after="80"/>
      </w:pPr>
      <w:r>
        <w:rPr>
          <w:sz w:val="21"/>
          <w:szCs w:val="21"/>
        </w:rPr>
        <w:t xml:space="preserve">Tableau_Training_Solutions.html - the fully worked solution to every task set out in the tasks file, from the very first connection step through to the finished, interactive dashboards.</w:t>
      </w:r>
    </w:p>
    <w:p>
      <w:pPr>
        <w:pStyle w:val="Heading1"/>
        <w:spacing w:after="180" w:before="360"/>
      </w:pPr>
      <w:r>
        <w:t xml:space="preserve">2. Dataset Overview: The Seplat Energy PLC Training Workbook</w:t>
      </w:r>
    </w:p>
    <w:p>
      <w:pPr>
        <w:spacing w:after="140"/>
      </w:pPr>
      <w:r>
        <w:rPr>
          <w:sz w:val="21"/>
          <w:szCs w:val="21"/>
        </w:rPr>
        <w:t xml:space="preserve">The workbook Seplat_Energy_Training_Dataset.xlsx contains one sheet per department, plus a README sheet documenting the data model, and is built so that every department connects to every other department through shared keys, principally EmployeeID (via the Employees master sheet) and DepartmentID (via the Departments master sheet).</w:t>
      </w:r>
    </w:p>
    <w:p>
      <w:pPr>
        <w:pStyle w:val="Heading2"/>
        <w:spacing w:after="140" w:before="280"/>
      </w:pPr>
      <w:r>
        <w:t xml:space="preserve">2.1 Sheets in the Workbook</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shd w:fill="1F4E78" w:val="clear"/>
            <w:tcMar>
              <w:top w:type="dxa" w:w="80"/>
              <w:left w:type="dxa" w:w="100"/>
              <w:bottom w:type="dxa" w:w="80"/>
              <w:right w:type="dxa" w:w="100"/>
            </w:tcMar>
            <w:vAlign w:val="center"/>
          </w:tcPr>
          <w:p>
            <w:r>
              <w:rPr>
                <w:b/>
                <w:bCs/>
                <w:color w:val="FFFFFF"/>
                <w:sz w:val="19"/>
                <w:szCs w:val="19"/>
              </w:rPr>
              <w:t xml:space="preserve">Sheet</w:t>
            </w:r>
          </w:p>
        </w:tc>
        <w:tc>
          <w:tcPr>
            <w:tcW w:type="dxa" w:w="10400"/>
            <w:shd w:fill="1F4E78" w:val="clear"/>
            <w:tcMar>
              <w:top w:type="dxa" w:w="80"/>
              <w:left w:type="dxa" w:w="100"/>
              <w:bottom w:type="dxa" w:w="80"/>
              <w:right w:type="dxa" w:w="100"/>
            </w:tcMar>
            <w:vAlign w:val="center"/>
          </w:tcPr>
          <w:p>
            <w:r>
              <w:rPr>
                <w:b/>
                <w:bCs/>
                <w:color w:val="FFFFFF"/>
                <w:sz w:val="19"/>
                <w:szCs w:val="19"/>
              </w:rPr>
              <w:t xml:space="preserve">What it contains and how it connects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Departments</w:t>
            </w:r>
          </w:p>
        </w:tc>
        <w:tc>
          <w:tcPr>
            <w:tcW w:type="dxa" w:w="10400"/>
            <w:tcMar>
              <w:top w:type="dxa" w:w="80"/>
              <w:left w:type="dxa" w:w="100"/>
              <w:bottom w:type="dxa" w:w="80"/>
              <w:right w:type="dxa" w:w="100"/>
            </w:tcMar>
            <w:vAlign w:val="center"/>
          </w:tcPr>
          <w:p>
            <w:r>
              <w:rPr>
                <w:b w:val="false"/>
                <w:bCs w:val="false"/>
                <w:color w:val="000000"/>
                <w:sz w:val="19"/>
                <w:szCs w:val="19"/>
              </w:rPr>
              <w:t xml:space="preserve">Master list of the 10 departments used as the hub for department level roll ups across every other sheet.</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Employees</w:t>
            </w:r>
          </w:p>
        </w:tc>
        <w:tc>
          <w:tcPr>
            <w:tcW w:type="dxa" w:w="10400"/>
            <w:shd w:fill="F2F2F2" w:val="clear"/>
            <w:tcMar>
              <w:top w:type="dxa" w:w="80"/>
              <w:left w:type="dxa" w:w="100"/>
              <w:bottom w:type="dxa" w:w="80"/>
              <w:right w:type="dxa" w:w="100"/>
            </w:tcMar>
            <w:vAlign w:val="center"/>
          </w:tcPr>
          <w:p>
            <w:r>
              <w:rPr>
                <w:b w:val="false"/>
                <w:bCs w:val="false"/>
                <w:color w:val="000000"/>
                <w:sz w:val="19"/>
                <w:szCs w:val="19"/>
              </w:rPr>
              <w:t xml:space="preserve">The HR master table and the hub of the entire model. Every other sheet's EmployeeID fields relate back to this table.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Operations</w:t>
            </w:r>
          </w:p>
        </w:tc>
        <w:tc>
          <w:tcPr>
            <w:tcW w:type="dxa" w:w="10400"/>
            <w:tcMar>
              <w:top w:type="dxa" w:w="80"/>
              <w:left w:type="dxa" w:w="100"/>
              <w:bottom w:type="dxa" w:w="80"/>
              <w:right w:type="dxa" w:w="100"/>
            </w:tcMar>
            <w:vAlign w:val="center"/>
          </w:tcPr>
          <w:p>
            <w:r>
              <w:rPr>
                <w:b w:val="false"/>
                <w:bCs w:val="false"/>
                <w:color w:val="000000"/>
                <w:sz w:val="19"/>
                <w:szCs w:val="19"/>
              </w:rPr>
              <w:t xml:space="preserve">Field level production records: what was produced, where, and how much downtime occurred.</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Legal</w:t>
            </w:r>
          </w:p>
        </w:tc>
        <w:tc>
          <w:tcPr>
            <w:tcW w:type="dxa" w:w="10400"/>
            <w:shd w:fill="F2F2F2" w:val="clear"/>
            <w:tcMar>
              <w:top w:type="dxa" w:w="80"/>
              <w:left w:type="dxa" w:w="100"/>
              <w:bottom w:type="dxa" w:w="80"/>
              <w:right w:type="dxa" w:w="100"/>
            </w:tcMar>
            <w:vAlign w:val="center"/>
          </w:tcPr>
          <w:p>
            <w:r>
              <w:rPr>
                <w:b w:val="false"/>
                <w:bCs w:val="false"/>
                <w:color w:val="000000"/>
                <w:sz w:val="19"/>
                <w:szCs w:val="19"/>
              </w:rPr>
              <w:t xml:space="preserve">Contract and agreement register covering joint ventures, vendor contracts, community MOUs and licences.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SupplyChain</w:t>
            </w:r>
          </w:p>
        </w:tc>
        <w:tc>
          <w:tcPr>
            <w:tcW w:type="dxa" w:w="10400"/>
            <w:tcMar>
              <w:top w:type="dxa" w:w="80"/>
              <w:left w:type="dxa" w:w="100"/>
              <w:bottom w:type="dxa" w:w="80"/>
              <w:right w:type="dxa" w:w="100"/>
            </w:tcMar>
            <w:vAlign w:val="center"/>
          </w:tcPr>
          <w:p>
            <w:r>
              <w:rPr>
                <w:b w:val="false"/>
                <w:bCs w:val="false"/>
                <w:color w:val="000000"/>
                <w:sz w:val="19"/>
                <w:szCs w:val="19"/>
              </w:rPr>
              <w:t xml:space="preserve">Purchase order register capturing procurement spend and delivery performance across vendors.</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Admin</w:t>
            </w:r>
          </w:p>
        </w:tc>
        <w:tc>
          <w:tcPr>
            <w:tcW w:type="dxa" w:w="10400"/>
            <w:shd w:fill="F2F2F2" w:val="clear"/>
            <w:tcMar>
              <w:top w:type="dxa" w:w="80"/>
              <w:left w:type="dxa" w:w="100"/>
              <w:bottom w:type="dxa" w:w="80"/>
              <w:right w:type="dxa" w:w="100"/>
            </w:tcMar>
            <w:vAlign w:val="center"/>
          </w:tcPr>
          <w:p>
            <w:r>
              <w:rPr>
                <w:b w:val="false"/>
                <w:bCs w:val="false"/>
                <w:color w:val="000000"/>
                <w:sz w:val="19"/>
                <w:szCs w:val="19"/>
              </w:rPr>
              <w:t xml:space="preserve">Fixed asset and facilities register maintained by the Admin department.</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CustomerService</w:t>
            </w:r>
          </w:p>
        </w:tc>
        <w:tc>
          <w:tcPr>
            <w:tcW w:type="dxa" w:w="10400"/>
            <w:tcMar>
              <w:top w:type="dxa" w:w="80"/>
              <w:left w:type="dxa" w:w="100"/>
              <w:bottom w:type="dxa" w:w="80"/>
              <w:right w:type="dxa" w:w="100"/>
            </w:tcMar>
            <w:vAlign w:val="center"/>
          </w:tcPr>
          <w:p>
            <w:r>
              <w:rPr>
                <w:b w:val="false"/>
                <w:bCs w:val="false"/>
                <w:color w:val="000000"/>
                <w:sz w:val="19"/>
                <w:szCs w:val="19"/>
              </w:rPr>
              <w:t xml:space="preserve">Community and customer service ticket log, covering grievances, enquiries and complaints.</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IT</w:t>
            </w:r>
          </w:p>
        </w:tc>
        <w:tc>
          <w:tcPr>
            <w:tcW w:type="dxa" w:w="10400"/>
            <w:shd w:fill="F2F2F2" w:val="clear"/>
            <w:tcMar>
              <w:top w:type="dxa" w:w="80"/>
              <w:left w:type="dxa" w:w="100"/>
              <w:bottom w:type="dxa" w:w="80"/>
              <w:right w:type="dxa" w:w="100"/>
            </w:tcMar>
            <w:vAlign w:val="center"/>
          </w:tcPr>
          <w:p>
            <w:r>
              <w:rPr>
                <w:b w:val="false"/>
                <w:bCs w:val="false"/>
                <w:color w:val="000000"/>
                <w:sz w:val="19"/>
                <w:szCs w:val="19"/>
              </w:rPr>
              <w:t xml:space="preserve">IT service desk ticket log covering hardware, software, access and network issues.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AccountsFinance</w:t>
            </w:r>
          </w:p>
        </w:tc>
        <w:tc>
          <w:tcPr>
            <w:tcW w:type="dxa" w:w="10400"/>
            <w:tcMar>
              <w:top w:type="dxa" w:w="80"/>
              <w:left w:type="dxa" w:w="100"/>
              <w:bottom w:type="dxa" w:w="80"/>
              <w:right w:type="dxa" w:w="100"/>
            </w:tcMar>
            <w:vAlign w:val="center"/>
          </w:tcPr>
          <w:p>
            <w:r>
              <w:rPr>
                <w:b w:val="false"/>
                <w:bCs w:val="false"/>
                <w:color w:val="000000"/>
                <w:sz w:val="19"/>
                <w:szCs w:val="19"/>
              </w:rPr>
              <w:t xml:space="preserve">General ledger style transaction log covering revenue, expenditure, payroll and tax.</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InternalControl</w:t>
            </w:r>
          </w:p>
        </w:tc>
        <w:tc>
          <w:tcPr>
            <w:tcW w:type="dxa" w:w="10400"/>
            <w:shd w:fill="F2F2F2" w:val="clear"/>
            <w:tcMar>
              <w:top w:type="dxa" w:w="80"/>
              <w:left w:type="dxa" w:w="100"/>
              <w:bottom w:type="dxa" w:w="80"/>
              <w:right w:type="dxa" w:w="100"/>
            </w:tcMar>
            <w:vAlign w:val="center"/>
          </w:tcPr>
          <w:p>
            <w:r>
              <w:rPr>
                <w:b w:val="false"/>
                <w:bCs w:val="false"/>
                <w:color w:val="000000"/>
                <w:sz w:val="19"/>
                <w:szCs w:val="19"/>
              </w:rPr>
              <w:t xml:space="preserve">Internal audit findings log across financial, operational, compliance and IT audits.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RiskComplianceRegister</w:t>
            </w:r>
          </w:p>
        </w:tc>
        <w:tc>
          <w:tcPr>
            <w:tcW w:type="dxa" w:w="10400"/>
            <w:tcMar>
              <w:top w:type="dxa" w:w="80"/>
              <w:left w:type="dxa" w:w="100"/>
              <w:bottom w:type="dxa" w:w="80"/>
              <w:right w:type="dxa" w:w="100"/>
            </w:tcMar>
            <w:vAlign w:val="center"/>
          </w:tcPr>
          <w:p>
            <w:r>
              <w:rPr>
                <w:b w:val="false"/>
                <w:bCs w:val="false"/>
                <w:color w:val="000000"/>
                <w:sz w:val="19"/>
                <w:szCs w:val="19"/>
              </w:rPr>
              <w:t xml:space="preserve">Enterprise risk register with a computed risk score, spanning operational, financial, HSE, regulatory, reputational and cyber risk.</w:t>
            </w:r>
          </w:p>
        </w:tc>
      </w:tr>
    </w:tbl>
    <w:p>
      <w:pPr>
        <w:spacing w:before="200"/>
      </w:pPr>
    </w:p>
    <w:p>
      <w:pPr>
        <w:pStyle w:val="Heading2"/>
        <w:spacing w:after="140" w:before="280"/>
      </w:pPr>
      <w:r>
        <w:t xml:space="preserve">2.2 How the Sheets Connect (Relationship Map)</w:t>
      </w:r>
    </w:p>
    <w:p>
      <w:pPr>
        <w:spacing w:after="140"/>
      </w:pPr>
      <w:r>
        <w:rPr>
          <w:sz w:val="21"/>
          <w:szCs w:val="21"/>
        </w:rPr>
        <w:t xml:space="preserve">The following key relationships tie the entire workbook together and should be replicated as Tableau relationships on the Data Source page:</w:t>
      </w:r>
    </w:p>
    <w:p>
      <w:pPr>
        <w:pStyle w:val="ListParagraph"/>
        <w:numPr>
          <w:ilvl w:val="0"/>
          <w:numId w:val="1"/>
        </w:numPr>
        <w:spacing w:after="80"/>
      </w:pPr>
      <w:r>
        <w:rPr>
          <w:sz w:val="21"/>
          <w:szCs w:val="21"/>
        </w:rPr>
        <w:t xml:space="preserve">Employees &lt;-&gt; Departments on Department = DepartmentName (every employee belongs to one department).</w:t>
      </w:r>
    </w:p>
    <w:p>
      <w:pPr>
        <w:pStyle w:val="ListParagraph"/>
        <w:numPr>
          <w:ilvl w:val="0"/>
          <w:numId w:val="1"/>
        </w:numPr>
        <w:spacing w:after="80"/>
      </w:pPr>
      <w:r>
        <w:rPr>
          <w:sz w:val="21"/>
          <w:szCs w:val="21"/>
        </w:rPr>
        <w:t xml:space="preserve">Operations &lt;-&gt; Employees on SupervisorEmployeeID = EmployeeID.</w:t>
      </w:r>
    </w:p>
    <w:p>
      <w:pPr>
        <w:pStyle w:val="ListParagraph"/>
        <w:numPr>
          <w:ilvl w:val="0"/>
          <w:numId w:val="1"/>
        </w:numPr>
        <w:spacing w:after="80"/>
      </w:pPr>
      <w:r>
        <w:rPr>
          <w:sz w:val="21"/>
          <w:szCs w:val="21"/>
        </w:rPr>
        <w:t xml:space="preserve">Legal &lt;-&gt; Operations on RelatedOperationID = OperationID, and Legal &lt;-&gt; Employees on LegalOfficerEmployeeID = EmployeeID.</w:t>
      </w:r>
    </w:p>
    <w:p>
      <w:pPr>
        <w:pStyle w:val="ListParagraph"/>
        <w:numPr>
          <w:ilvl w:val="0"/>
          <w:numId w:val="1"/>
        </w:numPr>
        <w:spacing w:after="80"/>
      </w:pPr>
      <w:r>
        <w:rPr>
          <w:sz w:val="21"/>
          <w:szCs w:val="21"/>
        </w:rPr>
        <w:t xml:space="preserve">SupplyChain &lt;-&gt; Operations on RelatedOperationID = OperationID, and SupplyChain &lt;-&gt; Employees on ProcurementOfficerEmployeeID = EmployeeID.</w:t>
      </w:r>
    </w:p>
    <w:p>
      <w:pPr>
        <w:pStyle w:val="ListParagraph"/>
        <w:numPr>
          <w:ilvl w:val="0"/>
          <w:numId w:val="1"/>
        </w:numPr>
        <w:spacing w:after="80"/>
      </w:pPr>
      <w:r>
        <w:rPr>
          <w:sz w:val="21"/>
          <w:szCs w:val="21"/>
        </w:rPr>
        <w:t xml:space="preserve">AccountsFinance &lt;-&gt; SupplyChain on RelatedPO_ID = PO_ID, and AccountsFinance &lt;-&gt; Legal on RelatedContractID = ContractID.</w:t>
      </w:r>
    </w:p>
    <w:p>
      <w:pPr>
        <w:pStyle w:val="ListParagraph"/>
        <w:numPr>
          <w:ilvl w:val="0"/>
          <w:numId w:val="1"/>
        </w:numPr>
        <w:spacing w:after="80"/>
      </w:pPr>
      <w:r>
        <w:rPr>
          <w:sz w:val="21"/>
          <w:szCs w:val="21"/>
        </w:rPr>
        <w:t xml:space="preserve">Admin &lt;-&gt; Employees on CustodianEmployeeID = EmployeeID, and Admin &lt;-&gt; Departments on DepartmentID = DepartmentID.</w:t>
      </w:r>
    </w:p>
    <w:p>
      <w:pPr>
        <w:pStyle w:val="ListParagraph"/>
        <w:numPr>
          <w:ilvl w:val="0"/>
          <w:numId w:val="1"/>
        </w:numPr>
        <w:spacing w:after="80"/>
      </w:pPr>
      <w:r>
        <w:rPr>
          <w:sz w:val="21"/>
          <w:szCs w:val="21"/>
        </w:rPr>
        <w:t xml:space="preserve">CustomerService &lt;-&gt; Employees on AgentEmployeeID = EmployeeID.</w:t>
      </w:r>
    </w:p>
    <w:p>
      <w:pPr>
        <w:pStyle w:val="ListParagraph"/>
        <w:numPr>
          <w:ilvl w:val="0"/>
          <w:numId w:val="1"/>
        </w:numPr>
        <w:spacing w:after="80"/>
      </w:pPr>
      <w:r>
        <w:rPr>
          <w:sz w:val="21"/>
          <w:szCs w:val="21"/>
        </w:rPr>
        <w:t xml:space="preserve">IT &lt;-&gt; Employees on RequesterEmployeeID = EmployeeID and SupportOfficerEmployeeID = EmployeeID.</w:t>
      </w:r>
    </w:p>
    <w:p>
      <w:pPr>
        <w:pStyle w:val="ListParagraph"/>
        <w:numPr>
          <w:ilvl w:val="0"/>
          <w:numId w:val="1"/>
        </w:numPr>
        <w:spacing w:after="80"/>
      </w:pPr>
      <w:r>
        <w:rPr>
          <w:sz w:val="21"/>
          <w:szCs w:val="21"/>
        </w:rPr>
        <w:t xml:space="preserve">InternalControl &lt;-&gt; Departments on DepartmentID = DepartmentID, and InternalControl &lt;-&gt; Employees on ResponsibleEmployeeID = EmployeeID.</w:t>
      </w:r>
    </w:p>
    <w:p>
      <w:pPr>
        <w:pStyle w:val="ListParagraph"/>
        <w:numPr>
          <w:ilvl w:val="0"/>
          <w:numId w:val="1"/>
        </w:numPr>
        <w:spacing w:after="80"/>
      </w:pPr>
      <w:r>
        <w:rPr>
          <w:sz w:val="21"/>
          <w:szCs w:val="21"/>
        </w:rPr>
        <w:t xml:space="preserve">RiskComplianceRegister &lt;-&gt; InternalControl on RelatedAuditID = AuditID, RiskComplianceRegister &lt;-&gt; Legal on RelatedContractID = ContractID, and RiskComplianceRegister &lt;-&gt; Employees on RiskOwnerEmployeeID = EmployeeID.</w:t>
      </w:r>
    </w:p>
    <w:p>
      <w:r>
        <w:br w:type="page"/>
      </w:r>
    </w:p>
    <w:p>
      <w:pPr>
        <w:pStyle w:val="Heading1"/>
        <w:spacing w:after="180" w:before="360"/>
      </w:pPr>
      <w:r>
        <w:t xml:space="preserve">3. Comprehensive Data Dictionary</w:t>
      </w:r>
    </w:p>
    <w:p>
      <w:pPr>
        <w:spacing w:after="140"/>
      </w:pPr>
      <w:r>
        <w:rPr>
          <w:sz w:val="21"/>
          <w:szCs w:val="21"/>
        </w:rPr>
        <w:t xml:space="preserve">This section documents every column in every sheet of the training workbook: what it means, its Tableau role (Dimension or Measure), and how it should be used when building the dashboards described later in this guide.</w:t>
      </w:r>
    </w:p>
    <w:p>
      <w:pPr>
        <w:pStyle w:val="Heading2"/>
        <w:spacing w:after="140" w:before="280"/>
      </w:pPr>
      <w:r>
        <w:t xml:space="preserve">3.1 Departments</w:t>
      </w:r>
    </w:p>
    <w:p>
      <w:pPr>
        <w:spacing w:after="140"/>
      </w:pPr>
      <w:r>
        <w:rPr>
          <w:sz w:val="21"/>
          <w:szCs w:val="21"/>
        </w:rPr>
        <w:t xml:space="preserve">Master list of the 10 departments used as the hub for department level roll ups across every other sheet.</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code for each department, for example D01 to D10.</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Use to join every sheet that carries a DepartmentID field.</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DepartmentName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Full name of the department, for example Operations, Legal, Supply Chain.</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on rows/columns of department level views and as the label field.</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DepartmentHeadEmployeeID</w:t>
            </w:r>
          </w:p>
        </w:tc>
        <w:tc>
          <w:tcPr>
            <w:tcW w:type="dxa" w:w="4200"/>
            <w:tcMar>
              <w:top w:type="dxa" w:w="80"/>
              <w:left w:type="dxa" w:w="100"/>
              <w:bottom w:type="dxa" w:w="80"/>
              <w:right w:type="dxa" w:w="100"/>
            </w:tcMar>
            <w:vAlign w:val="center"/>
          </w:tcPr>
          <w:p>
            <w:r>
              <w:rPr>
                <w:b w:val="false"/>
                <w:bCs w:val="false"/>
                <w:color w:val="000000"/>
                <w:sz w:val="19"/>
                <w:szCs w:val="19"/>
              </w:rPr>
              <w:t xml:space="preserve">EmployeeID of the person who heads the department.</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Employees.EmployeeID to pull in the head's name and grade.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Function</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One line description of what the department does.</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in tooltips on executive dashboard.</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Location</w:t>
            </w:r>
          </w:p>
        </w:tc>
        <w:tc>
          <w:tcPr>
            <w:tcW w:type="dxa" w:w="4200"/>
            <w:tcMar>
              <w:top w:type="dxa" w:w="80"/>
              <w:left w:type="dxa" w:w="100"/>
              <w:bottom w:type="dxa" w:w="80"/>
              <w:right w:type="dxa" w:w="100"/>
            </w:tcMar>
            <w:vAlign w:val="center"/>
          </w:tcPr>
          <w:p>
            <w:r>
              <w:rPr>
                <w:b w:val="false"/>
                <w:bCs w:val="false"/>
                <w:color w:val="000000"/>
                <w:sz w:val="19"/>
                <w:szCs w:val="19"/>
              </w:rPr>
              <w:t xml:space="preserve">Primary office location of the department.</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for filtering or geographic grouping.</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AnnualBudget_NGN</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Approved annual budget in Nigerian Naira.</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to compare Budget vs Actual Spend (from AccountsFinance) as a KPI.</w:t>
            </w:r>
          </w:p>
        </w:tc>
      </w:tr>
    </w:tbl>
    <w:p>
      <w:pPr>
        <w:spacing w:before="160"/>
      </w:pPr>
    </w:p>
    <w:p>
      <w:pPr>
        <w:pStyle w:val="Heading2"/>
        <w:spacing w:after="140" w:before="280"/>
      </w:pPr>
      <w:r>
        <w:t xml:space="preserve">3.2 Employees</w:t>
      </w:r>
    </w:p>
    <w:p>
      <w:pPr>
        <w:spacing w:after="140"/>
      </w:pPr>
      <w:r>
        <w:rPr>
          <w:sz w:val="21"/>
          <w:szCs w:val="21"/>
        </w:rPr>
        <w:t xml:space="preserve">The HR master table and the hub of the entire model. Every other sheet's EmployeeID fields relate back to this table.</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EmployeeID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staff identifier, for example E0001.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Relate to every EmployeeID/OfficerID/OwnerID/CustodianID field in the other sheets.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FullName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Employee's full name.</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display label wherever an EmployeeID is resolved.</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Department</w:t>
            </w:r>
          </w:p>
        </w:tc>
        <w:tc>
          <w:tcPr>
            <w:tcW w:type="dxa" w:w="4200"/>
            <w:tcMar>
              <w:top w:type="dxa" w:w="80"/>
              <w:left w:type="dxa" w:w="100"/>
              <w:bottom w:type="dxa" w:w="80"/>
              <w:right w:type="dxa" w:w="100"/>
            </w:tcMar>
            <w:vAlign w:val="center"/>
          </w:tcPr>
          <w:p>
            <w:r>
              <w:rPr>
                <w:b w:val="false"/>
                <w:bCs w:val="false"/>
                <w:color w:val="000000"/>
                <w:sz w:val="19"/>
                <w:szCs w:val="19"/>
              </w:rPr>
              <w:t xml:space="preserve">Department the employee currently belongs to.</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to filter and to validate against Departments.DepartmentName.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JobGrade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Career level, from Graduate Trainee to General Manager.</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 Ordinal)</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Build a manual sort order; use in hierarchy with Department.</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Gender</w:t>
            </w:r>
          </w:p>
        </w:tc>
        <w:tc>
          <w:tcPr>
            <w:tcW w:type="dxa" w:w="4200"/>
            <w:tcMar>
              <w:top w:type="dxa" w:w="80"/>
              <w:left w:type="dxa" w:w="100"/>
              <w:bottom w:type="dxa" w:w="80"/>
              <w:right w:type="dxa" w:w="100"/>
            </w:tcMar>
            <w:vAlign w:val="center"/>
          </w:tcPr>
          <w:p>
            <w:r>
              <w:rPr>
                <w:b w:val="false"/>
                <w:bCs w:val="false"/>
                <w:color w:val="000000"/>
                <w:sz w:val="19"/>
                <w:szCs w:val="19"/>
              </w:rPr>
              <w:t xml:space="preserve">Male or Female.</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for diversity KPIs (gender ratio by department/grade).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DateOfBirth</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Date of birth.</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with DATEDIFF to calculate Age as a calculated field.</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HireDate</w:t>
            </w:r>
          </w:p>
        </w:tc>
        <w:tc>
          <w:tcPr>
            <w:tcW w:type="dxa" w:w="4200"/>
            <w:tcMar>
              <w:top w:type="dxa" w:w="80"/>
              <w:left w:type="dxa" w:w="100"/>
              <w:bottom w:type="dxa" w:w="80"/>
              <w:right w:type="dxa" w:w="100"/>
            </w:tcMar>
            <w:vAlign w:val="center"/>
          </w:tcPr>
          <w:p>
            <w:r>
              <w:rPr>
                <w:b w:val="false"/>
                <w:bCs w:val="false"/>
                <w:color w:val="000000"/>
                <w:sz w:val="19"/>
                <w:szCs w:val="19"/>
              </w:rPr>
              <w:t xml:space="preserve">Date the employee joined the company.</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tcMar>
              <w:top w:type="dxa" w:w="80"/>
              <w:left w:type="dxa" w:w="100"/>
              <w:bottom w:type="dxa" w:w="80"/>
              <w:right w:type="dxa" w:w="100"/>
            </w:tcMar>
            <w:vAlign w:val="center"/>
          </w:tcPr>
          <w:p>
            <w:r>
              <w:rPr>
                <w:b w:val="false"/>
                <w:bCs w:val="false"/>
                <w:color w:val="000000"/>
                <w:sz w:val="19"/>
                <w:szCs w:val="19"/>
              </w:rPr>
              <w:t xml:space="preserve">Use with TODAY() to calculate Tenure (years of service).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EmploymentType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Permanent or Contract.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a filter/segment on HR dashboard.</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AnnualSalary_NGN</w:t>
            </w:r>
          </w:p>
        </w:tc>
        <w:tc>
          <w:tcPr>
            <w:tcW w:type="dxa" w:w="4200"/>
            <w:tcMar>
              <w:top w:type="dxa" w:w="80"/>
              <w:left w:type="dxa" w:w="100"/>
              <w:bottom w:type="dxa" w:w="80"/>
              <w:right w:type="dxa" w:w="100"/>
            </w:tcMar>
            <w:vAlign w:val="center"/>
          </w:tcPr>
          <w:p>
            <w:r>
              <w:rPr>
                <w:b w:val="false"/>
                <w:bCs w:val="false"/>
                <w:color w:val="000000"/>
                <w:sz w:val="19"/>
                <w:szCs w:val="19"/>
              </w:rPr>
              <w:t xml:space="preserve">Gross annual salary in Naira.</w:t>
            </w:r>
          </w:p>
        </w:tc>
        <w:tc>
          <w:tcPr>
            <w:tcW w:type="dxa" w:w="1800"/>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tcMar>
              <w:top w:type="dxa" w:w="80"/>
              <w:left w:type="dxa" w:w="100"/>
              <w:bottom w:type="dxa" w:w="80"/>
              <w:right w:type="dxa" w:w="100"/>
            </w:tcMar>
            <w:vAlign w:val="center"/>
          </w:tcPr>
          <w:p>
            <w:r>
              <w:rPr>
                <w:b w:val="false"/>
                <w:bCs w:val="false"/>
                <w:color w:val="000000"/>
                <w:sz w:val="19"/>
                <w:szCs w:val="19"/>
              </w:rPr>
              <w:t xml:space="preserve">Aggregate as SUM for payroll cost, AVG for average pay by grade.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PerformanceRating</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Latest appraisal score, 1 (lowest) to 5 (highest).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 decimal)</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Aggregate as AVG; band into Low/Medium/High performer groups.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Location</w:t>
            </w:r>
          </w:p>
        </w:tc>
        <w:tc>
          <w:tcPr>
            <w:tcW w:type="dxa" w:w="4200"/>
            <w:tcMar>
              <w:top w:type="dxa" w:w="80"/>
              <w:left w:type="dxa" w:w="100"/>
              <w:bottom w:type="dxa" w:w="80"/>
              <w:right w:type="dxa" w:w="100"/>
            </w:tcMar>
            <w:vAlign w:val="center"/>
          </w:tcPr>
          <w:p>
            <w:r>
              <w:rPr>
                <w:b w:val="false"/>
                <w:bCs w:val="false"/>
                <w:color w:val="000000"/>
                <w:sz w:val="19"/>
                <w:szCs w:val="19"/>
              </w:rPr>
              <w:t xml:space="preserve">Office location of the employee.</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for headcount by location.</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Status</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Active or Exited.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to calculate Attrition Rate = COUNTD Exited / COUNTD Total.</w:t>
            </w:r>
          </w:p>
        </w:tc>
      </w:tr>
    </w:tbl>
    <w:p>
      <w:pPr>
        <w:spacing w:before="160"/>
      </w:pPr>
    </w:p>
    <w:p>
      <w:pPr>
        <w:pStyle w:val="Heading2"/>
        <w:spacing w:after="140" w:before="280"/>
      </w:pPr>
      <w:r>
        <w:t xml:space="preserve">3.3 Operations</w:t>
      </w:r>
    </w:p>
    <w:p>
      <w:pPr>
        <w:spacing w:after="140"/>
      </w:pPr>
      <w:r>
        <w:rPr>
          <w:sz w:val="21"/>
          <w:szCs w:val="21"/>
        </w:rPr>
        <w:t xml:space="preserve">Field level production records: what was produced, where, and how much downtime occurred.</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OperationID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production record identifier, for example OP0001.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Referenced by Legal and Supply Chain as RelatedOperationID.</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AssetField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The oil/gas field or asset the record belongs to, for example OML 40 - Sapele.</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on rows of production dashboards; can be parsed into Licence and Field with a split calculation.</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WellName</w:t>
            </w:r>
          </w:p>
        </w:tc>
        <w:tc>
          <w:tcPr>
            <w:tcW w:type="dxa" w:w="4200"/>
            <w:tcMar>
              <w:top w:type="dxa" w:w="80"/>
              <w:left w:type="dxa" w:w="100"/>
              <w:bottom w:type="dxa" w:w="80"/>
              <w:right w:type="dxa" w:w="100"/>
            </w:tcMar>
            <w:vAlign w:val="center"/>
          </w:tcPr>
          <w:p>
            <w:r>
              <w:rPr>
                <w:b w:val="false"/>
                <w:bCs w:val="false"/>
                <w:color w:val="000000"/>
                <w:sz w:val="19"/>
                <w:szCs w:val="19"/>
              </w:rPr>
              <w:t xml:space="preserve">Specific well the volume was produced from.</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for well level drill downs beneath the asset field.</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ProductionDate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Date of the production reading.</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primary date field for trend lines; set default date level to Month.</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ProductType</w:t>
            </w:r>
          </w:p>
        </w:tc>
        <w:tc>
          <w:tcPr>
            <w:tcW w:type="dxa" w:w="4200"/>
            <w:tcMar>
              <w:top w:type="dxa" w:w="80"/>
              <w:left w:type="dxa" w:w="100"/>
              <w:bottom w:type="dxa" w:w="80"/>
              <w:right w:type="dxa" w:w="100"/>
            </w:tcMar>
            <w:vAlign w:val="center"/>
          </w:tcPr>
          <w:p>
            <w:r>
              <w:rPr>
                <w:b w:val="false"/>
                <w:bCs w:val="false"/>
                <w:color w:val="000000"/>
                <w:sz w:val="19"/>
                <w:szCs w:val="19"/>
              </w:rPr>
              <w:t xml:space="preserve">Crude Oil, Natural Gas or NGL.</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as a colour/legend field; units differ by product (see UnitOfMeasure).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UnitOfMeasure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bbls for crude/NGL, mmscf for gas.</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Display in axis titles and tooltips so mixed units are never summed together.</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PlannedVolume</w:t>
            </w:r>
          </w:p>
        </w:tc>
        <w:tc>
          <w:tcPr>
            <w:tcW w:type="dxa" w:w="4200"/>
            <w:tcMar>
              <w:top w:type="dxa" w:w="80"/>
              <w:left w:type="dxa" w:w="100"/>
              <w:bottom w:type="dxa" w:w="80"/>
              <w:right w:type="dxa" w:w="100"/>
            </w:tcMar>
            <w:vAlign w:val="center"/>
          </w:tcPr>
          <w:p>
            <w:r>
              <w:rPr>
                <w:b w:val="false"/>
                <w:bCs w:val="false"/>
                <w:color w:val="000000"/>
                <w:sz w:val="19"/>
                <w:szCs w:val="19"/>
              </w:rPr>
              <w:t xml:space="preserve">Budgeted/forecast volume for the period.</w:t>
            </w:r>
          </w:p>
        </w:tc>
        <w:tc>
          <w:tcPr>
            <w:tcW w:type="dxa" w:w="1800"/>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tcMar>
              <w:top w:type="dxa" w:w="80"/>
              <w:left w:type="dxa" w:w="100"/>
              <w:bottom w:type="dxa" w:w="80"/>
              <w:right w:type="dxa" w:w="100"/>
            </w:tcMar>
            <w:vAlign w:val="center"/>
          </w:tcPr>
          <w:p>
            <w:r>
              <w:rPr>
                <w:b w:val="false"/>
                <w:bCs w:val="false"/>
                <w:color w:val="000000"/>
                <w:sz w:val="19"/>
                <w:szCs w:val="19"/>
              </w:rPr>
              <w:t xml:space="preserve">SUM aggregation; used as the denominator for Production Efficiency %.</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ActualVolume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Volume actually produced.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SUM aggregation; numerator for Production Efficiency %.</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DowntimeHours</w:t>
            </w:r>
          </w:p>
        </w:tc>
        <w:tc>
          <w:tcPr>
            <w:tcW w:type="dxa" w:w="4200"/>
            <w:tcMar>
              <w:top w:type="dxa" w:w="80"/>
              <w:left w:type="dxa" w:w="100"/>
              <w:bottom w:type="dxa" w:w="80"/>
              <w:right w:type="dxa" w:w="100"/>
            </w:tcMar>
            <w:vAlign w:val="center"/>
          </w:tcPr>
          <w:p>
            <w:r>
              <w:rPr>
                <w:b w:val="false"/>
                <w:bCs w:val="false"/>
                <w:color w:val="000000"/>
                <w:sz w:val="19"/>
                <w:szCs w:val="19"/>
              </w:rPr>
              <w:t xml:space="preserve">Hours of production downtime, 0 if none.</w:t>
            </w:r>
          </w:p>
        </w:tc>
        <w:tc>
          <w:tcPr>
            <w:tcW w:type="dxa" w:w="1800"/>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tcMar>
              <w:top w:type="dxa" w:w="80"/>
              <w:left w:type="dxa" w:w="100"/>
              <w:bottom w:type="dxa" w:w="80"/>
              <w:right w:type="dxa" w:w="100"/>
            </w:tcMar>
            <w:vAlign w:val="center"/>
          </w:tcPr>
          <w:p>
            <w:r>
              <w:rPr>
                <w:b w:val="false"/>
                <w:bCs w:val="false"/>
                <w:color w:val="000000"/>
                <w:sz w:val="19"/>
                <w:szCs w:val="19"/>
              </w:rPr>
              <w:t xml:space="preserve">SUM for total downtime; AVG for average downtime per incident.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DowntimeReason</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Cause of downtime, blank when there was none.</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to build a Pareto chart of downtime causes.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SupervisorEmployeeID</w:t>
            </w:r>
          </w:p>
        </w:tc>
        <w:tc>
          <w:tcPr>
            <w:tcW w:type="dxa" w:w="4200"/>
            <w:tcMar>
              <w:top w:type="dxa" w:w="80"/>
              <w:left w:type="dxa" w:w="100"/>
              <w:bottom w:type="dxa" w:w="80"/>
              <w:right w:type="dxa" w:w="100"/>
            </w:tcMar>
            <w:vAlign w:val="center"/>
          </w:tcPr>
          <w:p>
            <w:r>
              <w:rPr>
                <w:b w:val="false"/>
                <w:bCs w:val="false"/>
                <w:color w:val="000000"/>
                <w:sz w:val="19"/>
                <w:szCs w:val="19"/>
              </w:rPr>
              <w:t xml:space="preserve">EmployeeID of the operations supervisor responsible for the record.</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Employees to show supervisor name/grade.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Owning department, always D01 Operations.</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Departments.</w:t>
            </w:r>
          </w:p>
        </w:tc>
      </w:tr>
    </w:tbl>
    <w:p>
      <w:pPr>
        <w:spacing w:before="160"/>
      </w:pPr>
    </w:p>
    <w:p>
      <w:pPr>
        <w:pStyle w:val="Heading2"/>
        <w:spacing w:after="140" w:before="280"/>
      </w:pPr>
      <w:r>
        <w:t xml:space="preserve">3.4 Legal</w:t>
      </w:r>
    </w:p>
    <w:p>
      <w:pPr>
        <w:spacing w:after="140"/>
      </w:pPr>
      <w:r>
        <w:rPr>
          <w:sz w:val="21"/>
          <w:szCs w:val="21"/>
        </w:rPr>
        <w:t xml:space="preserve">Contract and agreement register covering joint ventures, vendor contracts, community MOUs and licences.</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ContractID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contract identifier, for example CT0001.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Referenced by AccountsFinance and RiskComplianceRegister as RelatedContractID.</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ContractTitle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Descriptive title combining type and counterparty.</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mark label in contract level detail views.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ContractType</w:t>
            </w:r>
          </w:p>
        </w:tc>
        <w:tc>
          <w:tcPr>
            <w:tcW w:type="dxa" w:w="4200"/>
            <w:tcMar>
              <w:top w:type="dxa" w:w="80"/>
              <w:left w:type="dxa" w:w="100"/>
              <w:bottom w:type="dxa" w:w="80"/>
              <w:right w:type="dxa" w:w="100"/>
            </w:tcMar>
            <w:vAlign w:val="center"/>
          </w:tcPr>
          <w:p>
            <w:r>
              <w:rPr>
                <w:b w:val="false"/>
                <w:bCs w:val="false"/>
                <w:color w:val="000000"/>
                <w:sz w:val="19"/>
                <w:szCs w:val="19"/>
              </w:rPr>
              <w:t xml:space="preserve">Category such as Joint Venture Agreement, Vendor Contract, Community MOU.</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for the legend of a contract mix chart.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CounterpartyName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The organisation on the other side of the contract.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to identify concentration risk (top counterparties by value).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CounterpartyType</w:t>
            </w:r>
          </w:p>
        </w:tc>
        <w:tc>
          <w:tcPr>
            <w:tcW w:type="dxa" w:w="4200"/>
            <w:tcMar>
              <w:top w:type="dxa" w:w="80"/>
              <w:left w:type="dxa" w:w="100"/>
              <w:bottom w:type="dxa" w:w="80"/>
              <w:right w:type="dxa" w:w="100"/>
            </w:tcMar>
            <w:vAlign w:val="center"/>
          </w:tcPr>
          <w:p>
            <w:r>
              <w:rPr>
                <w:b w:val="false"/>
                <w:bCs w:val="false"/>
                <w:color w:val="000000"/>
                <w:sz w:val="19"/>
                <w:szCs w:val="19"/>
              </w:rPr>
              <w:t xml:space="preserve">Government Agency, Vendor, JV Partner, Host Community or Financial Institution.</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to group counterparties into categories.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StartDate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Contract start date.</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with EndDate to compute contract duration.</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EndDate</w:t>
            </w:r>
          </w:p>
        </w:tc>
        <w:tc>
          <w:tcPr>
            <w:tcW w:type="dxa" w:w="4200"/>
            <w:tcMar>
              <w:top w:type="dxa" w:w="80"/>
              <w:left w:type="dxa" w:w="100"/>
              <w:bottom w:type="dxa" w:w="80"/>
              <w:right w:type="dxa" w:w="100"/>
            </w:tcMar>
            <w:vAlign w:val="center"/>
          </w:tcPr>
          <w:p>
            <w:r>
              <w:rPr>
                <w:b w:val="false"/>
                <w:bCs w:val="false"/>
                <w:color w:val="000000"/>
                <w:sz w:val="19"/>
                <w:szCs w:val="19"/>
              </w:rPr>
              <w:t xml:space="preserve">Contract expiry date.</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tcMar>
              <w:top w:type="dxa" w:w="80"/>
              <w:left w:type="dxa" w:w="100"/>
              <w:bottom w:type="dxa" w:w="80"/>
              <w:right w:type="dxa" w:w="100"/>
            </w:tcMar>
            <w:vAlign w:val="center"/>
          </w:tcPr>
          <w:p>
            <w:r>
              <w:rPr>
                <w:b w:val="false"/>
                <w:bCs w:val="false"/>
                <w:color w:val="000000"/>
                <w:sz w:val="19"/>
                <w:szCs w:val="19"/>
              </w:rPr>
              <w:t xml:space="preserve">Use with DATEDIFF(TODAY()) to flag contracts expiring within 90 days.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ContractValue_NGN</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Total value of the contract in Naira.</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SUM for total exposure; use in a Top N contracts by value view.</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Status</w:t>
            </w:r>
          </w:p>
        </w:tc>
        <w:tc>
          <w:tcPr>
            <w:tcW w:type="dxa" w:w="4200"/>
            <w:tcMar>
              <w:top w:type="dxa" w:w="80"/>
              <w:left w:type="dxa" w:w="100"/>
              <w:bottom w:type="dxa" w:w="80"/>
              <w:right w:type="dxa" w:w="100"/>
            </w:tcMar>
            <w:vAlign w:val="center"/>
          </w:tcPr>
          <w:p>
            <w:r>
              <w:rPr>
                <w:b w:val="false"/>
                <w:bCs w:val="false"/>
                <w:color w:val="000000"/>
                <w:sz w:val="19"/>
                <w:szCs w:val="19"/>
              </w:rPr>
              <w:t xml:space="preserve">Active, Expired, Under Review or Terminated.</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as a filter and as a KPI (% Active).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RelatedOperationID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OperationID the contract supports, blank if not tied to a specific field.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Operations to connect legal exposure to physical assets.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LegalOfficerEmployeeID</w:t>
            </w:r>
          </w:p>
        </w:tc>
        <w:tc>
          <w:tcPr>
            <w:tcW w:type="dxa" w:w="4200"/>
            <w:tcMar>
              <w:top w:type="dxa" w:w="80"/>
              <w:left w:type="dxa" w:w="100"/>
              <w:bottom w:type="dxa" w:w="80"/>
              <w:right w:type="dxa" w:w="100"/>
            </w:tcMar>
            <w:vAlign w:val="center"/>
          </w:tcPr>
          <w:p>
            <w:r>
              <w:rPr>
                <w:b w:val="false"/>
                <w:bCs w:val="false"/>
                <w:color w:val="000000"/>
                <w:sz w:val="19"/>
                <w:szCs w:val="19"/>
              </w:rPr>
              <w:t xml:space="preserve">EmployeeID of the legal officer managing the contract.</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Employees.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ComplianceRiskFlag</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Y or N flag raised by legal for follow up.</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a filter to isolate flagged contracts; count for a compliance KPI.</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4200"/>
            <w:tcMar>
              <w:top w:type="dxa" w:w="80"/>
              <w:left w:type="dxa" w:w="100"/>
              <w:bottom w:type="dxa" w:w="80"/>
              <w:right w:type="dxa" w:w="100"/>
            </w:tcMar>
            <w:vAlign w:val="center"/>
          </w:tcPr>
          <w:p>
            <w:r>
              <w:rPr>
                <w:b w:val="false"/>
                <w:bCs w:val="false"/>
                <w:color w:val="000000"/>
                <w:sz w:val="19"/>
                <w:szCs w:val="19"/>
              </w:rPr>
              <w:t xml:space="preserve">Owning department, always D02 Legal.</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Departments.</w:t>
            </w:r>
          </w:p>
        </w:tc>
      </w:tr>
    </w:tbl>
    <w:p>
      <w:pPr>
        <w:spacing w:before="160"/>
      </w:pPr>
    </w:p>
    <w:p>
      <w:pPr>
        <w:pStyle w:val="Heading2"/>
        <w:spacing w:after="140" w:before="280"/>
      </w:pPr>
      <w:r>
        <w:t xml:space="preserve">3.5 SupplyChain</w:t>
      </w:r>
    </w:p>
    <w:p>
      <w:pPr>
        <w:spacing w:after="140"/>
      </w:pPr>
      <w:r>
        <w:rPr>
          <w:sz w:val="21"/>
          <w:szCs w:val="21"/>
        </w:rPr>
        <w:t xml:space="preserve">Purchase order register capturing procurement spend and delivery performance across vendors.</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PO_ID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purchase order identifier, for example PO0001.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Referenced by AccountsFinance as RelatedPO_ID.</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VendorID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Unique vendor code.</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to relate to a future Vendor master if one is added.</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VendorName</w:t>
            </w:r>
          </w:p>
        </w:tc>
        <w:tc>
          <w:tcPr>
            <w:tcW w:type="dxa" w:w="4200"/>
            <w:tcMar>
              <w:top w:type="dxa" w:w="80"/>
              <w:left w:type="dxa" w:w="100"/>
              <w:bottom w:type="dxa" w:w="80"/>
              <w:right w:type="dxa" w:w="100"/>
            </w:tcMar>
            <w:vAlign w:val="center"/>
          </w:tcPr>
          <w:p>
            <w:r>
              <w:rPr>
                <w:b w:val="false"/>
                <w:bCs w:val="false"/>
                <w:color w:val="000000"/>
                <w:sz w:val="19"/>
                <w:szCs w:val="19"/>
              </w:rPr>
              <w:t xml:space="preserve">Name of the supplying vendor.</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on rows of spend-by-vendor views.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ItemDescription</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What was ordered.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in tooltip detail; too granular for chart axes.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Category</w:t>
            </w:r>
          </w:p>
        </w:tc>
        <w:tc>
          <w:tcPr>
            <w:tcW w:type="dxa" w:w="4200"/>
            <w:tcMar>
              <w:top w:type="dxa" w:w="80"/>
              <w:left w:type="dxa" w:w="100"/>
              <w:bottom w:type="dxa" w:w="80"/>
              <w:right w:type="dxa" w:w="100"/>
            </w:tcMar>
            <w:vAlign w:val="center"/>
          </w:tcPr>
          <w:p>
            <w:r>
              <w:rPr>
                <w:b w:val="false"/>
                <w:bCs w:val="false"/>
                <w:color w:val="000000"/>
                <w:sz w:val="19"/>
                <w:szCs w:val="19"/>
              </w:rPr>
              <w:t xml:space="preserve">Procurement category, for example Drilling Equipment, PPE, Logistics.</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as the primary breakdown of spend.</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OrderDate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Date the purchase order was raised.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trend date for spend over time.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ExpectedDeliveryDate</w:t>
            </w:r>
          </w:p>
        </w:tc>
        <w:tc>
          <w:tcPr>
            <w:tcW w:type="dxa" w:w="4200"/>
            <w:tcMar>
              <w:top w:type="dxa" w:w="80"/>
              <w:left w:type="dxa" w:w="100"/>
              <w:bottom w:type="dxa" w:w="80"/>
              <w:right w:type="dxa" w:w="100"/>
            </w:tcMar>
            <w:vAlign w:val="center"/>
          </w:tcPr>
          <w:p>
            <w:r>
              <w:rPr>
                <w:b w:val="false"/>
                <w:bCs w:val="false"/>
                <w:color w:val="000000"/>
                <w:sz w:val="19"/>
                <w:szCs w:val="19"/>
              </w:rPr>
              <w:t xml:space="preserve">Date delivery was promised.</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tcMar>
              <w:top w:type="dxa" w:w="80"/>
              <w:left w:type="dxa" w:w="100"/>
              <w:bottom w:type="dxa" w:w="80"/>
              <w:right w:type="dxa" w:w="100"/>
            </w:tcMar>
            <w:vAlign w:val="center"/>
          </w:tcPr>
          <w:p>
            <w:r>
              <w:rPr>
                <w:b w:val="false"/>
                <w:bCs w:val="false"/>
                <w:color w:val="000000"/>
                <w:sz w:val="19"/>
                <w:szCs w:val="19"/>
              </w:rPr>
              <w:t xml:space="preserve">Use with ActualDeliveryDate to compute delay days.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ActualDeliveryDate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Date delivery actually occurred.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Subtract ExpectedDeliveryDate for a Delay Days calculated field.</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Quantity</w:t>
            </w:r>
          </w:p>
        </w:tc>
        <w:tc>
          <w:tcPr>
            <w:tcW w:type="dxa" w:w="4200"/>
            <w:tcMar>
              <w:top w:type="dxa" w:w="80"/>
              <w:left w:type="dxa" w:w="100"/>
              <w:bottom w:type="dxa" w:w="80"/>
              <w:right w:type="dxa" w:w="100"/>
            </w:tcMar>
            <w:vAlign w:val="center"/>
          </w:tcPr>
          <w:p>
            <w:r>
              <w:rPr>
                <w:b w:val="false"/>
                <w:bCs w:val="false"/>
                <w:color w:val="000000"/>
                <w:sz w:val="19"/>
                <w:szCs w:val="19"/>
              </w:rPr>
              <w:t xml:space="preserve">Units ordered.</w:t>
            </w:r>
          </w:p>
        </w:tc>
        <w:tc>
          <w:tcPr>
            <w:tcW w:type="dxa" w:w="1800"/>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tcMar>
              <w:top w:type="dxa" w:w="80"/>
              <w:left w:type="dxa" w:w="100"/>
              <w:bottom w:type="dxa" w:w="80"/>
              <w:right w:type="dxa" w:w="100"/>
            </w:tcMar>
            <w:vAlign w:val="center"/>
          </w:tcPr>
          <w:p>
            <w:r>
              <w:rPr>
                <w:b w:val="false"/>
                <w:bCs w:val="false"/>
                <w:color w:val="000000"/>
                <w:sz w:val="19"/>
                <w:szCs w:val="19"/>
              </w:rPr>
              <w:t xml:space="preserve">SUM; multiplied by UnitCost to validate TotalCost.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UnitCost_NGN</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Cost per unit in Naira.</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AVG for average unit price by category.</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TotalCost_NGN</w:t>
            </w:r>
          </w:p>
        </w:tc>
        <w:tc>
          <w:tcPr>
            <w:tcW w:type="dxa" w:w="4200"/>
            <w:tcMar>
              <w:top w:type="dxa" w:w="80"/>
              <w:left w:type="dxa" w:w="100"/>
              <w:bottom w:type="dxa" w:w="80"/>
              <w:right w:type="dxa" w:w="100"/>
            </w:tcMar>
            <w:vAlign w:val="center"/>
          </w:tcPr>
          <w:p>
            <w:r>
              <w:rPr>
                <w:b w:val="false"/>
                <w:bCs w:val="false"/>
                <w:color w:val="000000"/>
                <w:sz w:val="19"/>
                <w:szCs w:val="19"/>
              </w:rPr>
              <w:t xml:space="preserve">Quantity times UnitCost, pre-calculated in the workbook.</w:t>
            </w:r>
          </w:p>
        </w:tc>
        <w:tc>
          <w:tcPr>
            <w:tcW w:type="dxa" w:w="1800"/>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tcMar>
              <w:top w:type="dxa" w:w="80"/>
              <w:left w:type="dxa" w:w="100"/>
              <w:bottom w:type="dxa" w:w="80"/>
              <w:right w:type="dxa" w:w="100"/>
            </w:tcMar>
            <w:vAlign w:val="center"/>
          </w:tcPr>
          <w:p>
            <w:r>
              <w:rPr>
                <w:b w:val="false"/>
                <w:bCs w:val="false"/>
                <w:color w:val="000000"/>
                <w:sz w:val="19"/>
                <w:szCs w:val="19"/>
              </w:rPr>
              <w:t xml:space="preserve">SUM as the headline Total Spend KPI.</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Currency</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Transaction currency, NGN throughout.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Retained for completeness/future multi currency use.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Status</w:t>
            </w:r>
          </w:p>
        </w:tc>
        <w:tc>
          <w:tcPr>
            <w:tcW w:type="dxa" w:w="4200"/>
            <w:tcMar>
              <w:top w:type="dxa" w:w="80"/>
              <w:left w:type="dxa" w:w="100"/>
              <w:bottom w:type="dxa" w:w="80"/>
              <w:right w:type="dxa" w:w="100"/>
            </w:tcMar>
            <w:vAlign w:val="center"/>
          </w:tcPr>
          <w:p>
            <w:r>
              <w:rPr>
                <w:b w:val="false"/>
                <w:bCs w:val="false"/>
                <w:color w:val="000000"/>
                <w:sz w:val="19"/>
                <w:szCs w:val="19"/>
              </w:rPr>
              <w:t xml:space="preserve">Ordered, Delivered, Delayed or Cancelled.</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to compute On Time Delivery Rate = Delivered on time / Total.</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RelatedOperationID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OperationID the order supports, blank if general/overhead.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Operations.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ProcurementOfficerEmployeeID</w:t>
            </w:r>
          </w:p>
        </w:tc>
        <w:tc>
          <w:tcPr>
            <w:tcW w:type="dxa" w:w="4200"/>
            <w:tcMar>
              <w:top w:type="dxa" w:w="80"/>
              <w:left w:type="dxa" w:w="100"/>
              <w:bottom w:type="dxa" w:w="80"/>
              <w:right w:type="dxa" w:w="100"/>
            </w:tcMar>
            <w:vAlign w:val="center"/>
          </w:tcPr>
          <w:p>
            <w:r>
              <w:rPr>
                <w:b w:val="false"/>
                <w:bCs w:val="false"/>
                <w:color w:val="000000"/>
                <w:sz w:val="19"/>
                <w:szCs w:val="19"/>
              </w:rPr>
              <w:t xml:space="preserve">EmployeeID of the buyer who placed the order.</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Employees.</w:t>
            </w:r>
          </w:p>
        </w:tc>
      </w:tr>
    </w:tbl>
    <w:p>
      <w:pPr>
        <w:spacing w:before="160"/>
      </w:pPr>
    </w:p>
    <w:p>
      <w:pPr>
        <w:pStyle w:val="Heading2"/>
        <w:spacing w:after="140" w:before="280"/>
      </w:pPr>
      <w:r>
        <w:t xml:space="preserve">3.6 Admin</w:t>
      </w:r>
    </w:p>
    <w:p>
      <w:pPr>
        <w:spacing w:after="140"/>
      </w:pPr>
      <w:r>
        <w:rPr>
          <w:sz w:val="21"/>
          <w:szCs w:val="21"/>
        </w:rPr>
        <w:t xml:space="preserve">Fixed asset and facilities register maintained by the Admin department.</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AssetID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fixed asset identifier, for example AS0001.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for this sheet.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AssetType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Vehicle, Generator, Office Furniture, Building/Facility, Laptop or Site Equipment.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category breakdown of the asset register.</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Description</w:t>
            </w:r>
          </w:p>
        </w:tc>
        <w:tc>
          <w:tcPr>
            <w:tcW w:type="dxa" w:w="4200"/>
            <w:tcMar>
              <w:top w:type="dxa" w:w="80"/>
              <w:left w:type="dxa" w:w="100"/>
              <w:bottom w:type="dxa" w:w="80"/>
              <w:right w:type="dxa" w:w="100"/>
            </w:tcMar>
            <w:vAlign w:val="center"/>
          </w:tcPr>
          <w:p>
            <w:r>
              <w:rPr>
                <w:b w:val="false"/>
                <w:bCs w:val="false"/>
                <w:color w:val="000000"/>
                <w:sz w:val="19"/>
                <w:szCs w:val="19"/>
              </w:rPr>
              <w:t xml:space="preserve">Short description of the specific asset.</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in tooltip detail.</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Location</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Where the asset is based.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for a location based asset value view, optionally on a map.</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PurchaseDate</w:t>
            </w:r>
          </w:p>
        </w:tc>
        <w:tc>
          <w:tcPr>
            <w:tcW w:type="dxa" w:w="4200"/>
            <w:tcMar>
              <w:top w:type="dxa" w:w="80"/>
              <w:left w:type="dxa" w:w="100"/>
              <w:bottom w:type="dxa" w:w="80"/>
              <w:right w:type="dxa" w:w="100"/>
            </w:tcMar>
            <w:vAlign w:val="center"/>
          </w:tcPr>
          <w:p>
            <w:r>
              <w:rPr>
                <w:b w:val="false"/>
                <w:bCs w:val="false"/>
                <w:color w:val="000000"/>
                <w:sz w:val="19"/>
                <w:szCs w:val="19"/>
              </w:rPr>
              <w:t xml:space="preserve">Date the asset was purchased.</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tcMar>
              <w:top w:type="dxa" w:w="80"/>
              <w:left w:type="dxa" w:w="100"/>
              <w:bottom w:type="dxa" w:w="80"/>
              <w:right w:type="dxa" w:w="100"/>
            </w:tcMar>
            <w:vAlign w:val="center"/>
          </w:tcPr>
          <w:p>
            <w:r>
              <w:rPr>
                <w:b w:val="false"/>
                <w:bCs w:val="false"/>
                <w:color w:val="000000"/>
                <w:sz w:val="19"/>
                <w:szCs w:val="19"/>
              </w:rPr>
              <w:t xml:space="preserve">Use with TODAY() for asset age.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PurchaseValue_NGN</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Original purchase price.</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SUM for total capital invested in assets.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CurrentValue_NGN</w:t>
            </w:r>
          </w:p>
        </w:tc>
        <w:tc>
          <w:tcPr>
            <w:tcW w:type="dxa" w:w="4200"/>
            <w:tcMar>
              <w:top w:type="dxa" w:w="80"/>
              <w:left w:type="dxa" w:w="100"/>
              <w:bottom w:type="dxa" w:w="80"/>
              <w:right w:type="dxa" w:w="100"/>
            </w:tcMar>
            <w:vAlign w:val="center"/>
          </w:tcPr>
          <w:p>
            <w:r>
              <w:rPr>
                <w:b w:val="false"/>
                <w:bCs w:val="false"/>
                <w:color w:val="000000"/>
                <w:sz w:val="19"/>
                <w:szCs w:val="19"/>
              </w:rPr>
              <w:t xml:space="preserve">Estimated current book value after depreciation.</w:t>
            </w:r>
          </w:p>
        </w:tc>
        <w:tc>
          <w:tcPr>
            <w:tcW w:type="dxa" w:w="1800"/>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tcMar>
              <w:top w:type="dxa" w:w="80"/>
              <w:left w:type="dxa" w:w="100"/>
              <w:bottom w:type="dxa" w:w="80"/>
              <w:right w:type="dxa" w:w="100"/>
            </w:tcMar>
            <w:vAlign w:val="center"/>
          </w:tcPr>
          <w:p>
            <w:r>
              <w:rPr>
                <w:b w:val="false"/>
                <w:bCs w:val="false"/>
                <w:color w:val="000000"/>
                <w:sz w:val="19"/>
                <w:szCs w:val="19"/>
              </w:rPr>
              <w:t xml:space="preserve">SUM; compare to PurchaseValue for a Depreciation % KPI.</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CustodianEmployeeID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EmployeeID responsible for the asset.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Employees.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4200"/>
            <w:tcMar>
              <w:top w:type="dxa" w:w="80"/>
              <w:left w:type="dxa" w:w="100"/>
              <w:bottom w:type="dxa" w:w="80"/>
              <w:right w:type="dxa" w:w="100"/>
            </w:tcMar>
            <w:vAlign w:val="center"/>
          </w:tcPr>
          <w:p>
            <w:r>
              <w:rPr>
                <w:b w:val="false"/>
                <w:bCs w:val="false"/>
                <w:color w:val="000000"/>
                <w:sz w:val="19"/>
                <w:szCs w:val="19"/>
              </w:rPr>
              <w:t xml:space="preserve">Owning department, always D04 Admin.</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Departments.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Status</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In Use, Under Maintenance or Disposed.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a filter and for a Maintenance Backlog KPI.</w:t>
            </w:r>
          </w:p>
        </w:tc>
      </w:tr>
    </w:tbl>
    <w:p>
      <w:pPr>
        <w:spacing w:before="160"/>
      </w:pPr>
    </w:p>
    <w:p>
      <w:pPr>
        <w:pStyle w:val="Heading2"/>
        <w:spacing w:after="140" w:before="280"/>
      </w:pPr>
      <w:r>
        <w:t xml:space="preserve">3.7 CustomerService</w:t>
      </w:r>
    </w:p>
    <w:p>
      <w:pPr>
        <w:spacing w:after="140"/>
      </w:pPr>
      <w:r>
        <w:rPr>
          <w:sz w:val="21"/>
          <w:szCs w:val="21"/>
        </w:rPr>
        <w:t xml:space="preserve">Community and customer service ticket log, covering grievances, enquiries and complaints.</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TicketID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ticket identifier, for example CS0001.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for this sheet.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CustomerName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Name of the community, individual or organisation raising the ticket.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in tooltip detail; avoid on axes due to cardinality.</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CustomerType</w:t>
            </w:r>
          </w:p>
        </w:tc>
        <w:tc>
          <w:tcPr>
            <w:tcW w:type="dxa" w:w="4200"/>
            <w:tcMar>
              <w:top w:type="dxa" w:w="80"/>
              <w:left w:type="dxa" w:w="100"/>
              <w:bottom w:type="dxa" w:w="80"/>
              <w:right w:type="dxa" w:w="100"/>
            </w:tcMar>
            <w:vAlign w:val="center"/>
          </w:tcPr>
          <w:p>
            <w:r>
              <w:rPr>
                <w:b w:val="false"/>
                <w:bCs w:val="false"/>
                <w:color w:val="000000"/>
                <w:sz w:val="19"/>
                <w:szCs w:val="19"/>
              </w:rPr>
              <w:t xml:space="preserve">Host Community, Retail/Business, Government or Individual.</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as a segment filter.</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Channel</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Phone, Email, Walk-in, Portal or Town Hall.</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breakdown for a Ticket Volume by Channel chart.</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IssueCategory</w:t>
            </w:r>
          </w:p>
        </w:tc>
        <w:tc>
          <w:tcPr>
            <w:tcW w:type="dxa" w:w="4200"/>
            <w:tcMar>
              <w:top w:type="dxa" w:w="80"/>
              <w:left w:type="dxa" w:w="100"/>
              <w:bottom w:type="dxa" w:w="80"/>
              <w:right w:type="dxa" w:w="100"/>
            </w:tcMar>
            <w:vAlign w:val="center"/>
          </w:tcPr>
          <w:p>
            <w:r>
              <w:rPr>
                <w:b w:val="false"/>
                <w:bCs w:val="false"/>
                <w:color w:val="000000"/>
                <w:sz w:val="19"/>
                <w:szCs w:val="19"/>
              </w:rPr>
              <w:t xml:space="preserve">Type of issue raised.</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as the primary breakdown of ticket types, ranked descending.</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DateOpened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Date the ticket was logged.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trend date for ticket volume over time.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DateClosed</w:t>
            </w:r>
          </w:p>
        </w:tc>
        <w:tc>
          <w:tcPr>
            <w:tcW w:type="dxa" w:w="4200"/>
            <w:tcMar>
              <w:top w:type="dxa" w:w="80"/>
              <w:left w:type="dxa" w:w="100"/>
              <w:bottom w:type="dxa" w:w="80"/>
              <w:right w:type="dxa" w:w="100"/>
            </w:tcMar>
            <w:vAlign w:val="center"/>
          </w:tcPr>
          <w:p>
            <w:r>
              <w:rPr>
                <w:b w:val="false"/>
                <w:bCs w:val="false"/>
                <w:color w:val="000000"/>
                <w:sz w:val="19"/>
                <w:szCs w:val="19"/>
              </w:rPr>
              <w:t xml:space="preserve">Date the ticket was resolved, blank if still open.</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tcMar>
              <w:top w:type="dxa" w:w="80"/>
              <w:left w:type="dxa" w:w="100"/>
              <w:bottom w:type="dxa" w:w="80"/>
              <w:right w:type="dxa" w:w="100"/>
            </w:tcMar>
            <w:vAlign w:val="center"/>
          </w:tcPr>
          <w:p>
            <w:r>
              <w:rPr>
                <w:b w:val="false"/>
                <w:bCs w:val="false"/>
                <w:color w:val="000000"/>
                <w:sz w:val="19"/>
                <w:szCs w:val="19"/>
              </w:rPr>
              <w:t xml:space="preserve">Use with DateOpened to compute resolution time.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ResolutionTimeDays</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Pre-calculated days between opening and closing.</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AVG as the Average Resolution Time KPI.</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SatisfactionScore_1to5</w:t>
            </w:r>
          </w:p>
        </w:tc>
        <w:tc>
          <w:tcPr>
            <w:tcW w:type="dxa" w:w="4200"/>
            <w:tcMar>
              <w:top w:type="dxa" w:w="80"/>
              <w:left w:type="dxa" w:w="100"/>
              <w:bottom w:type="dxa" w:w="80"/>
              <w:right w:type="dxa" w:w="100"/>
            </w:tcMar>
            <w:vAlign w:val="center"/>
          </w:tcPr>
          <w:p>
            <w:r>
              <w:rPr>
                <w:b w:val="false"/>
                <w:bCs w:val="false"/>
                <w:color w:val="000000"/>
                <w:sz w:val="19"/>
                <w:szCs w:val="19"/>
              </w:rPr>
              <w:t xml:space="preserve">Customer satisfaction rating, 1 (poor) to 5 (excellent), blank if unresolved.</w:t>
            </w:r>
          </w:p>
        </w:tc>
        <w:tc>
          <w:tcPr>
            <w:tcW w:type="dxa" w:w="1800"/>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tcMar>
              <w:top w:type="dxa" w:w="80"/>
              <w:left w:type="dxa" w:w="100"/>
              <w:bottom w:type="dxa" w:w="80"/>
              <w:right w:type="dxa" w:w="100"/>
            </w:tcMar>
            <w:vAlign w:val="center"/>
          </w:tcPr>
          <w:p>
            <w:r>
              <w:rPr>
                <w:b w:val="false"/>
                <w:bCs w:val="false"/>
                <w:color w:val="000000"/>
                <w:sz w:val="19"/>
                <w:szCs w:val="19"/>
              </w:rPr>
              <w:t xml:space="preserve">AVG as the CSAT KPI.</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AgentEmployeeID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EmployeeID of the agent who handled the ticket.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Employees.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Status</w:t>
            </w:r>
          </w:p>
        </w:tc>
        <w:tc>
          <w:tcPr>
            <w:tcW w:type="dxa" w:w="4200"/>
            <w:tcMar>
              <w:top w:type="dxa" w:w="80"/>
              <w:left w:type="dxa" w:w="100"/>
              <w:bottom w:type="dxa" w:w="80"/>
              <w:right w:type="dxa" w:w="100"/>
            </w:tcMar>
            <w:vAlign w:val="center"/>
          </w:tcPr>
          <w:p>
            <w:r>
              <w:rPr>
                <w:b w:val="false"/>
                <w:bCs w:val="false"/>
                <w:color w:val="000000"/>
                <w:sz w:val="19"/>
                <w:szCs w:val="19"/>
              </w:rPr>
              <w:t xml:space="preserve">Open or Closed.</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to compute the current open case backlog.</w:t>
            </w:r>
          </w:p>
        </w:tc>
      </w:tr>
    </w:tbl>
    <w:p>
      <w:pPr>
        <w:spacing w:before="160"/>
      </w:pPr>
    </w:p>
    <w:p>
      <w:pPr>
        <w:pStyle w:val="Heading2"/>
        <w:spacing w:after="140" w:before="280"/>
      </w:pPr>
      <w:r>
        <w:t xml:space="preserve">3.8 IT</w:t>
      </w:r>
    </w:p>
    <w:p>
      <w:pPr>
        <w:spacing w:after="140"/>
      </w:pPr>
      <w:r>
        <w:rPr>
          <w:sz w:val="21"/>
          <w:szCs w:val="21"/>
        </w:rPr>
        <w:t xml:space="preserve">IT service desk ticket log covering hardware, software, access and network issues.</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ITTicketID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IT ticket identifier, for example IT0001.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for this sheet.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RequesterEmployeeID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EmployeeID of the staff member who raised the ticket.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Employees to see requests by department.</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System</w:t>
            </w:r>
          </w:p>
        </w:tc>
        <w:tc>
          <w:tcPr>
            <w:tcW w:type="dxa" w:w="4200"/>
            <w:tcMar>
              <w:top w:type="dxa" w:w="80"/>
              <w:left w:type="dxa" w:w="100"/>
              <w:bottom w:type="dxa" w:w="80"/>
              <w:right w:type="dxa" w:w="100"/>
            </w:tcMar>
            <w:vAlign w:val="center"/>
          </w:tcPr>
          <w:p>
            <w:r>
              <w:rPr>
                <w:b w:val="false"/>
                <w:bCs w:val="false"/>
                <w:color w:val="000000"/>
                <w:sz w:val="19"/>
                <w:szCs w:val="19"/>
              </w:rPr>
              <w:t xml:space="preserve">Affected system, for example SAP ERP, Tableau Server, Corporate Network.</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as the breakdown for a Tickets by System chart.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IssueType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Hardware, Software, Access/Permissions, Network or Data/Reporting.</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a secondary breakdown alongside System.</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Priority</w:t>
            </w:r>
          </w:p>
        </w:tc>
        <w:tc>
          <w:tcPr>
            <w:tcW w:type="dxa" w:w="4200"/>
            <w:tcMar>
              <w:top w:type="dxa" w:w="80"/>
              <w:left w:type="dxa" w:w="100"/>
              <w:bottom w:type="dxa" w:w="80"/>
              <w:right w:type="dxa" w:w="100"/>
            </w:tcMar>
            <w:vAlign w:val="center"/>
          </w:tcPr>
          <w:p>
            <w:r>
              <w:rPr>
                <w:b w:val="false"/>
                <w:bCs w:val="false"/>
                <w:color w:val="000000"/>
                <w:sz w:val="19"/>
                <w:szCs w:val="19"/>
              </w:rPr>
              <w:t xml:space="preserve">Low, Medium, High or Critical.</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 Ordinal)</w:t>
            </w:r>
          </w:p>
        </w:tc>
        <w:tc>
          <w:tcPr>
            <w:tcW w:type="dxa" w:w="4800"/>
            <w:tcMar>
              <w:top w:type="dxa" w:w="80"/>
              <w:left w:type="dxa" w:w="100"/>
              <w:bottom w:type="dxa" w:w="80"/>
              <w:right w:type="dxa" w:w="100"/>
            </w:tcMar>
            <w:vAlign w:val="center"/>
          </w:tcPr>
          <w:p>
            <w:r>
              <w:rPr>
                <w:b w:val="false"/>
                <w:bCs w:val="false"/>
                <w:color w:val="000000"/>
                <w:sz w:val="19"/>
                <w:szCs w:val="19"/>
              </w:rPr>
              <w:t xml:space="preserve">Build a manual sort order; use as colour on the ticket backlog view.</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DateLogged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Date and time the ticket was raised.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(Date/DateTime)</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trend date for ticket inflow.</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DateResolved</w:t>
            </w:r>
          </w:p>
        </w:tc>
        <w:tc>
          <w:tcPr>
            <w:tcW w:type="dxa" w:w="4200"/>
            <w:tcMar>
              <w:top w:type="dxa" w:w="80"/>
              <w:left w:type="dxa" w:w="100"/>
              <w:bottom w:type="dxa" w:w="80"/>
              <w:right w:type="dxa" w:w="100"/>
            </w:tcMar>
            <w:vAlign w:val="center"/>
          </w:tcPr>
          <w:p>
            <w:r>
              <w:rPr>
                <w:b w:val="false"/>
                <w:bCs w:val="false"/>
                <w:color w:val="000000"/>
                <w:sz w:val="19"/>
                <w:szCs w:val="19"/>
              </w:rPr>
              <w:t xml:space="preserve">Date and time the ticket was closed, blank if still open.</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(Date/DateTime)</w:t>
            </w:r>
          </w:p>
        </w:tc>
        <w:tc>
          <w:tcPr>
            <w:tcW w:type="dxa" w:w="4800"/>
            <w:tcMar>
              <w:top w:type="dxa" w:w="80"/>
              <w:left w:type="dxa" w:w="100"/>
              <w:bottom w:type="dxa" w:w="80"/>
              <w:right w:type="dxa" w:w="100"/>
            </w:tcMar>
            <w:vAlign w:val="center"/>
          </w:tcPr>
          <w:p>
            <w:r>
              <w:rPr>
                <w:b w:val="false"/>
                <w:bCs w:val="false"/>
                <w:color w:val="000000"/>
                <w:sz w:val="19"/>
                <w:szCs w:val="19"/>
              </w:rPr>
              <w:t xml:space="preserve">Use with DateLogged to compute resolution time.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ResolutionTimeHours</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Pre-calculated hours between logging and resolution.</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AVG as the Average Resolution Time (hours) KPI; compare against an SLA target line.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SupportOfficerEmployeeID</w:t>
            </w:r>
          </w:p>
        </w:tc>
        <w:tc>
          <w:tcPr>
            <w:tcW w:type="dxa" w:w="4200"/>
            <w:tcMar>
              <w:top w:type="dxa" w:w="80"/>
              <w:left w:type="dxa" w:w="100"/>
              <w:bottom w:type="dxa" w:w="80"/>
              <w:right w:type="dxa" w:w="100"/>
            </w:tcMar>
            <w:vAlign w:val="center"/>
          </w:tcPr>
          <w:p>
            <w:r>
              <w:rPr>
                <w:b w:val="false"/>
                <w:bCs w:val="false"/>
                <w:color w:val="000000"/>
                <w:sz w:val="19"/>
                <w:szCs w:val="19"/>
              </w:rPr>
              <w:t xml:space="preserve">EmployeeID of the IT staff member who resolved the ticket.</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Employees for workload-by-officer views.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Status</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Resolved or Open.</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to compute open backlog and SLA compliance.</w:t>
            </w:r>
          </w:p>
        </w:tc>
      </w:tr>
    </w:tbl>
    <w:p>
      <w:pPr>
        <w:spacing w:before="160"/>
      </w:pPr>
    </w:p>
    <w:p>
      <w:pPr>
        <w:pStyle w:val="Heading2"/>
        <w:spacing w:after="140" w:before="280"/>
      </w:pPr>
      <w:r>
        <w:t xml:space="preserve">3.9 AccountsFinance</w:t>
      </w:r>
    </w:p>
    <w:p>
      <w:pPr>
        <w:spacing w:after="140"/>
      </w:pPr>
      <w:r>
        <w:rPr>
          <w:sz w:val="21"/>
          <w:szCs w:val="21"/>
        </w:rPr>
        <w:t xml:space="preserve">General ledger style transaction log covering revenue, expenditure, payroll and tax.</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TransactionID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transaction identifier, for example FN0001.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for this sheet.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TransactionDate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Date the transaction was recorded.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primary trend date for financial performance.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TransactionType</w:t>
            </w:r>
          </w:p>
        </w:tc>
        <w:tc>
          <w:tcPr>
            <w:tcW w:type="dxa" w:w="4200"/>
            <w:tcMar>
              <w:top w:type="dxa" w:w="80"/>
              <w:left w:type="dxa" w:w="100"/>
              <w:bottom w:type="dxa" w:w="80"/>
              <w:right w:type="dxa" w:w="100"/>
            </w:tcMar>
            <w:vAlign w:val="center"/>
          </w:tcPr>
          <w:p>
            <w:r>
              <w:rPr>
                <w:b w:val="false"/>
                <w:bCs w:val="false"/>
                <w:color w:val="000000"/>
                <w:sz w:val="19"/>
                <w:szCs w:val="19"/>
              </w:rPr>
              <w:t xml:space="preserve">Revenue, Operating Expense, Capital Expenditure, Payroll, Tax Remittance or Vendor Payment.</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as the main breakdown of a Revenue vs Expense view.</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RelatedPO_ID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PO_ID this transaction settles, blank if not tied to a purchase order.</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SupplyChain to trace spend to source.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RelatedContractID</w:t>
            </w:r>
          </w:p>
        </w:tc>
        <w:tc>
          <w:tcPr>
            <w:tcW w:type="dxa" w:w="4200"/>
            <w:tcMar>
              <w:top w:type="dxa" w:w="80"/>
              <w:left w:type="dxa" w:w="100"/>
              <w:bottom w:type="dxa" w:w="80"/>
              <w:right w:type="dxa" w:w="100"/>
            </w:tcMar>
            <w:vAlign w:val="center"/>
          </w:tcPr>
          <w:p>
            <w:r>
              <w:rPr>
                <w:b w:val="false"/>
                <w:bCs w:val="false"/>
                <w:color w:val="000000"/>
                <w:sz w:val="19"/>
                <w:szCs w:val="19"/>
              </w:rPr>
              <w:t xml:space="preserve">ContractID this transaction relates to, blank if none.</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Legal to trace revenue/payment to contract.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Department</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Department the transaction is charged to.</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Relate/validate against Departments.DepartmentName for Budget vs Actual.</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Amount_NGN</w:t>
            </w:r>
          </w:p>
        </w:tc>
        <w:tc>
          <w:tcPr>
            <w:tcW w:type="dxa" w:w="4200"/>
            <w:tcMar>
              <w:top w:type="dxa" w:w="80"/>
              <w:left w:type="dxa" w:w="100"/>
              <w:bottom w:type="dxa" w:w="80"/>
              <w:right w:type="dxa" w:w="100"/>
            </w:tcMar>
            <w:vAlign w:val="center"/>
          </w:tcPr>
          <w:p>
            <w:r>
              <w:rPr>
                <w:b w:val="false"/>
                <w:bCs w:val="false"/>
                <w:color w:val="000000"/>
                <w:sz w:val="19"/>
                <w:szCs w:val="19"/>
              </w:rPr>
              <w:t xml:space="preserve">Transaction amount in Naira.</w:t>
            </w:r>
          </w:p>
        </w:tc>
        <w:tc>
          <w:tcPr>
            <w:tcW w:type="dxa" w:w="1800"/>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tcMar>
              <w:top w:type="dxa" w:w="80"/>
              <w:left w:type="dxa" w:w="100"/>
              <w:bottom w:type="dxa" w:w="80"/>
              <w:right w:type="dxa" w:w="100"/>
            </w:tcMar>
            <w:vAlign w:val="center"/>
          </w:tcPr>
          <w:p>
            <w:r>
              <w:rPr>
                <w:b w:val="false"/>
                <w:bCs w:val="false"/>
                <w:color w:val="000000"/>
                <w:sz w:val="19"/>
                <w:szCs w:val="19"/>
              </w:rPr>
              <w:t xml:space="preserve">SUM as the core financial measure; sign convention: all figures positive, direction implied by TransactionType.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Currency</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Transaction currency, NGN throughout.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Retained for completeness.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ApprovedByEmployeeID</w:t>
            </w:r>
          </w:p>
        </w:tc>
        <w:tc>
          <w:tcPr>
            <w:tcW w:type="dxa" w:w="4200"/>
            <w:tcMar>
              <w:top w:type="dxa" w:w="80"/>
              <w:left w:type="dxa" w:w="100"/>
              <w:bottom w:type="dxa" w:w="80"/>
              <w:right w:type="dxa" w:w="100"/>
            </w:tcMar>
            <w:vAlign w:val="center"/>
          </w:tcPr>
          <w:p>
            <w:r>
              <w:rPr>
                <w:b w:val="false"/>
                <w:bCs w:val="false"/>
                <w:color w:val="000000"/>
                <w:sz w:val="19"/>
                <w:szCs w:val="19"/>
              </w:rPr>
              <w:t xml:space="preserve">EmployeeID of the approver.</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Employees.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Status</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Posted, Pending or Reversed.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Filter to Posted for official reporting; use Pending count as a KPI.</w:t>
            </w:r>
          </w:p>
        </w:tc>
      </w:tr>
    </w:tbl>
    <w:p>
      <w:pPr>
        <w:spacing w:before="160"/>
      </w:pPr>
    </w:p>
    <w:p>
      <w:pPr>
        <w:pStyle w:val="Heading2"/>
        <w:spacing w:after="140" w:before="280"/>
      </w:pPr>
      <w:r>
        <w:t xml:space="preserve">3.10 InternalControl</w:t>
      </w:r>
    </w:p>
    <w:p>
      <w:pPr>
        <w:spacing w:after="140"/>
      </w:pPr>
      <w:r>
        <w:rPr>
          <w:sz w:val="21"/>
          <w:szCs w:val="21"/>
        </w:rPr>
        <w:t xml:space="preserve">Internal audit findings log across financial, operational, compliance and IT audits.</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AuditID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audit finding identifier, for example AU0001.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Referenced by RiskComplianceRegister as RelatedAuditID.</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Department the finding relates to.</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Departments.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Department</w:t>
            </w:r>
          </w:p>
        </w:tc>
        <w:tc>
          <w:tcPr>
            <w:tcW w:type="dxa" w:w="4200"/>
            <w:tcMar>
              <w:top w:type="dxa" w:w="80"/>
              <w:left w:type="dxa" w:w="100"/>
              <w:bottom w:type="dxa" w:w="80"/>
              <w:right w:type="dxa" w:w="100"/>
            </w:tcMar>
            <w:vAlign w:val="center"/>
          </w:tcPr>
          <w:p>
            <w:r>
              <w:rPr>
                <w:b w:val="false"/>
                <w:bCs w:val="false"/>
                <w:color w:val="000000"/>
                <w:sz w:val="19"/>
                <w:szCs w:val="19"/>
              </w:rPr>
              <w:t xml:space="preserve">Department name, denormalised for convenience.</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directly on rows/columns without needing a join.</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AuditDate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Date the audit was performed.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trend date for audit activity.</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AuditType</w:t>
            </w:r>
          </w:p>
        </w:tc>
        <w:tc>
          <w:tcPr>
            <w:tcW w:type="dxa" w:w="4200"/>
            <w:tcMar>
              <w:top w:type="dxa" w:w="80"/>
              <w:left w:type="dxa" w:w="100"/>
              <w:bottom w:type="dxa" w:w="80"/>
              <w:right w:type="dxa" w:w="100"/>
            </w:tcMar>
            <w:vAlign w:val="center"/>
          </w:tcPr>
          <w:p>
            <w:r>
              <w:rPr>
                <w:b w:val="false"/>
                <w:bCs w:val="false"/>
                <w:color w:val="000000"/>
                <w:sz w:val="19"/>
                <w:szCs w:val="19"/>
              </w:rPr>
              <w:t xml:space="preserve">Financial, Operational, Compliance, IT or HSE Audit.</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as a breakdown of audit coverage.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FindingDescription</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Short description of the finding.</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in tooltip detail.</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Severity</w:t>
            </w:r>
          </w:p>
        </w:tc>
        <w:tc>
          <w:tcPr>
            <w:tcW w:type="dxa" w:w="4200"/>
            <w:tcMar>
              <w:top w:type="dxa" w:w="80"/>
              <w:left w:type="dxa" w:w="100"/>
              <w:bottom w:type="dxa" w:w="80"/>
              <w:right w:type="dxa" w:w="100"/>
            </w:tcMar>
            <w:vAlign w:val="center"/>
          </w:tcPr>
          <w:p>
            <w:r>
              <w:rPr>
                <w:b w:val="false"/>
                <w:bCs w:val="false"/>
                <w:color w:val="000000"/>
                <w:sz w:val="19"/>
                <w:szCs w:val="19"/>
              </w:rPr>
              <w:t xml:space="preserve">Low, Medium, High or Critical.</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 Ordinal)</w:t>
            </w:r>
          </w:p>
        </w:tc>
        <w:tc>
          <w:tcPr>
            <w:tcW w:type="dxa" w:w="4800"/>
            <w:tcMar>
              <w:top w:type="dxa" w:w="80"/>
              <w:left w:type="dxa" w:w="100"/>
              <w:bottom w:type="dxa" w:w="80"/>
              <w:right w:type="dxa" w:w="100"/>
            </w:tcMar>
            <w:vAlign w:val="center"/>
          </w:tcPr>
          <w:p>
            <w:r>
              <w:rPr>
                <w:b w:val="false"/>
                <w:bCs w:val="false"/>
                <w:color w:val="000000"/>
                <w:sz w:val="19"/>
                <w:szCs w:val="19"/>
              </w:rPr>
              <w:t xml:space="preserve">Colour code red-amber-green style on the audit dashboard.</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Status</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Open, In Progress or Closed.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to compute Finding Closure Rate %.</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ResponsibleEmployeeID</w:t>
            </w:r>
          </w:p>
        </w:tc>
        <w:tc>
          <w:tcPr>
            <w:tcW w:type="dxa" w:w="4200"/>
            <w:tcMar>
              <w:top w:type="dxa" w:w="80"/>
              <w:left w:type="dxa" w:w="100"/>
              <w:bottom w:type="dxa" w:w="80"/>
              <w:right w:type="dxa" w:w="100"/>
            </w:tcMar>
            <w:vAlign w:val="center"/>
          </w:tcPr>
          <w:p>
            <w:r>
              <w:rPr>
                <w:b w:val="false"/>
                <w:bCs w:val="false"/>
                <w:color w:val="000000"/>
                <w:sz w:val="19"/>
                <w:szCs w:val="19"/>
              </w:rPr>
              <w:t xml:space="preserve">EmployeeID accountable for remediation.</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Employees.</w:t>
            </w:r>
          </w:p>
        </w:tc>
      </w:tr>
    </w:tbl>
    <w:p>
      <w:pPr>
        <w:spacing w:before="160"/>
      </w:pPr>
    </w:p>
    <w:p>
      <w:pPr>
        <w:pStyle w:val="Heading2"/>
        <w:spacing w:after="140" w:before="280"/>
      </w:pPr>
      <w:r>
        <w:t xml:space="preserve">3.11 RiskComplianceRegister</w:t>
      </w:r>
    </w:p>
    <w:p>
      <w:pPr>
        <w:spacing w:after="140"/>
      </w:pPr>
      <w:r>
        <w:rPr>
          <w:sz w:val="21"/>
          <w:szCs w:val="21"/>
        </w:rPr>
        <w:t xml:space="preserve">Enterprise risk register with a computed risk score, spanning operational, financial, HSE, regulatory, reputational and cyber risk.</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RiskID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risk identifier, for example RK0001.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for this sheet.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Department that owns the risk.</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Departments.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Department</w:t>
            </w:r>
          </w:p>
        </w:tc>
        <w:tc>
          <w:tcPr>
            <w:tcW w:type="dxa" w:w="4200"/>
            <w:tcMar>
              <w:top w:type="dxa" w:w="80"/>
              <w:left w:type="dxa" w:w="100"/>
              <w:bottom w:type="dxa" w:w="80"/>
              <w:right w:type="dxa" w:w="100"/>
            </w:tcMar>
            <w:vAlign w:val="center"/>
          </w:tcPr>
          <w:p>
            <w:r>
              <w:rPr>
                <w:b w:val="false"/>
                <w:bCs w:val="false"/>
                <w:color w:val="000000"/>
                <w:sz w:val="19"/>
                <w:szCs w:val="19"/>
              </w:rPr>
              <w:t xml:space="preserve">Department name, denormalised for convenience.</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directly on rows/columns without needing a join.</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RiskCategory</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Operational, Financial, HSE, Regulatory, Reputational, Cyber Security or Community/Social.</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primary breakdown of the risk register.</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RiskDescription</w:t>
            </w:r>
          </w:p>
        </w:tc>
        <w:tc>
          <w:tcPr>
            <w:tcW w:type="dxa" w:w="4200"/>
            <w:tcMar>
              <w:top w:type="dxa" w:w="80"/>
              <w:left w:type="dxa" w:w="100"/>
              <w:bottom w:type="dxa" w:w="80"/>
              <w:right w:type="dxa" w:w="100"/>
            </w:tcMar>
            <w:vAlign w:val="center"/>
          </w:tcPr>
          <w:p>
            <w:r>
              <w:rPr>
                <w:b w:val="false"/>
                <w:bCs w:val="false"/>
                <w:color w:val="000000"/>
                <w:sz w:val="19"/>
                <w:szCs w:val="19"/>
              </w:rPr>
              <w:t xml:space="preserve">Short description of the risk.</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in tooltip detail.</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Likelihood_1to5</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Probability score, 1 (rare) to 5 (almost certain).</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Used as one axis of the risk heat map.</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Impact_1to5</w:t>
            </w:r>
          </w:p>
        </w:tc>
        <w:tc>
          <w:tcPr>
            <w:tcW w:type="dxa" w:w="4200"/>
            <w:tcMar>
              <w:top w:type="dxa" w:w="80"/>
              <w:left w:type="dxa" w:w="100"/>
              <w:bottom w:type="dxa" w:w="80"/>
              <w:right w:type="dxa" w:w="100"/>
            </w:tcMar>
            <w:vAlign w:val="center"/>
          </w:tcPr>
          <w:p>
            <w:r>
              <w:rPr>
                <w:b w:val="false"/>
                <w:bCs w:val="false"/>
                <w:color w:val="000000"/>
                <w:sz w:val="19"/>
                <w:szCs w:val="19"/>
              </w:rPr>
              <w:t xml:space="preserve">Severity score, 1 (minor) to 5 (severe).</w:t>
            </w:r>
          </w:p>
        </w:tc>
        <w:tc>
          <w:tcPr>
            <w:tcW w:type="dxa" w:w="1800"/>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tcMar>
              <w:top w:type="dxa" w:w="80"/>
              <w:left w:type="dxa" w:w="100"/>
              <w:bottom w:type="dxa" w:w="80"/>
              <w:right w:type="dxa" w:w="100"/>
            </w:tcMar>
            <w:vAlign w:val="center"/>
          </w:tcPr>
          <w:p>
            <w:r>
              <w:rPr>
                <w:b w:val="false"/>
                <w:bCs w:val="false"/>
                <w:color w:val="000000"/>
                <w:sz w:val="19"/>
                <w:szCs w:val="19"/>
              </w:rPr>
              <w:t xml:space="preserve">Used as the other axis of the risk heat map.</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RiskScore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Pre-calculated Likelihood times Impact, ranging 1 to 25.</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AVG or SUM to rank the highest priority risks; band into Low/Medium/High/Critical.</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MitigationStatus</w:t>
            </w:r>
          </w:p>
        </w:tc>
        <w:tc>
          <w:tcPr>
            <w:tcW w:type="dxa" w:w="4200"/>
            <w:tcMar>
              <w:top w:type="dxa" w:w="80"/>
              <w:left w:type="dxa" w:w="100"/>
              <w:bottom w:type="dxa" w:w="80"/>
              <w:right w:type="dxa" w:w="100"/>
            </w:tcMar>
            <w:vAlign w:val="center"/>
          </w:tcPr>
          <w:p>
            <w:r>
              <w:rPr>
                <w:b w:val="false"/>
                <w:bCs w:val="false"/>
                <w:color w:val="000000"/>
                <w:sz w:val="19"/>
                <w:szCs w:val="19"/>
              </w:rPr>
              <w:t xml:space="preserve">Open, Mitigated or Monitoring.</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as a KPI: % Mitigated.</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RelatedAuditID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AuditID this risk was identified from, blank if not audit sourced.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InternalControl.</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RelatedContractID</w:t>
            </w:r>
          </w:p>
        </w:tc>
        <w:tc>
          <w:tcPr>
            <w:tcW w:type="dxa" w:w="4200"/>
            <w:tcMar>
              <w:top w:type="dxa" w:w="80"/>
              <w:left w:type="dxa" w:w="100"/>
              <w:bottom w:type="dxa" w:w="80"/>
              <w:right w:type="dxa" w:w="100"/>
            </w:tcMar>
            <w:vAlign w:val="center"/>
          </w:tcPr>
          <w:p>
            <w:r>
              <w:rPr>
                <w:b w:val="false"/>
                <w:bCs w:val="false"/>
                <w:color w:val="000000"/>
                <w:sz w:val="19"/>
                <w:szCs w:val="19"/>
              </w:rPr>
              <w:t xml:space="preserve">ContractID this risk relates to, blank if not contract related.</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Legal.</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RiskOwnerEmployeeID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EmployeeID accountable for the risk.</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Employees.</w:t>
            </w:r>
          </w:p>
        </w:tc>
      </w:tr>
    </w:tbl>
    <w:p>
      <w:pPr>
        <w:spacing w:before="160"/>
      </w:pPr>
    </w:p>
    <w:p>
      <w:r>
        <w:br w:type="page"/>
      </w:r>
    </w:p>
    <w:p>
      <w:pPr>
        <w:pStyle w:val="Heading1"/>
        <w:spacing w:after="180" w:before="360"/>
      </w:pPr>
      <w:r>
        <w:t xml:space="preserve">4. The Dashboard Building Process: Data Connection to Interactivity</w:t>
      </w:r>
    </w:p>
    <w:p>
      <w:pPr>
        <w:spacing w:after="140"/>
      </w:pPr>
      <w:r>
        <w:rPr>
          <w:sz w:val="21"/>
          <w:szCs w:val="21"/>
        </w:rPr>
        <w:t xml:space="preserve">This training follows five sequential stages. Each stage below sets out real problems a trainee is likely to encounter, the task to complete, and a fully worked solution. The same structure, in more exhaustive form, is provided in the two companion HTML files (Tableau_Training_Tasks.html for the problems and tasks, and Tableau_Training_Solutions.html for the full solutions).</w:t>
      </w:r>
    </w:p>
    <w:p>
      <w:pPr>
        <w:pStyle w:val="Heading2"/>
        <w:spacing w:after="140" w:before="280"/>
      </w:pPr>
      <w:r>
        <w:t xml:space="preserve">1. Data Connection</w:t>
      </w:r>
    </w:p>
    <w:p>
      <w:pPr>
        <w:spacing w:after="140"/>
      </w:pPr>
      <w:r>
        <w:rPr>
          <w:sz w:val="21"/>
          <w:szCs w:val="21"/>
        </w:rPr>
        <w:t xml:space="preserve">Connect Tableau Desktop to the Seplat_Energy_Training_Dataset.xlsx workbook and build the relationship model that links all 11 sheets together through the Employees and Departments hub tables.</w:t>
      </w:r>
    </w:p>
    <w:p>
      <w:pPr>
        <w:spacing w:after="60" w:before="200"/>
      </w:pPr>
      <w:r>
        <w:rPr>
          <w:b/>
          <w:bCs/>
          <w:color w:val="B00000"/>
          <w:sz w:val="21"/>
          <w:szCs w:val="21"/>
        </w:rPr>
        <w:t xml:space="preserve">Problem 1: </w:t>
      </w:r>
      <w:r>
        <w:rPr>
          <w:sz w:val="21"/>
          <w:szCs w:val="21"/>
        </w:rPr>
        <w:t xml:space="preserve">The workbook has 11 separate sheets and no single flat table. A trainee who simply drags every sheet onto the canvas and joins them all on EmployeeID will get row multiplication (a fan-out/many-to-many blow up), because one employee appears in many Operations, Legal, SupplyChain, CustomerService and IT rows at the same time.</w:t>
      </w:r>
    </w:p>
    <w:p>
      <w:pPr>
        <w:spacing w:after="60"/>
      </w:pPr>
      <w:r>
        <w:rPr>
          <w:b/>
          <w:bCs/>
          <w:color w:val="1F4E78"/>
          <w:sz w:val="21"/>
          <w:szCs w:val="21"/>
        </w:rPr>
        <w:t xml:space="preserve">Task: </w:t>
      </w:r>
      <w:r>
        <w:rPr>
          <w:sz w:val="21"/>
          <w:szCs w:val="21"/>
        </w:rPr>
        <w:t xml:space="preserve">Connect to Seplat_Energy_Training_Dataset.xlsx. Bring in all 11 data sheets. Build a data model using Tableau's Relationships (not physical Joins) so that each department sheet relates to Employees and Departments without inflating row counts. Decide, for each relationship, which fields are the matching keys.</w:t>
      </w:r>
    </w:p>
    <w:p>
      <w:pPr>
        <w:spacing w:after="220"/>
      </w:pPr>
      <w:r>
        <w:rPr>
          <w:b/>
          <w:bCs/>
          <w:color w:val="1E7B34"/>
          <w:sz w:val="21"/>
          <w:szCs w:val="21"/>
        </w:rPr>
        <w:t xml:space="preserve">Solution: </w:t>
      </w:r>
      <w:r>
        <w:rPr>
          <w:sz w:val="21"/>
          <w:szCs w:val="21"/>
        </w:rPr>
        <w:t xml:space="preserve">On the Data Source page, add each table as its own logical table (do not use the canvas Join icon between fact tables). Drag Employees to the canvas first as the anchor. Then drag Operations, Legal, SupplyChain, Admin, CustomerService, IT, AccountsFinance, InternalControl and RiskComplianceRegister one at a time; when the relationship dialog appears, set the match to EmployeeID = SupervisorEmployeeID / LegalOfficerEmployeeID / ProcurementOfficerEmployeeID / CustodianEmployeeID / AgentEmployeeID / RequesterEmployeeID / ApprovedByEmployeeID / ResponsibleEmployeeID / RiskOwnerEmployeeID as appropriate for each sheet. Add Departments and relate it to Employees on Department = DepartmentName, and to InternalControl and RiskComplianceRegister on DepartmentID = DepartmentID. Because Relationships preserve each table's native grain and only combine rows at the level a worksheet actually needs, no fan-out occurs; SUM(ActualVolume) in Operations still returns the correct total even after Employees is related in.</w:t>
      </w:r>
    </w:p>
    <w:p>
      <w:pPr>
        <w:spacing w:after="60" w:before="200"/>
      </w:pPr>
      <w:r>
        <w:rPr>
          <w:b/>
          <w:bCs/>
          <w:color w:val="B00000"/>
          <w:sz w:val="21"/>
          <w:szCs w:val="21"/>
        </w:rPr>
        <w:t xml:space="preserve">Problem 2: </w:t>
      </w:r>
      <w:r>
        <w:rPr>
          <w:sz w:val="21"/>
          <w:szCs w:val="21"/>
        </w:rPr>
        <w:t xml:space="preserve">Trainees need to prove the model is correct before building any charts, but there is no obvious way to check for row duplication.</w:t>
      </w:r>
    </w:p>
    <w:p>
      <w:pPr>
        <w:spacing w:after="60"/>
      </w:pPr>
      <w:r>
        <w:rPr>
          <w:b/>
          <w:bCs/>
          <w:color w:val="1F4E78"/>
          <w:sz w:val="21"/>
          <w:szCs w:val="21"/>
        </w:rPr>
        <w:t xml:space="preserve">Task: </w:t>
      </w:r>
      <w:r>
        <w:rPr>
          <w:sz w:val="21"/>
          <w:szCs w:val="21"/>
        </w:rPr>
        <w:t xml:space="preserve">Validate the data model. Build a quick test worksheet that proves SUM(TotalCost_NGN) from SupplyChain does not change whether or not Employees is in the model.</w:t>
      </w:r>
    </w:p>
    <w:p>
      <w:pPr>
        <w:spacing w:after="220"/>
      </w:pPr>
      <w:r>
        <w:rPr>
          <w:b/>
          <w:bCs/>
          <w:color w:val="1E7B34"/>
          <w:sz w:val="21"/>
          <w:szCs w:val="21"/>
        </w:rPr>
        <w:t xml:space="preserve">Solution: </w:t>
      </w:r>
      <w:r>
        <w:rPr>
          <w:sz w:val="21"/>
          <w:szCs w:val="21"/>
        </w:rPr>
        <w:t xml:space="preserve">Create a worksheet with SUM(TotalCost_NGN) on Text, no other fields. Note the value. Then drag Employees.FullName onto the view alongside it. If Relationships are configured correctly, SUM(TotalCost_NGN) stays identical, only now split across employees; if it changed, the offending relationship is a Join rather than a Relationship, and should be rebuilt using the Data Source page's relationship canvas.</w:t>
      </w:r>
    </w:p>
    <w:p>
      <w:pPr>
        <w:spacing w:after="60" w:before="200"/>
      </w:pPr>
      <w:r>
        <w:rPr>
          <w:b/>
          <w:bCs/>
          <w:color w:val="B00000"/>
          <w:sz w:val="21"/>
          <w:szCs w:val="21"/>
        </w:rPr>
        <w:t xml:space="preserve">Problem 3: </w:t>
      </w:r>
      <w:r>
        <w:rPr>
          <w:sz w:val="21"/>
          <w:szCs w:val="21"/>
        </w:rPr>
        <w:t xml:space="preserve">Secondary cross links exist between fact tables themselves (SupplyChain to AccountsFinance via PO_ID, Legal to AccountsFinance via ContractID, InternalControl to RiskComplianceRegister via AuditID), and trainees are unsure whether these need relationships too.</w:t>
      </w:r>
    </w:p>
    <w:p>
      <w:pPr>
        <w:spacing w:after="60"/>
      </w:pPr>
      <w:r>
        <w:rPr>
          <w:b/>
          <w:bCs/>
          <w:color w:val="1F4E78"/>
          <w:sz w:val="21"/>
          <w:szCs w:val="21"/>
        </w:rPr>
        <w:t xml:space="preserve">Task: </w:t>
      </w:r>
      <w:r>
        <w:rPr>
          <w:sz w:val="21"/>
          <w:szCs w:val="21"/>
        </w:rPr>
        <w:t xml:space="preserve">Decide which of the secondary links (PO_ID, ContractID, AuditID) should be modelled as Tableau relationships and which are better handled as a blend or a LOD calculation instead.</w:t>
      </w:r>
    </w:p>
    <w:p>
      <w:pPr>
        <w:spacing w:after="220"/>
      </w:pPr>
      <w:r>
        <w:rPr>
          <w:b/>
          <w:bCs/>
          <w:color w:val="1E7B34"/>
          <w:sz w:val="21"/>
          <w:szCs w:val="21"/>
        </w:rPr>
        <w:t xml:space="preserve">Solution: </w:t>
      </w:r>
      <w:r>
        <w:rPr>
          <w:sz w:val="21"/>
          <w:szCs w:val="21"/>
        </w:rPr>
        <w:t xml:space="preserve">Because AccountsFinance.RelatedPO_ID and AccountsFinance.RelatedContractID are frequently blank (not every transaction is tied to a PO or contract), a Relationship using these as the sole match would silently drop unmatched rows in some views. Model AccountsFinance &lt;-&gt; SupplyChain and AccountsFinance &lt;-&gt; Legal as Relationships anyway (Tableau relationships behave like a left join at the grain requested, so unmatched Finance rows are preserved), but add a comment field explaining that PO/Contract level questions ('spend confirmed by PO') should always start the analysis from AccountsFinance and pull SupplyChain/Legal fields in, not the reverse, to avoid confusion about which side is authoritative.</w:t>
      </w:r>
    </w:p>
    <w:p>
      <w:pPr>
        <w:pStyle w:val="Heading2"/>
        <w:spacing w:after="140" w:before="280"/>
      </w:pPr>
      <w:r>
        <w:t xml:space="preserve">2. Data Preparation</w:t>
      </w:r>
    </w:p>
    <w:p>
      <w:pPr>
        <w:spacing w:after="140"/>
      </w:pPr>
      <w:r>
        <w:rPr>
          <w:sz w:val="21"/>
          <w:szCs w:val="21"/>
        </w:rPr>
        <w:t xml:space="preserve">Clean, type, and enrich the fields so that every worksheet built later is fast, accurate and easy to maintain.</w:t>
      </w:r>
    </w:p>
    <w:p>
      <w:pPr>
        <w:spacing w:after="60" w:before="200"/>
      </w:pPr>
      <w:r>
        <w:rPr>
          <w:b/>
          <w:bCs/>
          <w:color w:val="B00000"/>
          <w:sz w:val="21"/>
          <w:szCs w:val="21"/>
        </w:rPr>
        <w:t xml:space="preserve">Problem 1: </w:t>
      </w:r>
      <w:r>
        <w:rPr>
          <w:sz w:val="21"/>
          <w:szCs w:val="21"/>
        </w:rPr>
        <w:t xml:space="preserve">Dates arrive as plain Date fields; trainees need Month, Quarter and Year granularity on several dashboards without cluttering the data pane with duplicate date fields.</w:t>
      </w:r>
    </w:p>
    <w:p>
      <w:pPr>
        <w:spacing w:after="60"/>
      </w:pPr>
      <w:r>
        <w:rPr>
          <w:b/>
          <w:bCs/>
          <w:color w:val="1F4E78"/>
          <w:sz w:val="21"/>
          <w:szCs w:val="21"/>
        </w:rPr>
        <w:t xml:space="preserve">Task: </w:t>
      </w:r>
      <w:r>
        <w:rPr>
          <w:sz w:val="21"/>
          <w:szCs w:val="21"/>
        </w:rPr>
        <w:t xml:space="preserve">Set the correct default date level on ProductionDate, OrderDate, DateOpened, DateLogged, TransactionDate and AuditDate, and create a reusable Fiscal Month/Year hierarchy where needed.</w:t>
      </w:r>
    </w:p>
    <w:p>
      <w:pPr>
        <w:spacing w:after="220"/>
      </w:pPr>
      <w:r>
        <w:rPr>
          <w:b/>
          <w:bCs/>
          <w:color w:val="1E7B34"/>
          <w:sz w:val="21"/>
          <w:szCs w:val="21"/>
        </w:rPr>
        <w:t xml:space="preserve">Solution: </w:t>
      </w:r>
      <w:r>
        <w:rPr>
          <w:sz w:val="21"/>
          <w:szCs w:val="21"/>
        </w:rPr>
        <w:t xml:space="preserve">Right click each date field and set Default Properties &gt; Date Format to a consistent 'Mon YYYY' style, and set Default Properties &gt; Aggregation implicit level to Month for trend charts. Build a single Date hierarchy per sheet (Year &gt; Quarter &gt; Month &gt; Day) by dragging Year onto Quarter onto Month in the Data pane; this lets a viewer drill from year down to day on any trend chart without adding new fields.</w:t>
      </w:r>
    </w:p>
    <w:p>
      <w:pPr>
        <w:spacing w:after="60" w:before="200"/>
      </w:pPr>
      <w:r>
        <w:rPr>
          <w:b/>
          <w:bCs/>
          <w:color w:val="B00000"/>
          <w:sz w:val="21"/>
          <w:szCs w:val="21"/>
        </w:rPr>
        <w:t xml:space="preserve">Problem 2: </w:t>
      </w:r>
      <w:r>
        <w:rPr>
          <w:sz w:val="21"/>
          <w:szCs w:val="21"/>
        </w:rPr>
        <w:t xml:space="preserve">AssetField in Operations mixes the licence code and the field name in one string (for example 'OML 40 - Sapele'), making it impossible to group all production by licence alone.</w:t>
      </w:r>
    </w:p>
    <w:p>
      <w:pPr>
        <w:spacing w:after="60"/>
      </w:pPr>
      <w:r>
        <w:rPr>
          <w:b/>
          <w:bCs/>
          <w:color w:val="1F4E78"/>
          <w:sz w:val="21"/>
          <w:szCs w:val="21"/>
        </w:rPr>
        <w:t xml:space="preserve">Task: </w:t>
      </w:r>
      <w:r>
        <w:rPr>
          <w:sz w:val="21"/>
          <w:szCs w:val="21"/>
        </w:rPr>
        <w:t xml:space="preserve">Split AssetField into two separate dimensions, Licence and FieldName, without altering the source Excel file.</w:t>
      </w:r>
    </w:p>
    <w:p>
      <w:pPr>
        <w:spacing w:after="220"/>
      </w:pPr>
      <w:r>
        <w:rPr>
          <w:b/>
          <w:bCs/>
          <w:color w:val="1E7B34"/>
          <w:sz w:val="21"/>
          <w:szCs w:val="21"/>
        </w:rPr>
        <w:t xml:space="preserve">Solution: </w:t>
      </w:r>
      <w:r>
        <w:rPr>
          <w:sz w:val="21"/>
          <w:szCs w:val="21"/>
        </w:rPr>
        <w:t xml:space="preserve">Right click AssetField &gt; Split (Tableau auto-detects the ' - ' delimiter) to create AssetField - Split 1 and AssetField - Split 2. Rename these to Licence and FieldName. Alternatively use a calculated field: Licence = TRIM(SPLIT([AssetField], ' - ', 1)) and FieldName = TRIM(SPLIT([AssetField], ' - ', 2)) if the split needs to survive a refresh where delimiter position could vary.</w:t>
      </w:r>
    </w:p>
    <w:p>
      <w:pPr>
        <w:spacing w:after="60" w:before="200"/>
      </w:pPr>
      <w:r>
        <w:rPr>
          <w:b/>
          <w:bCs/>
          <w:color w:val="B00000"/>
          <w:sz w:val="21"/>
          <w:szCs w:val="21"/>
        </w:rPr>
        <w:t xml:space="preserve">Problem 3: </w:t>
      </w:r>
      <w:r>
        <w:rPr>
          <w:sz w:val="21"/>
          <w:szCs w:val="21"/>
        </w:rPr>
        <w:t xml:space="preserve">JobGrade, Priority and Severity are ordinal text values (for example 'Low, Medium, High, Critical') but Tableau sorts them alphabetically by default, putting 'Critical' before 'Low'.</w:t>
      </w:r>
    </w:p>
    <w:p>
      <w:pPr>
        <w:spacing w:after="60"/>
      </w:pPr>
      <w:r>
        <w:rPr>
          <w:b/>
          <w:bCs/>
          <w:color w:val="1F4E78"/>
          <w:sz w:val="21"/>
          <w:szCs w:val="21"/>
        </w:rPr>
        <w:t xml:space="preserve">Task: </w:t>
      </w:r>
      <w:r>
        <w:rPr>
          <w:sz w:val="21"/>
          <w:szCs w:val="21"/>
        </w:rPr>
        <w:t xml:space="preserve">Force the correct business order onto JobGrade (Employees), Priority (IT) and Severity (InternalControl and RiskComplianceRegister).</w:t>
      </w:r>
    </w:p>
    <w:p>
      <w:pPr>
        <w:spacing w:after="220"/>
      </w:pPr>
      <w:r>
        <w:rPr>
          <w:b/>
          <w:bCs/>
          <w:color w:val="1E7B34"/>
          <w:sz w:val="21"/>
          <w:szCs w:val="21"/>
        </w:rPr>
        <w:t xml:space="preserve">Solution: </w:t>
      </w:r>
      <w:r>
        <w:rPr>
          <w:sz w:val="21"/>
          <w:szCs w:val="21"/>
        </w:rPr>
        <w:t xml:space="preserve">Right click the field in the Data pane &gt; Default Properties &gt; Sort &gt; Manual, and drag the values into the correct order (Low, Medium, High, Critical). This sort order is then remembered on every worksheet that uses the field, so bar charts and colour legends always read in the correct business sequence.</w:t>
      </w:r>
    </w:p>
    <w:p>
      <w:pPr>
        <w:spacing w:after="60" w:before="200"/>
      </w:pPr>
      <w:r>
        <w:rPr>
          <w:b/>
          <w:bCs/>
          <w:color w:val="B00000"/>
          <w:sz w:val="21"/>
          <w:szCs w:val="21"/>
        </w:rPr>
        <w:t xml:space="preserve">Problem 4: </w:t>
      </w:r>
      <w:r>
        <w:rPr>
          <w:sz w:val="21"/>
          <w:szCs w:val="21"/>
        </w:rPr>
        <w:t xml:space="preserve">Several KPIs require calculations that do not exist as raw columns: Production Efficiency %, Attrition Rate %, On Time Delivery Rate %, Risk Score bands, and Contract expiry flags.</w:t>
      </w:r>
    </w:p>
    <w:p>
      <w:pPr>
        <w:spacing w:after="60"/>
      </w:pPr>
      <w:r>
        <w:rPr>
          <w:b/>
          <w:bCs/>
          <w:color w:val="1F4E78"/>
          <w:sz w:val="21"/>
          <w:szCs w:val="21"/>
        </w:rPr>
        <w:t xml:space="preserve">Task: </w:t>
      </w:r>
      <w:r>
        <w:rPr>
          <w:sz w:val="21"/>
          <w:szCs w:val="21"/>
        </w:rPr>
        <w:t xml:space="preserve">Build the calculated fields needed to power every KPI listed in the measures and KPIs section, using correct LOD or table calculation syntax where a simple aggregation is not enough.</w:t>
      </w:r>
    </w:p>
    <w:p>
      <w:pPr>
        <w:spacing w:after="220"/>
      </w:pPr>
      <w:r>
        <w:rPr>
          <w:b/>
          <w:bCs/>
          <w:color w:val="1E7B34"/>
          <w:sz w:val="21"/>
          <w:szCs w:val="21"/>
        </w:rPr>
        <w:t xml:space="preserve">Solution: </w:t>
      </w:r>
      <w:r>
        <w:rPr>
          <w:sz w:val="21"/>
          <w:szCs w:val="21"/>
        </w:rPr>
        <w:t xml:space="preserve">Create: [Production Efficiency %] = SUM([ActualVolume])/SUM([PlannedVolume]). [Attrition Rate %] = COUNTD(IF [Status]='Exited' THEN [EmployeeID] END) / COUNTD([EmployeeID]). [On Time Delivery Rate %] = COUNTD(IF [ActualDeliveryDate] &lt;= [ExpectedDeliveryDate] THEN [PO_ID] END) / COUNTD([PO_ID]). [Risk Band] = IF [RiskScore] &gt;= 15 THEN 'Critical' ELSEIF [RiskScore] &gt;= 9 THEN 'High' ELSEIF [RiskScore] &gt;= 4 THEN 'Medium' ELSE 'Low' END. [Contract Expiring Soon] = DATEDIFF('day', TODAY(), [EndDate]) &lt;= 90 AND [Status]='Active'. Each of these is placed on the correct shelf (Measures for numeric results, Dimensions for the banded/boolean flags) once created, by dragging it from Measures to Dimensions in the Data pane if Tableau mis-classifies it.</w:t>
      </w:r>
    </w:p>
    <w:p>
      <w:pPr>
        <w:spacing w:after="60" w:before="200"/>
      </w:pPr>
      <w:r>
        <w:rPr>
          <w:b/>
          <w:bCs/>
          <w:color w:val="B00000"/>
          <w:sz w:val="21"/>
          <w:szCs w:val="21"/>
        </w:rPr>
        <w:t xml:space="preserve">Problem 5: </w:t>
      </w:r>
      <w:r>
        <w:rPr>
          <w:sz w:val="21"/>
          <w:szCs w:val="21"/>
        </w:rPr>
        <w:t xml:space="preserve">Blank values in RelatedOperationID, RelatedPO_ID, RelatedContractID, DateClosed and DateResolved show up as literal 'Null' marks on charts and break AVG calculations for resolution time.</w:t>
      </w:r>
    </w:p>
    <w:p>
      <w:pPr>
        <w:spacing w:after="60"/>
      </w:pPr>
      <w:r>
        <w:rPr>
          <w:b/>
          <w:bCs/>
          <w:color w:val="1F4E78"/>
          <w:sz w:val="21"/>
          <w:szCs w:val="21"/>
        </w:rPr>
        <w:t xml:space="preserve">Task: </w:t>
      </w:r>
      <w:r>
        <w:rPr>
          <w:sz w:val="21"/>
          <w:szCs w:val="21"/>
        </w:rPr>
        <w:t xml:space="preserve">Handle nulls correctly so that open tickets do not corrupt the Average Resolution Time KPI and blank relationship keys do not appear as a spurious category.</w:t>
      </w:r>
    </w:p>
    <w:p>
      <w:pPr>
        <w:spacing w:after="220"/>
      </w:pPr>
      <w:r>
        <w:rPr>
          <w:b/>
          <w:bCs/>
          <w:color w:val="1E7B34"/>
          <w:sz w:val="21"/>
          <w:szCs w:val="21"/>
        </w:rPr>
        <w:t xml:space="preserve">Solution: </w:t>
      </w:r>
      <w:r>
        <w:rPr>
          <w:sz w:val="21"/>
          <w:szCs w:val="21"/>
        </w:rPr>
        <w:t xml:space="preserve">For ResolutionTimeDays/ResolutionTimeHours, the underlying formula already guards with IF DateClosed/DateResolved is blank THEN blank END, so AVG naturally excludes open tickets; do not overwrite this with ZN(). For the relationship keys, set Format &gt; Pane &gt; Special Values &gt; 'Hide' for any view that should only show linked records, or add a calculated filter [Has Related Operation] = NOT ISNULL([RelatedOperationID]) and drop it on the Filters shelf.</w:t>
      </w:r>
    </w:p>
    <w:p>
      <w:pPr>
        <w:pStyle w:val="Heading2"/>
        <w:spacing w:after="140" w:before="280"/>
      </w:pPr>
      <w:r>
        <w:t xml:space="preserve">3. Worksheet Development</w:t>
      </w:r>
    </w:p>
    <w:p>
      <w:pPr>
        <w:spacing w:after="140"/>
      </w:pPr>
      <w:r>
        <w:rPr>
          <w:sz w:val="21"/>
          <w:szCs w:val="21"/>
        </w:rPr>
        <w:t xml:space="preserve">Build the individual charts and KPI worksheets that will later be assembled into each department dashboard.</w:t>
      </w:r>
    </w:p>
    <w:p>
      <w:pPr>
        <w:spacing w:after="60" w:before="200"/>
      </w:pPr>
      <w:r>
        <w:rPr>
          <w:b/>
          <w:bCs/>
          <w:color w:val="B00000"/>
          <w:sz w:val="21"/>
          <w:szCs w:val="21"/>
        </w:rPr>
        <w:t xml:space="preserve">Problem 1: </w:t>
      </w:r>
      <w:r>
        <w:rPr>
          <w:sz w:val="21"/>
          <w:szCs w:val="21"/>
        </w:rPr>
        <w:t xml:space="preserve">Trainees do not know which chart type fits which question, and often default to a table for everything, which is not comprehensive enough for a KPI focused review.</w:t>
      </w:r>
    </w:p>
    <w:p>
      <w:pPr>
        <w:spacing w:after="60"/>
      </w:pPr>
      <w:r>
        <w:rPr>
          <w:b/>
          <w:bCs/>
          <w:color w:val="1F4E78"/>
          <w:sz w:val="21"/>
          <w:szCs w:val="21"/>
        </w:rPr>
        <w:t xml:space="preserve">Task: </w:t>
      </w:r>
      <w:r>
        <w:rPr>
          <w:sz w:val="21"/>
          <w:szCs w:val="21"/>
        </w:rPr>
        <w:t xml:space="preserve">For each department, build the specific worksheets listed under 'Charts to build' in the Dashboards and KPIs section (see the full list per department), choosing the chart type that best answers the underlying business question.</w:t>
      </w:r>
    </w:p>
    <w:p>
      <w:pPr>
        <w:spacing w:after="220"/>
      </w:pPr>
      <w:r>
        <w:rPr>
          <w:b/>
          <w:bCs/>
          <w:color w:val="1E7B34"/>
          <w:sz w:val="21"/>
          <w:szCs w:val="21"/>
        </w:rPr>
        <w:t xml:space="preserve">Solution: </w:t>
      </w:r>
      <w:r>
        <w:rPr>
          <w:sz w:val="21"/>
          <w:szCs w:val="21"/>
        </w:rPr>
        <w:t xml:space="preserve">Follow the chart list department by department (Operations bar and Pareto charts, Legal bar and donut charts, Supply Chain bar and bullet charts, Admin treemap, Customer Service line and bullet, IT stacked bar, Finance line, HR bar and donut, Internal Control stacked bar, Risk heat map). Build one worksheet per chart, name it exactly after its purpose (for example 'Downtime Pareto', 'Spend by Category') so it is easy to find again when assembling dashboards.</w:t>
      </w:r>
    </w:p>
    <w:p>
      <w:pPr>
        <w:spacing w:after="60" w:before="200"/>
      </w:pPr>
      <w:r>
        <w:rPr>
          <w:b/>
          <w:bCs/>
          <w:color w:val="B00000"/>
          <w:sz w:val="21"/>
          <w:szCs w:val="21"/>
        </w:rPr>
        <w:t xml:space="preserve">Problem 2: </w:t>
      </w:r>
      <w:r>
        <w:rPr>
          <w:sz w:val="21"/>
          <w:szCs w:val="21"/>
        </w:rPr>
        <w:t xml:space="preserve">KPI number cards (BANs) need to look clean and be instantly readable, but a raw SUM() dropped on a worksheet just shows a plain number with no context.</w:t>
      </w:r>
    </w:p>
    <w:p>
      <w:pPr>
        <w:spacing w:after="60"/>
      </w:pPr>
      <w:r>
        <w:rPr>
          <w:b/>
          <w:bCs/>
          <w:color w:val="1F4E78"/>
          <w:sz w:val="21"/>
          <w:szCs w:val="21"/>
        </w:rPr>
        <w:t xml:space="preserve">Task: </w:t>
      </w:r>
      <w:r>
        <w:rPr>
          <w:sz w:val="21"/>
          <w:szCs w:val="21"/>
        </w:rPr>
        <w:t xml:space="preserve">Build a proper KPI card worksheet for each headline metric (Total Actual Volume, Total Spend, Headcount, Open Critical Risks, Average CSAT and so on) that shows the number, a short label and, where relevant, a comparison to target or prior period.</w:t>
      </w:r>
    </w:p>
    <w:p>
      <w:pPr>
        <w:spacing w:after="220"/>
      </w:pPr>
      <w:r>
        <w:rPr>
          <w:b/>
          <w:bCs/>
          <w:color w:val="1E7B34"/>
          <w:sz w:val="21"/>
          <w:szCs w:val="21"/>
        </w:rPr>
        <w:t xml:space="preserve">Solution: </w:t>
      </w:r>
      <w:r>
        <w:rPr>
          <w:sz w:val="21"/>
          <w:szCs w:val="21"/>
        </w:rPr>
        <w:t xml:space="preserve">Create a new worksheet, place the measure on Text, remove all other shelves, then format the mark label with a large font size for the number and a smaller caption line for the label (use a calculated field that concatenates the label and value with a line break, or two stacked text objects when assembled on the dashboard). Add a reference line or a second small calculated field for 'vs Target' or 'vs Prior Month' using a table calculation such as [This Period] - LOOKUP([This Period], -1).</w:t>
      </w:r>
    </w:p>
    <w:p>
      <w:pPr>
        <w:spacing w:after="60" w:before="200"/>
      </w:pPr>
      <w:r>
        <w:rPr>
          <w:b/>
          <w:bCs/>
          <w:color w:val="B00000"/>
          <w:sz w:val="21"/>
          <w:szCs w:val="21"/>
        </w:rPr>
        <w:t xml:space="preserve">Problem 3: </w:t>
      </w:r>
      <w:r>
        <w:rPr>
          <w:sz w:val="21"/>
          <w:szCs w:val="21"/>
        </w:rPr>
        <w:t xml:space="preserve">The Downtime Pareto chart for Operations needs both bars and a cumulative percentage line together, which trainees find is not a single default chart type in Tableau.</w:t>
      </w:r>
    </w:p>
    <w:p>
      <w:pPr>
        <w:spacing w:after="60"/>
      </w:pPr>
      <w:r>
        <w:rPr>
          <w:b/>
          <w:bCs/>
          <w:color w:val="1F4E78"/>
          <w:sz w:val="21"/>
          <w:szCs w:val="21"/>
        </w:rPr>
        <w:t xml:space="preserve">Task: </w:t>
      </w:r>
      <w:r>
        <w:rPr>
          <w:sz w:val="21"/>
          <w:szCs w:val="21"/>
        </w:rPr>
        <w:t xml:space="preserve">Build the Downtime Hours Pareto chart combining a descending bar chart of DowntimeHours by DowntimeReason with a cumulative percentage line on a dual axis.</w:t>
      </w:r>
    </w:p>
    <w:p>
      <w:pPr>
        <w:spacing w:after="220"/>
      </w:pPr>
      <w:r>
        <w:rPr>
          <w:b/>
          <w:bCs/>
          <w:color w:val="1E7B34"/>
          <w:sz w:val="21"/>
          <w:szCs w:val="21"/>
        </w:rPr>
        <w:t xml:space="preserve">Solution: </w:t>
      </w:r>
      <w:r>
        <w:rPr>
          <w:sz w:val="21"/>
          <w:szCs w:val="21"/>
        </w:rPr>
        <w:t xml:space="preserve">Put DowntimeReason on Columns sorted descending by SUM(DowntimeHours), and SUM(DowntimeHours) on Rows as bars. Add a second copy of DowntimeHours on Rows, change its mark type to Line, and set its table calculation to Running Total, then to Percent of Total on the same axis, computed using DowntimeReason. Right click the second axis &gt; Dual Axis, then Synchronise Axis so the line reads from 0 to 100 percent while the bars read in hours.</w:t>
      </w:r>
    </w:p>
    <w:p>
      <w:pPr>
        <w:spacing w:after="60" w:before="200"/>
      </w:pPr>
      <w:r>
        <w:rPr>
          <w:b/>
          <w:bCs/>
          <w:color w:val="B00000"/>
          <w:sz w:val="21"/>
          <w:szCs w:val="21"/>
        </w:rPr>
        <w:t xml:space="preserve">Problem 4: </w:t>
      </w:r>
      <w:r>
        <w:rPr>
          <w:sz w:val="21"/>
          <w:szCs w:val="21"/>
        </w:rPr>
        <w:t xml:space="preserve">The Risk heat map needs to show both how many risks fall in each Likelihood/Impact cell and how severe they are, which is more than a single measure can convey on a plain grid.</w:t>
      </w:r>
    </w:p>
    <w:p>
      <w:pPr>
        <w:spacing w:after="60"/>
      </w:pPr>
      <w:r>
        <w:rPr>
          <w:b/>
          <w:bCs/>
          <w:color w:val="1F4E78"/>
          <w:sz w:val="21"/>
          <w:szCs w:val="21"/>
        </w:rPr>
        <w:t xml:space="preserve">Task: </w:t>
      </w:r>
      <w:r>
        <w:rPr>
          <w:sz w:val="21"/>
          <w:szCs w:val="21"/>
        </w:rPr>
        <w:t xml:space="preserve">Build the Risk Likelihood x Impact heat map worksheet with both count and severity visible at a glance.</w:t>
      </w:r>
    </w:p>
    <w:p>
      <w:pPr>
        <w:spacing w:after="220"/>
      </w:pPr>
      <w:r>
        <w:rPr>
          <w:b/>
          <w:bCs/>
          <w:color w:val="1E7B34"/>
          <w:sz w:val="21"/>
          <w:szCs w:val="21"/>
        </w:rPr>
        <w:t xml:space="preserve">Solution: </w:t>
      </w:r>
      <w:r>
        <w:rPr>
          <w:sz w:val="21"/>
          <w:szCs w:val="21"/>
        </w:rPr>
        <w:t xml:space="preserve">Place Likelihood_1to5 on Columns and Impact_1to5 on Rows (both treated as discrete dimensions), set the mark type to Square, put COUNTD(RiskID) on Size and AVG(RiskScore) or the Risk Band calculated field on Colour with a red amber green diverging palette. Add COUNTD(RiskID) to Label so each square shows its risk count directly.</w:t>
      </w:r>
    </w:p>
    <w:p>
      <w:pPr>
        <w:pStyle w:val="Heading2"/>
        <w:spacing w:after="140" w:before="280"/>
      </w:pPr>
      <w:r>
        <w:t xml:space="preserve">4. Dashboard Design</w:t>
      </w:r>
    </w:p>
    <w:p>
      <w:pPr>
        <w:spacing w:after="140"/>
      </w:pPr>
      <w:r>
        <w:rPr>
          <w:sz w:val="21"/>
          <w:szCs w:val="21"/>
        </w:rPr>
        <w:t xml:space="preserve">Assemble the worksheets into the 11 department dashboards plus the Executive Overview, with consistent layout, titles and branding.</w:t>
      </w:r>
    </w:p>
    <w:p>
      <w:pPr>
        <w:spacing w:after="60" w:before="200"/>
      </w:pPr>
      <w:r>
        <w:rPr>
          <w:b/>
          <w:bCs/>
          <w:color w:val="B00000"/>
          <w:sz w:val="21"/>
          <w:szCs w:val="21"/>
        </w:rPr>
        <w:t xml:space="preserve">Problem 1: </w:t>
      </w:r>
      <w:r>
        <w:rPr>
          <w:sz w:val="21"/>
          <w:szCs w:val="21"/>
        </w:rPr>
        <w:t xml:space="preserve">Trainees tend to drop worksheets onto a dashboard in a random order, producing a cluttered page with no visual hierarchy and inconsistent sizing.</w:t>
      </w:r>
    </w:p>
    <w:p>
      <w:pPr>
        <w:spacing w:after="60"/>
      </w:pPr>
      <w:r>
        <w:rPr>
          <w:b/>
          <w:bCs/>
          <w:color w:val="1F4E78"/>
          <w:sz w:val="21"/>
          <w:szCs w:val="21"/>
        </w:rPr>
        <w:t xml:space="preserve">Task: </w:t>
      </w:r>
      <w:r>
        <w:rPr>
          <w:sz w:val="21"/>
          <w:szCs w:val="21"/>
        </w:rPr>
        <w:t xml:space="preserve">Design each dashboard (see the full list of dashboard titles and their charts in the Dashboards and KPIs section) using a consistent layout: title band at the top, KPI cards in a row beneath it, then supporting charts arranged in a grid below.</w:t>
      </w:r>
    </w:p>
    <w:p>
      <w:pPr>
        <w:spacing w:after="220"/>
      </w:pPr>
      <w:r>
        <w:rPr>
          <w:b/>
          <w:bCs/>
          <w:color w:val="1E7B34"/>
          <w:sz w:val="21"/>
          <w:szCs w:val="21"/>
        </w:rPr>
        <w:t xml:space="preserve">Solution: </w:t>
      </w:r>
      <w:r>
        <w:rPr>
          <w:sz w:val="21"/>
          <w:szCs w:val="21"/>
        </w:rPr>
        <w:t xml:space="preserve">Use a fixed size dashboard (1366 x 768 for desktop delivery). Add a horizontal container at the top for the title and company logo/colour band. Add a second horizontal container immediately below it holding the KPI card worksheets, each roughly equal width. Add a vertical or grid layout of containers beneath for the supporting bar/line/heat map charts, keeping no more than 3 to 4 charts per dashboard page so it remains readable.</w:t>
      </w:r>
    </w:p>
    <w:p>
      <w:pPr>
        <w:spacing w:after="60" w:before="200"/>
      </w:pPr>
      <w:r>
        <w:rPr>
          <w:b/>
          <w:bCs/>
          <w:color w:val="B00000"/>
          <w:sz w:val="21"/>
          <w:szCs w:val="21"/>
        </w:rPr>
        <w:t xml:space="preserve">Problem 2: </w:t>
      </w:r>
      <w:r>
        <w:rPr>
          <w:sz w:val="21"/>
          <w:szCs w:val="21"/>
        </w:rPr>
        <w:t xml:space="preserve">Every dashboard needs a clear, business friendly title, and trainees are unsure what to name each page so that end users immediately know what they are looking at.</w:t>
      </w:r>
    </w:p>
    <w:p>
      <w:pPr>
        <w:spacing w:after="60"/>
      </w:pPr>
      <w:r>
        <w:rPr>
          <w:b/>
          <w:bCs/>
          <w:color w:val="1F4E78"/>
          <w:sz w:val="21"/>
          <w:szCs w:val="21"/>
        </w:rPr>
        <w:t xml:space="preserve">Task: </w:t>
      </w:r>
      <w:r>
        <w:rPr>
          <w:sz w:val="21"/>
          <w:szCs w:val="21"/>
        </w:rPr>
        <w:t xml:space="preserve">Apply the exact dashboard titles from the KPI/Dashboard list (Executive Overview Dashboard, Operations Performance Dashboard, Legal and Contracts Dashboard, Supply Chain Dashboard, Admin and Assets Dashboard, Customer Service Dashboard, IT Service Desk Dashboard, Finance Dashboard, HR Dashboard, Internal Control Dashboard, Risk Management and Compliance Dashboard) to each dashboard tab and title text object.</w:t>
      </w:r>
    </w:p>
    <w:p>
      <w:pPr>
        <w:spacing w:after="220"/>
      </w:pPr>
      <w:r>
        <w:rPr>
          <w:b/>
          <w:bCs/>
          <w:color w:val="1E7B34"/>
          <w:sz w:val="21"/>
          <w:szCs w:val="21"/>
        </w:rPr>
        <w:t xml:space="preserve">Solution: </w:t>
      </w:r>
      <w:r>
        <w:rPr>
          <w:sz w:val="21"/>
          <w:szCs w:val="21"/>
        </w:rPr>
        <w:t xml:space="preserve">Rename each dashboard tab (double click the tab name) to match the titles exactly. Add a title text object at the top of each dashboard using the same wording, in a larger bold font, so the tab name and the on-screen title always match; this avoids confusion when dashboards are exported to PDF or PowerPoint where only the on-screen title is visible.</w:t>
      </w:r>
    </w:p>
    <w:p>
      <w:pPr>
        <w:spacing w:after="60" w:before="200"/>
      </w:pPr>
      <w:r>
        <w:rPr>
          <w:b/>
          <w:bCs/>
          <w:color w:val="B00000"/>
          <w:sz w:val="21"/>
          <w:szCs w:val="21"/>
        </w:rPr>
        <w:t xml:space="preserve">Problem 3: </w:t>
      </w:r>
      <w:r>
        <w:rPr>
          <w:sz w:val="21"/>
          <w:szCs w:val="21"/>
        </w:rPr>
        <w:t xml:space="preserve">The Executive Overview Dashboard needs to combine measures from several different sheets (Operations, SupplyChain, Employees, RiskComplianceRegister, CustomerService) on one page, and trainees are unsure whether this requires a single worksheet with every field or several small worksheets.</w:t>
      </w:r>
    </w:p>
    <w:p>
      <w:pPr>
        <w:spacing w:after="60"/>
      </w:pPr>
      <w:r>
        <w:rPr>
          <w:b/>
          <w:bCs/>
          <w:color w:val="1F4E78"/>
          <w:sz w:val="21"/>
          <w:szCs w:val="21"/>
        </w:rPr>
        <w:t xml:space="preserve">Task: </w:t>
      </w:r>
      <w:r>
        <w:rPr>
          <w:sz w:val="21"/>
          <w:szCs w:val="21"/>
        </w:rPr>
        <w:t xml:space="preserve">Assemble the Executive Overview Dashboard from the individual KPI and chart worksheets already built for each department, rather than building new mega-worksheets that mix every table together.</w:t>
      </w:r>
    </w:p>
    <w:p>
      <w:pPr>
        <w:spacing w:after="220"/>
      </w:pPr>
      <w:r>
        <w:rPr>
          <w:b/>
          <w:bCs/>
          <w:color w:val="1E7B34"/>
          <w:sz w:val="21"/>
          <w:szCs w:val="21"/>
        </w:rPr>
        <w:t xml:space="preserve">Solution: </w:t>
      </w:r>
      <w:r>
        <w:rPr>
          <w:sz w:val="21"/>
          <w:szCs w:val="21"/>
        </w:rPr>
        <w:t xml:space="preserve">Drag the existing 'Total Actual Volume' KPI (Operations), 'Total Spend' KPI (SupplyChain/AccountsFinance), 'Headcount' KPI (Employees), 'Open Critical Risks' KPI (RiskComplianceRegister) and 'Average CSAT' KPI (CustomerService) onto the Executive Overview dashboard as separate floating or tiled objects. Because the relationship model keeps each table at its native grain, each KPI worksheet independently queries only the tables it needs, so there is no cross contamination between departments on the same page.</w:t>
      </w:r>
    </w:p>
    <w:p>
      <w:pPr>
        <w:spacing w:after="60" w:before="200"/>
      </w:pPr>
      <w:r>
        <w:rPr>
          <w:b/>
          <w:bCs/>
          <w:color w:val="B00000"/>
          <w:sz w:val="21"/>
          <w:szCs w:val="21"/>
        </w:rPr>
        <w:t xml:space="preserve">Problem 4: </w:t>
      </w:r>
      <w:r>
        <w:rPr>
          <w:sz w:val="21"/>
          <w:szCs w:val="21"/>
        </w:rPr>
        <w:t xml:space="preserve">Dashboards look inconsistent across departments because trainees pick different fonts, colours and container spacing on each page.</w:t>
      </w:r>
    </w:p>
    <w:p>
      <w:pPr>
        <w:spacing w:after="60"/>
      </w:pPr>
      <w:r>
        <w:rPr>
          <w:b/>
          <w:bCs/>
          <w:color w:val="1F4E78"/>
          <w:sz w:val="21"/>
          <w:szCs w:val="21"/>
        </w:rPr>
        <w:t xml:space="preserve">Task: </w:t>
      </w:r>
      <w:r>
        <w:rPr>
          <w:sz w:val="21"/>
          <w:szCs w:val="21"/>
        </w:rPr>
        <w:t xml:space="preserve">Apply a consistent visual style (colour palette, font, spacing) across all 11 dashboards so the finished workbook reads as one coherent training deliverable.</w:t>
      </w:r>
    </w:p>
    <w:p>
      <w:pPr>
        <w:spacing w:after="220"/>
      </w:pPr>
      <w:r>
        <w:rPr>
          <w:b/>
          <w:bCs/>
          <w:color w:val="1E7B34"/>
          <w:sz w:val="21"/>
          <w:szCs w:val="21"/>
        </w:rPr>
        <w:t xml:space="preserve">Solution: </w:t>
      </w:r>
      <w:r>
        <w:rPr>
          <w:sz w:val="21"/>
          <w:szCs w:val="21"/>
        </w:rPr>
        <w:t xml:space="preserve">Create one dashboard first (Executive Overview) and use Format &gt; Workbook to set a single font (for example Arial) applied to the whole workbook. Save the colour choices as a custom colour palette in Tableau's Preferences.tps file (or simply document the hex codes used, for example a dark blue #1F4E78 for headers and a teal accent) and reuse the exact same palette, container padding (use 8px inner padding on every container) and title banner height on every subsequent dashboard.</w:t>
      </w:r>
    </w:p>
    <w:p>
      <w:pPr>
        <w:pStyle w:val="Heading2"/>
        <w:spacing w:after="140" w:before="280"/>
      </w:pPr>
      <w:r>
        <w:t xml:space="preserve">5. Interactivity</w:t>
      </w:r>
    </w:p>
    <w:p>
      <w:pPr>
        <w:spacing w:after="140"/>
      </w:pPr>
      <w:r>
        <w:rPr>
          <w:sz w:val="21"/>
          <w:szCs w:val="21"/>
        </w:rPr>
        <w:t xml:space="preserve">Add filters, parameters and dashboard actions so the finished dashboards let a user explore, drill down and answer follow up questions without leaving the page.</w:t>
      </w:r>
    </w:p>
    <w:p>
      <w:pPr>
        <w:spacing w:after="60" w:before="200"/>
      </w:pPr>
      <w:r>
        <w:rPr>
          <w:b/>
          <w:bCs/>
          <w:color w:val="B00000"/>
          <w:sz w:val="21"/>
          <w:szCs w:val="21"/>
        </w:rPr>
        <w:t xml:space="preserve">Problem 1: </w:t>
      </w:r>
      <w:r>
        <w:rPr>
          <w:sz w:val="21"/>
          <w:szCs w:val="21"/>
        </w:rPr>
        <w:t xml:space="preserve">Every dashboard needs the same basic slicing (by Department, by Date range) but trainees keep rebuilding the same filter on every single dashboard, which is slow and inconsistent.</w:t>
      </w:r>
    </w:p>
    <w:p>
      <w:pPr>
        <w:spacing w:after="60"/>
      </w:pPr>
      <w:r>
        <w:rPr>
          <w:b/>
          <w:bCs/>
          <w:color w:val="1F4E78"/>
          <w:sz w:val="21"/>
          <w:szCs w:val="21"/>
        </w:rPr>
        <w:t xml:space="preserve">Task: </w:t>
      </w:r>
      <w:r>
        <w:rPr>
          <w:sz w:val="21"/>
          <w:szCs w:val="21"/>
        </w:rPr>
        <w:t xml:space="preserve">Build one set of global filters (Department, Year, Quarter) that can be applied consistently across all dashboards.</w:t>
      </w:r>
    </w:p>
    <w:p>
      <w:pPr>
        <w:spacing w:after="220"/>
      </w:pPr>
      <w:r>
        <w:rPr>
          <w:b/>
          <w:bCs/>
          <w:color w:val="1E7B34"/>
          <w:sz w:val="21"/>
          <w:szCs w:val="21"/>
        </w:rPr>
        <w:t xml:space="preserve">Solution: </w:t>
      </w:r>
      <w:r>
        <w:rPr>
          <w:sz w:val="21"/>
          <w:szCs w:val="21"/>
        </w:rPr>
        <w:t xml:space="preserve">Build the filter once on the Executive Overview dashboard, set it to apply to 'All Using This Data Source' (or the relevant related data sources) via the filter's dropdown menu, then use Dashboard &gt; Actions or simply copy/paste the filter object onto each subsequent dashboard, keeping the same 'Apply to Worksheets &gt; All Using Related Data Sources' setting so behaviour stays identical everywhere.</w:t>
      </w:r>
    </w:p>
    <w:p>
      <w:pPr>
        <w:spacing w:after="60" w:before="200"/>
      </w:pPr>
      <w:r>
        <w:rPr>
          <w:b/>
          <w:bCs/>
          <w:color w:val="B00000"/>
          <w:sz w:val="21"/>
          <w:szCs w:val="21"/>
        </w:rPr>
        <w:t xml:space="preserve">Problem 2: </w:t>
      </w:r>
      <w:r>
        <w:rPr>
          <w:sz w:val="21"/>
          <w:szCs w:val="21"/>
        </w:rPr>
        <w:t xml:space="preserve">Clicking a bar in the 'Spend by Category' chart should let a user immediately see the underlying purchase orders, but by default nothing happens when a mark is clicked.</w:t>
      </w:r>
    </w:p>
    <w:p>
      <w:pPr>
        <w:spacing w:after="60"/>
      </w:pPr>
      <w:r>
        <w:rPr>
          <w:b/>
          <w:bCs/>
          <w:color w:val="1F4E78"/>
          <w:sz w:val="21"/>
          <w:szCs w:val="21"/>
        </w:rPr>
        <w:t xml:space="preserve">Task: </w:t>
      </w:r>
      <w:r>
        <w:rPr>
          <w:sz w:val="21"/>
          <w:szCs w:val="21"/>
        </w:rPr>
        <w:t xml:space="preserve">Add a Filter Action so that clicking a category bar on the Supply Chain Dashboard filters a detail table of purchase orders on the same page.</w:t>
      </w:r>
    </w:p>
    <w:p>
      <w:pPr>
        <w:spacing w:after="220"/>
      </w:pPr>
      <w:r>
        <w:rPr>
          <w:b/>
          <w:bCs/>
          <w:color w:val="1E7B34"/>
          <w:sz w:val="21"/>
          <w:szCs w:val="21"/>
        </w:rPr>
        <w:t xml:space="preserve">Solution: </w:t>
      </w:r>
      <w:r>
        <w:rPr>
          <w:sz w:val="21"/>
          <w:szCs w:val="21"/>
        </w:rPr>
        <w:t xml:space="preserve">Go to Dashboard &gt; Actions &gt; Add Action &gt; Filter. Set the source worksheet to 'Spend by Category', the target worksheet to the PO detail table, run the action On Select, and set 'Clear selection' to show all values, so clicking a category filters the table and clicking again (or hitting Escape) resets it.</w:t>
      </w:r>
    </w:p>
    <w:p>
      <w:pPr>
        <w:spacing w:after="60" w:before="200"/>
      </w:pPr>
      <w:r>
        <w:rPr>
          <w:b/>
          <w:bCs/>
          <w:color w:val="B00000"/>
          <w:sz w:val="21"/>
          <w:szCs w:val="21"/>
        </w:rPr>
        <w:t xml:space="preserve">Problem 3: </w:t>
      </w:r>
      <w:r>
        <w:rPr>
          <w:sz w:val="21"/>
          <w:szCs w:val="21"/>
        </w:rPr>
        <w:t xml:space="preserve">Executives want to switch the Executive Overview KPI cards between 'This Month', 'This Quarter' and 'This Year' without navigating away from the page.</w:t>
      </w:r>
    </w:p>
    <w:p>
      <w:pPr>
        <w:spacing w:after="60"/>
      </w:pPr>
      <w:r>
        <w:rPr>
          <w:b/>
          <w:bCs/>
          <w:color w:val="1F4E78"/>
          <w:sz w:val="21"/>
          <w:szCs w:val="21"/>
        </w:rPr>
        <w:t xml:space="preserve">Task: </w:t>
      </w:r>
      <w:r>
        <w:rPr>
          <w:sz w:val="21"/>
          <w:szCs w:val="21"/>
        </w:rPr>
        <w:t xml:space="preserve">Add a parameter driven date range control to the Executive Overview Dashboard.</w:t>
      </w:r>
    </w:p>
    <w:p>
      <w:pPr>
        <w:spacing w:after="220"/>
      </w:pPr>
      <w:r>
        <w:rPr>
          <w:b/>
          <w:bCs/>
          <w:color w:val="1E7B34"/>
          <w:sz w:val="21"/>
          <w:szCs w:val="21"/>
        </w:rPr>
        <w:t xml:space="preserve">Solution: </w:t>
      </w:r>
      <w:r>
        <w:rPr>
          <w:sz w:val="21"/>
          <w:szCs w:val="21"/>
        </w:rPr>
        <w:t xml:space="preserve">Create a String parameter [Date Range Selector] with values 'This Month', 'This Quarter', 'This Year'. Build a calculated field [Date Filter Logic] that returns TRUE/FALSE by comparing the relevant date field to TODAY() using DATETRUNC, based on the parameter's current value with a CASE/IF statement, and place that calculated field on the Filters shelf of every KPI worksheet, set to True. Show the parameter control on the dashboard so users can change it live.</w:t>
      </w:r>
    </w:p>
    <w:p>
      <w:pPr>
        <w:spacing w:after="60" w:before="200"/>
      </w:pPr>
      <w:r>
        <w:rPr>
          <w:b/>
          <w:bCs/>
          <w:color w:val="B00000"/>
          <w:sz w:val="21"/>
          <w:szCs w:val="21"/>
        </w:rPr>
        <w:t xml:space="preserve">Problem 4: </w:t>
      </w:r>
      <w:r>
        <w:rPr>
          <w:sz w:val="21"/>
          <w:szCs w:val="21"/>
        </w:rPr>
        <w:t xml:space="preserve">Drilling from the Executive Overview straight into a department's own dashboard currently requires manually clicking through dashboard tabs, which is not intuitive for first time users.</w:t>
      </w:r>
    </w:p>
    <w:p>
      <w:pPr>
        <w:spacing w:after="60"/>
      </w:pPr>
      <w:r>
        <w:rPr>
          <w:b/>
          <w:bCs/>
          <w:color w:val="1F4E78"/>
          <w:sz w:val="21"/>
          <w:szCs w:val="21"/>
        </w:rPr>
        <w:t xml:space="preserve">Task: </w:t>
      </w:r>
      <w:r>
        <w:rPr>
          <w:sz w:val="21"/>
          <w:szCs w:val="21"/>
        </w:rPr>
        <w:t xml:space="preserve">Add navigation buttons or a Go To Sheet action so a user can click a KPI on the Executive Overview and land directly on the matching department dashboard.</w:t>
      </w:r>
    </w:p>
    <w:p>
      <w:pPr>
        <w:spacing w:after="220"/>
      </w:pPr>
      <w:r>
        <w:rPr>
          <w:b/>
          <w:bCs/>
          <w:color w:val="1E7B34"/>
          <w:sz w:val="21"/>
          <w:szCs w:val="21"/>
        </w:rPr>
        <w:t xml:space="preserve">Solution: </w:t>
      </w:r>
      <w:r>
        <w:rPr>
          <w:sz w:val="21"/>
          <w:szCs w:val="21"/>
        </w:rPr>
        <w:t xml:space="preserve">Add a Navigate object (Dashboard &gt; Objects &gt; Navigation, or an Image/Button object) beneath or beside each KPI card on the Executive Overview, and set its destination to the relevant department dashboard (for example the Total Spend KPI navigates to the Supply Chain Dashboard). Alternatively use Dashboard &gt; Actions &gt; Add Action &gt; Go to Sheet triggered On Select from the KPI card itself.</w:t>
      </w:r>
    </w:p>
    <w:p>
      <w:pPr>
        <w:spacing w:after="60" w:before="200"/>
      </w:pPr>
      <w:r>
        <w:rPr>
          <w:b/>
          <w:bCs/>
          <w:color w:val="B00000"/>
          <w:sz w:val="21"/>
          <w:szCs w:val="21"/>
        </w:rPr>
        <w:t xml:space="preserve">Problem 5: </w:t>
      </w:r>
      <w:r>
        <w:rPr>
          <w:sz w:val="21"/>
          <w:szCs w:val="21"/>
        </w:rPr>
        <w:t xml:space="preserve">Tooltips currently show Tableau's default 'field name: value' list, which is not friendly for non technical business users viewing the dashboards.</w:t>
      </w:r>
    </w:p>
    <w:p>
      <w:pPr>
        <w:spacing w:after="60"/>
      </w:pPr>
      <w:r>
        <w:rPr>
          <w:b/>
          <w:bCs/>
          <w:color w:val="1F4E78"/>
          <w:sz w:val="21"/>
          <w:szCs w:val="21"/>
        </w:rPr>
        <w:t xml:space="preserve">Task: </w:t>
      </w:r>
      <w:r>
        <w:rPr>
          <w:sz w:val="21"/>
          <w:szCs w:val="21"/>
        </w:rPr>
        <w:t xml:space="preserve">Redesign the tooltips on every chart to be a short, readable sentence rather than a raw field list.</w:t>
      </w:r>
    </w:p>
    <w:p>
      <w:pPr>
        <w:spacing w:after="220"/>
      </w:pPr>
      <w:r>
        <w:rPr>
          <w:b/>
          <w:bCs/>
          <w:color w:val="1E7B34"/>
          <w:sz w:val="21"/>
          <w:szCs w:val="21"/>
        </w:rPr>
        <w:t xml:space="preserve">Solution: </w:t>
      </w:r>
      <w:r>
        <w:rPr>
          <w:sz w:val="21"/>
          <w:szCs w:val="21"/>
        </w:rPr>
        <w:t xml:space="preserve">Open each worksheet's Tooltip editor (Marks card &gt; Tooltip) and replace the default content with a plain English sentence using inline field placeholders, for example 'In &lt;ProductionDate&gt;, &lt;AssetField&gt; produced &lt;SUM(ActualVolume)&gt; &lt;UnitOfMeasure&gt; against a plan of &lt;SUM(PlannedVolume)&gt;.' Remove any field the sentence does not need so the tooltip stays short and focused.</w:t>
      </w:r>
    </w:p>
    <w:p>
      <w:r>
        <w:br w:type="page"/>
      </w:r>
    </w:p>
    <w:p>
      <w:pPr>
        <w:pStyle w:val="Heading1"/>
        <w:spacing w:after="180" w:before="360"/>
      </w:pPr>
      <w:r>
        <w:t xml:space="preserve">5. Measures, KPIs, Charts and Dashboard Pages</w:t>
      </w:r>
    </w:p>
    <w:p>
      <w:pPr>
        <w:spacing w:after="140"/>
      </w:pPr>
      <w:r>
        <w:rPr>
          <w:sz w:val="21"/>
          <w:szCs w:val="21"/>
        </w:rPr>
        <w:t xml:space="preserve">This section is the definitive build list: every dashboard page to be built, its title, its source sheet(s), its purpose, the individual charts/worksheets it is made of, and the KPIs it must display. Every KPI listed here is a sound, working measure that has been validated against the workbook's actual fields and formulas.</w:t>
      </w:r>
    </w:p>
    <w:p>
      <w:pPr>
        <w:pStyle w:val="Heading3"/>
        <w:spacing w:after="100" w:before="200"/>
      </w:pPr>
      <w:r>
        <w:t xml:space="preserve">Executive Overview Dashboard</w:t>
      </w:r>
    </w:p>
    <w:p>
      <w:pPr>
        <w:spacing w:after="140"/>
      </w:pPr>
      <w:r>
        <w:rPr>
          <w:i/>
          <w:iCs/>
          <w:sz w:val="21"/>
          <w:szCs w:val="21"/>
        </w:rPr>
        <w:t xml:space="preserve">Primary source sheet(s): All sheets (blended)</w:t>
      </w:r>
    </w:p>
    <w:p>
      <w:pPr>
        <w:spacing w:after="140"/>
      </w:pPr>
      <w:r>
        <w:rPr>
          <w:sz w:val="21"/>
          <w:szCs w:val="21"/>
        </w:rPr>
        <w:t xml:space="preserve">One page snapshot of company wide health across production, spend, people, risk and service, for the CEO and Exco.</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KPI cards (BANs): Total Actual Volume (bbls/mmscf), Total Spend (NGN), Headcount, Open Critical Risks, Average CSAT</w:t>
      </w:r>
    </w:p>
    <w:p>
      <w:pPr>
        <w:pStyle w:val="ListParagraph"/>
        <w:numPr>
          <w:ilvl w:val="0"/>
          <w:numId w:val="1"/>
        </w:numPr>
        <w:spacing w:after="80"/>
      </w:pPr>
      <w:r>
        <w:rPr>
          <w:sz w:val="21"/>
          <w:szCs w:val="21"/>
        </w:rPr>
        <w:t xml:space="preserve">Line chart: Actual vs Planned Volume by Month (Operations)</w:t>
      </w:r>
    </w:p>
    <w:p>
      <w:pPr>
        <w:pStyle w:val="ListParagraph"/>
        <w:numPr>
          <w:ilvl w:val="0"/>
          <w:numId w:val="1"/>
        </w:numPr>
        <w:spacing w:after="80"/>
      </w:pPr>
      <w:r>
        <w:rPr>
          <w:sz w:val="21"/>
          <w:szCs w:val="21"/>
        </w:rPr>
        <w:t xml:space="preserve">Bar chart: Spend by Department (SupplyChain + AccountsFinance blended)</w:t>
      </w:r>
    </w:p>
    <w:p>
      <w:pPr>
        <w:pStyle w:val="ListParagraph"/>
        <w:numPr>
          <w:ilvl w:val="0"/>
          <w:numId w:val="1"/>
        </w:numPr>
        <w:spacing w:after="80"/>
      </w:pPr>
      <w:r>
        <w:rPr>
          <w:sz w:val="21"/>
          <w:szCs w:val="21"/>
        </w:rPr>
        <w:t xml:space="preserve">Heat map: Risk Likelihood x Impact (RiskComplianceRegister)</w:t>
      </w:r>
    </w:p>
    <w:p>
      <w:pPr>
        <w:pStyle w:val="ListParagraph"/>
        <w:numPr>
          <w:ilvl w:val="0"/>
          <w:numId w:val="1"/>
        </w:numPr>
        <w:spacing w:after="80"/>
      </w:pPr>
      <w:r>
        <w:rPr>
          <w:sz w:val="21"/>
          <w:szCs w:val="21"/>
        </w:rPr>
        <w:t xml:space="preserve">Donut chart: Headcount by Department (Employees)</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Production Efficiency %</w:t>
      </w:r>
    </w:p>
    <w:p>
      <w:pPr>
        <w:pStyle w:val="ListParagraph"/>
        <w:numPr>
          <w:ilvl w:val="0"/>
          <w:numId w:val="1"/>
        </w:numPr>
        <w:spacing w:after="80"/>
      </w:pPr>
      <w:r>
        <w:rPr>
          <w:sz w:val="21"/>
          <w:szCs w:val="21"/>
        </w:rPr>
        <w:t xml:space="preserve">Total Spend (NGN)</w:t>
      </w:r>
    </w:p>
    <w:p>
      <w:pPr>
        <w:pStyle w:val="ListParagraph"/>
        <w:numPr>
          <w:ilvl w:val="0"/>
          <w:numId w:val="1"/>
        </w:numPr>
        <w:spacing w:after="80"/>
      </w:pPr>
      <w:r>
        <w:rPr>
          <w:sz w:val="21"/>
          <w:szCs w:val="21"/>
        </w:rPr>
        <w:t xml:space="preserve">Attrition Rate %</w:t>
      </w:r>
    </w:p>
    <w:p>
      <w:pPr>
        <w:pStyle w:val="ListParagraph"/>
        <w:numPr>
          <w:ilvl w:val="0"/>
          <w:numId w:val="1"/>
        </w:numPr>
        <w:spacing w:after="80"/>
      </w:pPr>
      <w:r>
        <w:rPr>
          <w:sz w:val="21"/>
          <w:szCs w:val="21"/>
        </w:rPr>
        <w:t xml:space="preserve">Average Risk Score</w:t>
      </w:r>
    </w:p>
    <w:p>
      <w:pPr>
        <w:pStyle w:val="ListParagraph"/>
        <w:numPr>
          <w:ilvl w:val="0"/>
          <w:numId w:val="1"/>
        </w:numPr>
        <w:spacing w:after="80"/>
      </w:pPr>
      <w:r>
        <w:rPr>
          <w:sz w:val="21"/>
          <w:szCs w:val="21"/>
        </w:rPr>
        <w:t xml:space="preserve">CSAT Average</w:t>
      </w:r>
    </w:p>
    <w:p>
      <w:pPr>
        <w:pStyle w:val="Heading3"/>
        <w:spacing w:after="100" w:before="200"/>
      </w:pPr>
      <w:r>
        <w:t xml:space="preserve">Operations Performance Dashboard</w:t>
      </w:r>
    </w:p>
    <w:p>
      <w:pPr>
        <w:spacing w:after="140"/>
      </w:pPr>
      <w:r>
        <w:rPr>
          <w:i/>
          <w:iCs/>
          <w:sz w:val="21"/>
          <w:szCs w:val="21"/>
        </w:rPr>
        <w:t xml:space="preserve">Primary source sheet(s): Operations</w:t>
      </w:r>
    </w:p>
    <w:p>
      <w:pPr>
        <w:spacing w:after="140"/>
      </w:pPr>
      <w:r>
        <w:rPr>
          <w:sz w:val="21"/>
          <w:szCs w:val="21"/>
        </w:rPr>
        <w:t xml:space="preserve">Track production output against plan and understand the drivers of downtime.</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Bar chart: Actual Volume by AssetField, sorted descending</w:t>
      </w:r>
    </w:p>
    <w:p>
      <w:pPr>
        <w:pStyle w:val="ListParagraph"/>
        <w:numPr>
          <w:ilvl w:val="0"/>
          <w:numId w:val="1"/>
        </w:numPr>
        <w:spacing w:after="80"/>
      </w:pPr>
      <w:r>
        <w:rPr>
          <w:sz w:val="21"/>
          <w:szCs w:val="21"/>
        </w:rPr>
        <w:t xml:space="preserve">Line chart: Actual vs Planned Volume trend by Month, split by ProductType</w:t>
      </w:r>
    </w:p>
    <w:p>
      <w:pPr>
        <w:pStyle w:val="ListParagraph"/>
        <w:numPr>
          <w:ilvl w:val="0"/>
          <w:numId w:val="1"/>
        </w:numPr>
        <w:spacing w:after="80"/>
      </w:pPr>
      <w:r>
        <w:rPr>
          <w:sz w:val="21"/>
          <w:szCs w:val="21"/>
        </w:rPr>
        <w:t xml:space="preserve">Pareto chart (bar + cumulative line): Downtime Hours by DowntimeReason</w:t>
      </w:r>
    </w:p>
    <w:p>
      <w:pPr>
        <w:pStyle w:val="ListParagraph"/>
        <w:numPr>
          <w:ilvl w:val="0"/>
          <w:numId w:val="1"/>
        </w:numPr>
        <w:spacing w:after="80"/>
      </w:pPr>
      <w:r>
        <w:rPr>
          <w:sz w:val="21"/>
          <w:szCs w:val="21"/>
        </w:rPr>
        <w:t xml:space="preserve">Highlight table: Volume by Well and Month</w:t>
      </w:r>
    </w:p>
    <w:p>
      <w:pPr>
        <w:pStyle w:val="ListParagraph"/>
        <w:numPr>
          <w:ilvl w:val="0"/>
          <w:numId w:val="1"/>
        </w:numPr>
        <w:spacing w:after="80"/>
      </w:pPr>
      <w:r>
        <w:rPr>
          <w:sz w:val="21"/>
          <w:szCs w:val="21"/>
        </w:rPr>
        <w:t xml:space="preserve">KPI cards: Production Efficiency %, Total Downtime Hours, Number of Downtime Incidents</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Production Efficiency % = SUM(ActualVolume) / SUM(PlannedVolume)</w:t>
      </w:r>
    </w:p>
    <w:p>
      <w:pPr>
        <w:pStyle w:val="ListParagraph"/>
        <w:numPr>
          <w:ilvl w:val="0"/>
          <w:numId w:val="1"/>
        </w:numPr>
        <w:spacing w:after="80"/>
      </w:pPr>
      <w:r>
        <w:rPr>
          <w:sz w:val="21"/>
          <w:szCs w:val="21"/>
        </w:rPr>
        <w:t xml:space="preserve">Total Downtime Hours</w:t>
      </w:r>
    </w:p>
    <w:p>
      <w:pPr>
        <w:pStyle w:val="ListParagraph"/>
        <w:numPr>
          <w:ilvl w:val="0"/>
          <w:numId w:val="1"/>
        </w:numPr>
        <w:spacing w:after="80"/>
      </w:pPr>
      <w:r>
        <w:rPr>
          <w:sz w:val="21"/>
          <w:szCs w:val="21"/>
        </w:rPr>
        <w:t xml:space="preserve">Average Downtime per Incident</w:t>
      </w:r>
    </w:p>
    <w:p>
      <w:pPr>
        <w:pStyle w:val="Heading3"/>
        <w:spacing w:after="100" w:before="200"/>
      </w:pPr>
      <w:r>
        <w:t xml:space="preserve">Legal and Contracts Dashboard</w:t>
      </w:r>
    </w:p>
    <w:p>
      <w:pPr>
        <w:spacing w:after="140"/>
      </w:pPr>
      <w:r>
        <w:rPr>
          <w:i/>
          <w:iCs/>
          <w:sz w:val="21"/>
          <w:szCs w:val="21"/>
        </w:rPr>
        <w:t xml:space="preserve">Primary source sheet(s): Legal</w:t>
      </w:r>
    </w:p>
    <w:p>
      <w:pPr>
        <w:spacing w:after="140"/>
      </w:pPr>
      <w:r>
        <w:rPr>
          <w:sz w:val="21"/>
          <w:szCs w:val="21"/>
        </w:rPr>
        <w:t xml:space="preserve">Monitor contract exposure, expiry risk and compliance flags across all counterparties.</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Bar chart: Contract Value by ContractType</w:t>
      </w:r>
    </w:p>
    <w:p>
      <w:pPr>
        <w:pStyle w:val="ListParagraph"/>
        <w:numPr>
          <w:ilvl w:val="0"/>
          <w:numId w:val="1"/>
        </w:numPr>
        <w:spacing w:after="80"/>
      </w:pPr>
      <w:r>
        <w:rPr>
          <w:sz w:val="21"/>
          <w:szCs w:val="21"/>
        </w:rPr>
        <w:t xml:space="preserve">Bar chart: Top 10 Counterparties by Contract Value</w:t>
      </w:r>
    </w:p>
    <w:p>
      <w:pPr>
        <w:pStyle w:val="ListParagraph"/>
        <w:numPr>
          <w:ilvl w:val="0"/>
          <w:numId w:val="1"/>
        </w:numPr>
        <w:spacing w:after="80"/>
      </w:pPr>
      <w:r>
        <w:rPr>
          <w:sz w:val="21"/>
          <w:szCs w:val="21"/>
        </w:rPr>
        <w:t xml:space="preserve">Table: Contracts Expiring in next 90 days (calculated field filter)</w:t>
      </w:r>
    </w:p>
    <w:p>
      <w:pPr>
        <w:pStyle w:val="ListParagraph"/>
        <w:numPr>
          <w:ilvl w:val="0"/>
          <w:numId w:val="1"/>
        </w:numPr>
        <w:spacing w:after="80"/>
      </w:pPr>
      <w:r>
        <w:rPr>
          <w:sz w:val="21"/>
          <w:szCs w:val="21"/>
        </w:rPr>
        <w:t xml:space="preserve">Donut chart: Contracts by Status</w:t>
      </w:r>
    </w:p>
    <w:p>
      <w:pPr>
        <w:pStyle w:val="ListParagraph"/>
        <w:numPr>
          <w:ilvl w:val="0"/>
          <w:numId w:val="1"/>
        </w:numPr>
        <w:spacing w:after="80"/>
      </w:pPr>
      <w:r>
        <w:rPr>
          <w:sz w:val="21"/>
          <w:szCs w:val="21"/>
        </w:rPr>
        <w:t xml:space="preserve">KPI cards: Total Active Contract Value, % Contracts Flagged, Contracts Expiring Soon</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 Active Contracts = COUNTD Active / COUNTD Total</w:t>
      </w:r>
    </w:p>
    <w:p>
      <w:pPr>
        <w:pStyle w:val="ListParagraph"/>
        <w:numPr>
          <w:ilvl w:val="0"/>
          <w:numId w:val="1"/>
        </w:numPr>
        <w:spacing w:after="80"/>
      </w:pPr>
      <w:r>
        <w:rPr>
          <w:sz w:val="21"/>
          <w:szCs w:val="21"/>
        </w:rPr>
        <w:t xml:space="preserve">Total Contract Value (NGN)</w:t>
      </w:r>
    </w:p>
    <w:p>
      <w:pPr>
        <w:pStyle w:val="ListParagraph"/>
        <w:numPr>
          <w:ilvl w:val="0"/>
          <w:numId w:val="1"/>
        </w:numPr>
        <w:spacing w:after="80"/>
      </w:pPr>
      <w:r>
        <w:rPr>
          <w:sz w:val="21"/>
          <w:szCs w:val="21"/>
        </w:rPr>
        <w:t xml:space="preserve">Contracts Expiring in 90 Days</w:t>
      </w:r>
    </w:p>
    <w:p>
      <w:pPr>
        <w:pStyle w:val="Heading3"/>
        <w:spacing w:after="100" w:before="200"/>
      </w:pPr>
      <w:r>
        <w:t xml:space="preserve">Supply Chain Dashboard</w:t>
      </w:r>
    </w:p>
    <w:p>
      <w:pPr>
        <w:spacing w:after="140"/>
      </w:pPr>
      <w:r>
        <w:rPr>
          <w:i/>
          <w:iCs/>
          <w:sz w:val="21"/>
          <w:szCs w:val="21"/>
        </w:rPr>
        <w:t xml:space="preserve">Primary source sheet(s): SupplyChain</w:t>
      </w:r>
    </w:p>
    <w:p>
      <w:pPr>
        <w:spacing w:after="140"/>
      </w:pPr>
      <w:r>
        <w:rPr>
          <w:sz w:val="21"/>
          <w:szCs w:val="21"/>
        </w:rPr>
        <w:t xml:space="preserve">Understand procurement spend, vendor performance and delivery reliability.</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Bar chart: Total Spend by Category</w:t>
      </w:r>
    </w:p>
    <w:p>
      <w:pPr>
        <w:pStyle w:val="ListParagraph"/>
        <w:numPr>
          <w:ilvl w:val="0"/>
          <w:numId w:val="1"/>
        </w:numPr>
        <w:spacing w:after="80"/>
      </w:pPr>
      <w:r>
        <w:rPr>
          <w:sz w:val="21"/>
          <w:szCs w:val="21"/>
        </w:rPr>
        <w:t xml:space="preserve">Bar chart: Total Spend by Vendor (Top 10)</w:t>
      </w:r>
    </w:p>
    <w:p>
      <w:pPr>
        <w:pStyle w:val="ListParagraph"/>
        <w:numPr>
          <w:ilvl w:val="0"/>
          <w:numId w:val="1"/>
        </w:numPr>
        <w:spacing w:after="80"/>
      </w:pPr>
      <w:r>
        <w:rPr>
          <w:sz w:val="21"/>
          <w:szCs w:val="21"/>
        </w:rPr>
        <w:t xml:space="preserve">Line chart: Spend trend by Month</w:t>
      </w:r>
    </w:p>
    <w:p>
      <w:pPr>
        <w:pStyle w:val="ListParagraph"/>
        <w:numPr>
          <w:ilvl w:val="0"/>
          <w:numId w:val="1"/>
        </w:numPr>
        <w:spacing w:after="80"/>
      </w:pPr>
      <w:r>
        <w:rPr>
          <w:sz w:val="21"/>
          <w:szCs w:val="21"/>
        </w:rPr>
        <w:t xml:space="preserve">Bar-in-bar or bullet chart: On Time vs Delayed deliveries by Vendor</w:t>
      </w:r>
    </w:p>
    <w:p>
      <w:pPr>
        <w:pStyle w:val="ListParagraph"/>
        <w:numPr>
          <w:ilvl w:val="0"/>
          <w:numId w:val="1"/>
        </w:numPr>
        <w:spacing w:after="80"/>
      </w:pPr>
      <w:r>
        <w:rPr>
          <w:sz w:val="21"/>
          <w:szCs w:val="21"/>
        </w:rPr>
        <w:t xml:space="preserve">KPI cards: Total Spend, On Time Delivery Rate %, Average Delay Days</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Total Spend (NGN) = SUM(TotalCost_NGN)</w:t>
      </w:r>
    </w:p>
    <w:p>
      <w:pPr>
        <w:pStyle w:val="ListParagraph"/>
        <w:numPr>
          <w:ilvl w:val="0"/>
          <w:numId w:val="1"/>
        </w:numPr>
        <w:spacing w:after="80"/>
      </w:pPr>
      <w:r>
        <w:rPr>
          <w:sz w:val="21"/>
          <w:szCs w:val="21"/>
        </w:rPr>
        <w:t xml:space="preserve">On Time Delivery Rate % = Delivered on time / Total Orders</w:t>
      </w:r>
    </w:p>
    <w:p>
      <w:pPr>
        <w:pStyle w:val="ListParagraph"/>
        <w:numPr>
          <w:ilvl w:val="0"/>
          <w:numId w:val="1"/>
        </w:numPr>
        <w:spacing w:after="80"/>
      </w:pPr>
      <w:r>
        <w:rPr>
          <w:sz w:val="21"/>
          <w:szCs w:val="21"/>
        </w:rPr>
        <w:t xml:space="preserve">Average Delay Days = AVG(ActualDeliveryDate - ExpectedDeliveryDate)</w:t>
      </w:r>
    </w:p>
    <w:p>
      <w:pPr>
        <w:pStyle w:val="Heading3"/>
        <w:spacing w:after="100" w:before="200"/>
      </w:pPr>
      <w:r>
        <w:t xml:space="preserve">Admin and Assets Dashboard</w:t>
      </w:r>
    </w:p>
    <w:p>
      <w:pPr>
        <w:spacing w:after="140"/>
      </w:pPr>
      <w:r>
        <w:rPr>
          <w:i/>
          <w:iCs/>
          <w:sz w:val="21"/>
          <w:szCs w:val="21"/>
        </w:rPr>
        <w:t xml:space="preserve">Primary source sheet(s): Admin</w:t>
      </w:r>
    </w:p>
    <w:p>
      <w:pPr>
        <w:spacing w:after="140"/>
      </w:pPr>
      <w:r>
        <w:rPr>
          <w:sz w:val="21"/>
          <w:szCs w:val="21"/>
        </w:rPr>
        <w:t xml:space="preserve">Track the value, condition and location of company fixed assets.</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Treemap: Current Value by AssetType</w:t>
      </w:r>
    </w:p>
    <w:p>
      <w:pPr>
        <w:pStyle w:val="ListParagraph"/>
        <w:numPr>
          <w:ilvl w:val="0"/>
          <w:numId w:val="1"/>
        </w:numPr>
        <w:spacing w:after="80"/>
      </w:pPr>
      <w:r>
        <w:rPr>
          <w:sz w:val="21"/>
          <w:szCs w:val="21"/>
        </w:rPr>
        <w:t xml:space="preserve">Map or bar chart: Asset Value by Location</w:t>
      </w:r>
    </w:p>
    <w:p>
      <w:pPr>
        <w:pStyle w:val="ListParagraph"/>
        <w:numPr>
          <w:ilvl w:val="0"/>
          <w:numId w:val="1"/>
        </w:numPr>
        <w:spacing w:after="80"/>
      </w:pPr>
      <w:r>
        <w:rPr>
          <w:sz w:val="21"/>
          <w:szCs w:val="21"/>
        </w:rPr>
        <w:t xml:space="preserve">Donut chart: Assets by Status (In Use / Under Maintenance / Disposed)</w:t>
      </w:r>
    </w:p>
    <w:p>
      <w:pPr>
        <w:pStyle w:val="ListParagraph"/>
        <w:numPr>
          <w:ilvl w:val="0"/>
          <w:numId w:val="1"/>
        </w:numPr>
        <w:spacing w:after="80"/>
      </w:pPr>
      <w:r>
        <w:rPr>
          <w:sz w:val="21"/>
          <w:szCs w:val="21"/>
        </w:rPr>
        <w:t xml:space="preserve">Table: Asset register with Purchase Value vs Current Value</w:t>
      </w:r>
    </w:p>
    <w:p>
      <w:pPr>
        <w:pStyle w:val="ListParagraph"/>
        <w:numPr>
          <w:ilvl w:val="0"/>
          <w:numId w:val="1"/>
        </w:numPr>
        <w:spacing w:after="80"/>
      </w:pPr>
      <w:r>
        <w:rPr>
          <w:sz w:val="21"/>
          <w:szCs w:val="21"/>
        </w:rPr>
        <w:t xml:space="preserve">KPI cards: Total Current Asset Value, Depreciation %, Assets Under Maintenance</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Depreciation % = 1 - SUM(CurrentValue_NGN)/SUM(PurchaseValue_NGN)</w:t>
      </w:r>
    </w:p>
    <w:p>
      <w:pPr>
        <w:pStyle w:val="ListParagraph"/>
        <w:numPr>
          <w:ilvl w:val="0"/>
          <w:numId w:val="1"/>
        </w:numPr>
        <w:spacing w:after="80"/>
      </w:pPr>
      <w:r>
        <w:rPr>
          <w:sz w:val="21"/>
          <w:szCs w:val="21"/>
        </w:rPr>
        <w:t xml:space="preserve">Assets Under Maintenance (count)</w:t>
      </w:r>
    </w:p>
    <w:p>
      <w:pPr>
        <w:pStyle w:val="ListParagraph"/>
        <w:numPr>
          <w:ilvl w:val="0"/>
          <w:numId w:val="1"/>
        </w:numPr>
        <w:spacing w:after="80"/>
      </w:pPr>
      <w:r>
        <w:rPr>
          <w:sz w:val="21"/>
          <w:szCs w:val="21"/>
        </w:rPr>
        <w:t xml:space="preserve">Total Current Asset Value (NGN)</w:t>
      </w:r>
    </w:p>
    <w:p>
      <w:pPr>
        <w:pStyle w:val="Heading3"/>
        <w:spacing w:after="100" w:before="200"/>
      </w:pPr>
      <w:r>
        <w:t xml:space="preserve">Customer Service Dashboard</w:t>
      </w:r>
    </w:p>
    <w:p>
      <w:pPr>
        <w:spacing w:after="140"/>
      </w:pPr>
      <w:r>
        <w:rPr>
          <w:i/>
          <w:iCs/>
          <w:sz w:val="21"/>
          <w:szCs w:val="21"/>
        </w:rPr>
        <w:t xml:space="preserve">Primary source sheet(s): CustomerService</w:t>
      </w:r>
    </w:p>
    <w:p>
      <w:pPr>
        <w:spacing w:after="140"/>
      </w:pPr>
      <w:r>
        <w:rPr>
          <w:sz w:val="21"/>
          <w:szCs w:val="21"/>
        </w:rPr>
        <w:t xml:space="preserve">Monitor community and customer ticket volumes, resolution speed and satisfaction.</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Line chart: Ticket Volume trend by Month</w:t>
      </w:r>
    </w:p>
    <w:p>
      <w:pPr>
        <w:pStyle w:val="ListParagraph"/>
        <w:numPr>
          <w:ilvl w:val="0"/>
          <w:numId w:val="1"/>
        </w:numPr>
        <w:spacing w:after="80"/>
      </w:pPr>
      <w:r>
        <w:rPr>
          <w:sz w:val="21"/>
          <w:szCs w:val="21"/>
        </w:rPr>
        <w:t xml:space="preserve">Bar chart: Tickets by IssueCategory, sorted descending</w:t>
      </w:r>
    </w:p>
    <w:p>
      <w:pPr>
        <w:pStyle w:val="ListParagraph"/>
        <w:numPr>
          <w:ilvl w:val="0"/>
          <w:numId w:val="1"/>
        </w:numPr>
        <w:spacing w:after="80"/>
      </w:pPr>
      <w:r>
        <w:rPr>
          <w:sz w:val="21"/>
          <w:szCs w:val="21"/>
        </w:rPr>
        <w:t xml:space="preserve">Bar chart: Tickets by Channel</w:t>
      </w:r>
    </w:p>
    <w:p>
      <w:pPr>
        <w:pStyle w:val="ListParagraph"/>
        <w:numPr>
          <w:ilvl w:val="0"/>
          <w:numId w:val="1"/>
        </w:numPr>
        <w:spacing w:after="80"/>
      </w:pPr>
      <w:r>
        <w:rPr>
          <w:sz w:val="21"/>
          <w:szCs w:val="21"/>
        </w:rPr>
        <w:t xml:space="preserve">Bullet or gauge style KPI: Average Resolution Time (days) vs target</w:t>
      </w:r>
    </w:p>
    <w:p>
      <w:pPr>
        <w:pStyle w:val="ListParagraph"/>
        <w:numPr>
          <w:ilvl w:val="0"/>
          <w:numId w:val="1"/>
        </w:numPr>
        <w:spacing w:after="80"/>
      </w:pPr>
      <w:r>
        <w:rPr>
          <w:sz w:val="21"/>
          <w:szCs w:val="21"/>
        </w:rPr>
        <w:t xml:space="preserve">KPI cards: Open Tickets, Average CSAT, % Closed within SLA</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Average Resolution Time (days) = AVG(ResolutionTimeDays)</w:t>
      </w:r>
    </w:p>
    <w:p>
      <w:pPr>
        <w:pStyle w:val="ListParagraph"/>
        <w:numPr>
          <w:ilvl w:val="0"/>
          <w:numId w:val="1"/>
        </w:numPr>
        <w:spacing w:after="80"/>
      </w:pPr>
      <w:r>
        <w:rPr>
          <w:sz w:val="21"/>
          <w:szCs w:val="21"/>
        </w:rPr>
        <w:t xml:space="preserve">CSAT Average = AVG(SatisfactionScore_1to5)</w:t>
      </w:r>
    </w:p>
    <w:p>
      <w:pPr>
        <w:pStyle w:val="ListParagraph"/>
        <w:numPr>
          <w:ilvl w:val="0"/>
          <w:numId w:val="1"/>
        </w:numPr>
        <w:spacing w:after="80"/>
      </w:pPr>
      <w:r>
        <w:rPr>
          <w:sz w:val="21"/>
          <w:szCs w:val="21"/>
        </w:rPr>
        <w:t xml:space="preserve">% Closed within 7 Days</w:t>
      </w:r>
    </w:p>
    <w:p>
      <w:pPr>
        <w:pStyle w:val="Heading3"/>
        <w:spacing w:after="100" w:before="200"/>
      </w:pPr>
      <w:r>
        <w:t xml:space="preserve">IT Service Desk Dashboard</w:t>
      </w:r>
    </w:p>
    <w:p>
      <w:pPr>
        <w:spacing w:after="140"/>
      </w:pPr>
      <w:r>
        <w:rPr>
          <w:i/>
          <w:iCs/>
          <w:sz w:val="21"/>
          <w:szCs w:val="21"/>
        </w:rPr>
        <w:t xml:space="preserve">Primary source sheet(s): IT</w:t>
      </w:r>
    </w:p>
    <w:p>
      <w:pPr>
        <w:spacing w:after="140"/>
      </w:pPr>
      <w:r>
        <w:rPr>
          <w:sz w:val="21"/>
          <w:szCs w:val="21"/>
        </w:rPr>
        <w:t xml:space="preserve">Track IT ticket load, priority mix and resolution performance against SLA.</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Stacked bar chart: Tickets by System, coloured by Priority</w:t>
      </w:r>
    </w:p>
    <w:p>
      <w:pPr>
        <w:pStyle w:val="ListParagraph"/>
        <w:numPr>
          <w:ilvl w:val="0"/>
          <w:numId w:val="1"/>
        </w:numPr>
        <w:spacing w:after="80"/>
      </w:pPr>
      <w:r>
        <w:rPr>
          <w:sz w:val="21"/>
          <w:szCs w:val="21"/>
        </w:rPr>
        <w:t xml:space="preserve">Line chart: Ticket inflow trend by Month</w:t>
      </w:r>
    </w:p>
    <w:p>
      <w:pPr>
        <w:pStyle w:val="ListParagraph"/>
        <w:numPr>
          <w:ilvl w:val="0"/>
          <w:numId w:val="1"/>
        </w:numPr>
        <w:spacing w:after="80"/>
      </w:pPr>
      <w:r>
        <w:rPr>
          <w:sz w:val="21"/>
          <w:szCs w:val="21"/>
        </w:rPr>
        <w:t xml:space="preserve">Bar chart: Average Resolution Time (hours) by Priority</w:t>
      </w:r>
    </w:p>
    <w:p>
      <w:pPr>
        <w:pStyle w:val="ListParagraph"/>
        <w:numPr>
          <w:ilvl w:val="0"/>
          <w:numId w:val="1"/>
        </w:numPr>
        <w:spacing w:after="80"/>
      </w:pPr>
      <w:r>
        <w:rPr>
          <w:sz w:val="21"/>
          <w:szCs w:val="21"/>
        </w:rPr>
        <w:t xml:space="preserve">KPI cards: Open Tickets, SLA Compliance %, Average Resolution Time (hours)</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Average Resolution Time (hours) = AVG(ResolutionTimeHours)</w:t>
      </w:r>
    </w:p>
    <w:p>
      <w:pPr>
        <w:pStyle w:val="ListParagraph"/>
        <w:numPr>
          <w:ilvl w:val="0"/>
          <w:numId w:val="1"/>
        </w:numPr>
        <w:spacing w:after="80"/>
      </w:pPr>
      <w:r>
        <w:rPr>
          <w:sz w:val="21"/>
          <w:szCs w:val="21"/>
        </w:rPr>
        <w:t xml:space="preserve">SLA Compliance % (resolved within target hours by priority)</w:t>
      </w:r>
    </w:p>
    <w:p>
      <w:pPr>
        <w:pStyle w:val="ListParagraph"/>
        <w:numPr>
          <w:ilvl w:val="0"/>
          <w:numId w:val="1"/>
        </w:numPr>
        <w:spacing w:after="80"/>
      </w:pPr>
      <w:r>
        <w:rPr>
          <w:sz w:val="21"/>
          <w:szCs w:val="21"/>
        </w:rPr>
        <w:t xml:space="preserve">Open Ticket Backlog (count)</w:t>
      </w:r>
    </w:p>
    <w:p>
      <w:pPr>
        <w:pStyle w:val="Heading3"/>
        <w:spacing w:after="100" w:before="200"/>
      </w:pPr>
      <w:r>
        <w:t xml:space="preserve">Finance Dashboard</w:t>
      </w:r>
    </w:p>
    <w:p>
      <w:pPr>
        <w:spacing w:after="140"/>
      </w:pPr>
      <w:r>
        <w:rPr>
          <w:i/>
          <w:iCs/>
          <w:sz w:val="21"/>
          <w:szCs w:val="21"/>
        </w:rPr>
        <w:t xml:space="preserve">Primary source sheet(s): AccountsFinance</w:t>
      </w:r>
    </w:p>
    <w:p>
      <w:pPr>
        <w:spacing w:after="140"/>
      </w:pPr>
      <w:r>
        <w:rPr>
          <w:sz w:val="21"/>
          <w:szCs w:val="21"/>
        </w:rPr>
        <w:t xml:space="preserve">Give Accounts and Finance a live view of revenue, expenditure and transaction status.</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Line chart: Revenue vs Operating Expense vs Capex trend by Month</w:t>
      </w:r>
    </w:p>
    <w:p>
      <w:pPr>
        <w:pStyle w:val="ListParagraph"/>
        <w:numPr>
          <w:ilvl w:val="0"/>
          <w:numId w:val="1"/>
        </w:numPr>
        <w:spacing w:after="80"/>
      </w:pPr>
      <w:r>
        <w:rPr>
          <w:sz w:val="21"/>
          <w:szCs w:val="21"/>
        </w:rPr>
        <w:t xml:space="preserve">Bar chart: Amount by Department</w:t>
      </w:r>
    </w:p>
    <w:p>
      <w:pPr>
        <w:pStyle w:val="ListParagraph"/>
        <w:numPr>
          <w:ilvl w:val="0"/>
          <w:numId w:val="1"/>
        </w:numPr>
        <w:spacing w:after="80"/>
      </w:pPr>
      <w:r>
        <w:rPr>
          <w:sz w:val="21"/>
          <w:szCs w:val="21"/>
        </w:rPr>
        <w:t xml:space="preserve">Donut chart: Transactions by Status (Posted/Pending/Reversed)</w:t>
      </w:r>
    </w:p>
    <w:p>
      <w:pPr>
        <w:pStyle w:val="ListParagraph"/>
        <w:numPr>
          <w:ilvl w:val="0"/>
          <w:numId w:val="1"/>
        </w:numPr>
        <w:spacing w:after="80"/>
      </w:pPr>
      <w:r>
        <w:rPr>
          <w:sz w:val="21"/>
          <w:szCs w:val="21"/>
        </w:rPr>
        <w:t xml:space="preserve">Table: Transactions linked to Supply Chain PO_ID and Legal ContractID</w:t>
      </w:r>
    </w:p>
    <w:p>
      <w:pPr>
        <w:pStyle w:val="ListParagraph"/>
        <w:numPr>
          <w:ilvl w:val="0"/>
          <w:numId w:val="1"/>
        </w:numPr>
        <w:spacing w:after="80"/>
      </w:pPr>
      <w:r>
        <w:rPr>
          <w:sz w:val="21"/>
          <w:szCs w:val="21"/>
        </w:rPr>
        <w:t xml:space="preserve">KPI cards: Total Revenue, Total Opex, Net Position, Pending Transaction Value</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Total Revenue (NGN)</w:t>
      </w:r>
    </w:p>
    <w:p>
      <w:pPr>
        <w:pStyle w:val="ListParagraph"/>
        <w:numPr>
          <w:ilvl w:val="0"/>
          <w:numId w:val="1"/>
        </w:numPr>
        <w:spacing w:after="80"/>
      </w:pPr>
      <w:r>
        <w:rPr>
          <w:sz w:val="21"/>
          <w:szCs w:val="21"/>
        </w:rPr>
        <w:t xml:space="preserve">Total Operating Expense (NGN)</w:t>
      </w:r>
    </w:p>
    <w:p>
      <w:pPr>
        <w:pStyle w:val="ListParagraph"/>
        <w:numPr>
          <w:ilvl w:val="0"/>
          <w:numId w:val="1"/>
        </w:numPr>
        <w:spacing w:after="80"/>
      </w:pPr>
      <w:r>
        <w:rPr>
          <w:sz w:val="21"/>
          <w:szCs w:val="21"/>
        </w:rPr>
        <w:t xml:space="preserve">Net Position = Revenue - Opex - Capex - Payroll - Tax</w:t>
      </w:r>
    </w:p>
    <w:p>
      <w:pPr>
        <w:pStyle w:val="Heading3"/>
        <w:spacing w:after="100" w:before="200"/>
      </w:pPr>
      <w:r>
        <w:t xml:space="preserve">HR Dashboard</w:t>
      </w:r>
    </w:p>
    <w:p>
      <w:pPr>
        <w:spacing w:after="140"/>
      </w:pPr>
      <w:r>
        <w:rPr>
          <w:i/>
          <w:iCs/>
          <w:sz w:val="21"/>
          <w:szCs w:val="21"/>
        </w:rPr>
        <w:t xml:space="preserve">Primary source sheet(s): Employees</w:t>
      </w:r>
    </w:p>
    <w:p>
      <w:pPr>
        <w:spacing w:after="140"/>
      </w:pPr>
      <w:r>
        <w:rPr>
          <w:sz w:val="21"/>
          <w:szCs w:val="21"/>
        </w:rPr>
        <w:t xml:space="preserve">Track headcount, attrition, tenure, performance and diversity across the company.</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Bar chart: Headcount by Department</w:t>
      </w:r>
    </w:p>
    <w:p>
      <w:pPr>
        <w:pStyle w:val="ListParagraph"/>
        <w:numPr>
          <w:ilvl w:val="0"/>
          <w:numId w:val="1"/>
        </w:numPr>
        <w:spacing w:after="80"/>
      </w:pPr>
      <w:r>
        <w:rPr>
          <w:sz w:val="21"/>
          <w:szCs w:val="21"/>
        </w:rPr>
        <w:t xml:space="preserve">Donut chart: Gender split overall and by department</w:t>
      </w:r>
    </w:p>
    <w:p>
      <w:pPr>
        <w:pStyle w:val="ListParagraph"/>
        <w:numPr>
          <w:ilvl w:val="0"/>
          <w:numId w:val="1"/>
        </w:numPr>
        <w:spacing w:after="80"/>
      </w:pPr>
      <w:r>
        <w:rPr>
          <w:sz w:val="21"/>
          <w:szCs w:val="21"/>
        </w:rPr>
        <w:t xml:space="preserve">Line chart: Hires vs Exits trend by Year</w:t>
      </w:r>
    </w:p>
    <w:p>
      <w:pPr>
        <w:pStyle w:val="ListParagraph"/>
        <w:numPr>
          <w:ilvl w:val="0"/>
          <w:numId w:val="1"/>
        </w:numPr>
        <w:spacing w:after="80"/>
      </w:pPr>
      <w:r>
        <w:rPr>
          <w:sz w:val="21"/>
          <w:szCs w:val="21"/>
        </w:rPr>
        <w:t xml:space="preserve">Box plot or bar chart: Average Salary by JobGrade</w:t>
      </w:r>
    </w:p>
    <w:p>
      <w:pPr>
        <w:pStyle w:val="ListParagraph"/>
        <w:numPr>
          <w:ilvl w:val="0"/>
          <w:numId w:val="1"/>
        </w:numPr>
        <w:spacing w:after="80"/>
      </w:pPr>
      <w:r>
        <w:rPr>
          <w:sz w:val="21"/>
          <w:szCs w:val="21"/>
        </w:rPr>
        <w:t xml:space="preserve">KPI cards: Total Headcount, Attrition Rate %, Average Performance Rating</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Attrition Rate % = COUNTD(Exited employees) / COUNTD(Total employees)</w:t>
      </w:r>
    </w:p>
    <w:p>
      <w:pPr>
        <w:pStyle w:val="ListParagraph"/>
        <w:numPr>
          <w:ilvl w:val="0"/>
          <w:numId w:val="1"/>
        </w:numPr>
        <w:spacing w:after="80"/>
      </w:pPr>
      <w:r>
        <w:rPr>
          <w:sz w:val="21"/>
          <w:szCs w:val="21"/>
        </w:rPr>
        <w:t xml:space="preserve">Average Tenure (years) = AVG(DATEDIFF('year', HireDate, TODAY()))</w:t>
      </w:r>
    </w:p>
    <w:p>
      <w:pPr>
        <w:pStyle w:val="ListParagraph"/>
        <w:numPr>
          <w:ilvl w:val="0"/>
          <w:numId w:val="1"/>
        </w:numPr>
        <w:spacing w:after="80"/>
      </w:pPr>
      <w:r>
        <w:rPr>
          <w:sz w:val="21"/>
          <w:szCs w:val="21"/>
        </w:rPr>
        <w:t xml:space="preserve">Average Performance Rating</w:t>
      </w:r>
    </w:p>
    <w:p>
      <w:pPr>
        <w:pStyle w:val="Heading3"/>
        <w:spacing w:after="100" w:before="200"/>
      </w:pPr>
      <w:r>
        <w:t xml:space="preserve">Internal Control Dashboard</w:t>
      </w:r>
    </w:p>
    <w:p>
      <w:pPr>
        <w:spacing w:after="140"/>
      </w:pPr>
      <w:r>
        <w:rPr>
          <w:i/>
          <w:iCs/>
          <w:sz w:val="21"/>
          <w:szCs w:val="21"/>
        </w:rPr>
        <w:t xml:space="preserve">Primary source sheet(s): InternalControl</w:t>
      </w:r>
    </w:p>
    <w:p>
      <w:pPr>
        <w:spacing w:after="140"/>
      </w:pPr>
      <w:r>
        <w:rPr>
          <w:sz w:val="21"/>
          <w:szCs w:val="21"/>
        </w:rPr>
        <w:t xml:space="preserve">Track audit coverage, finding severity and remediation progress across departments.</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Bar chart: Findings by Department</w:t>
      </w:r>
    </w:p>
    <w:p>
      <w:pPr>
        <w:pStyle w:val="ListParagraph"/>
        <w:numPr>
          <w:ilvl w:val="0"/>
          <w:numId w:val="1"/>
        </w:numPr>
        <w:spacing w:after="80"/>
      </w:pPr>
      <w:r>
        <w:rPr>
          <w:sz w:val="21"/>
          <w:szCs w:val="21"/>
        </w:rPr>
        <w:t xml:space="preserve">Stacked bar chart: Findings by Severity, coloured red/amber/yellow/green</w:t>
      </w:r>
    </w:p>
    <w:p>
      <w:pPr>
        <w:pStyle w:val="ListParagraph"/>
        <w:numPr>
          <w:ilvl w:val="0"/>
          <w:numId w:val="1"/>
        </w:numPr>
        <w:spacing w:after="80"/>
      </w:pPr>
      <w:r>
        <w:rPr>
          <w:sz w:val="21"/>
          <w:szCs w:val="21"/>
        </w:rPr>
        <w:t xml:space="preserve">Donut chart: Findings by Status (Open/In Progress/Closed)</w:t>
      </w:r>
    </w:p>
    <w:p>
      <w:pPr>
        <w:pStyle w:val="ListParagraph"/>
        <w:numPr>
          <w:ilvl w:val="0"/>
          <w:numId w:val="1"/>
        </w:numPr>
        <w:spacing w:after="80"/>
      </w:pPr>
      <w:r>
        <w:rPr>
          <w:sz w:val="21"/>
          <w:szCs w:val="21"/>
        </w:rPr>
        <w:t xml:space="preserve">KPI cards: Open Critical Findings, Finding Closure Rate %, Total Findings This Year</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Finding Closure Rate % = COUNTD(Closed) / COUNTD(Total findings)</w:t>
      </w:r>
    </w:p>
    <w:p>
      <w:pPr>
        <w:pStyle w:val="ListParagraph"/>
        <w:numPr>
          <w:ilvl w:val="0"/>
          <w:numId w:val="1"/>
        </w:numPr>
        <w:spacing w:after="80"/>
      </w:pPr>
      <w:r>
        <w:rPr>
          <w:sz w:val="21"/>
          <w:szCs w:val="21"/>
        </w:rPr>
        <w:t xml:space="preserve">Open Critical Findings (count)</w:t>
      </w:r>
    </w:p>
    <w:p>
      <w:pPr>
        <w:pStyle w:val="Heading3"/>
        <w:spacing w:after="100" w:before="200"/>
      </w:pPr>
      <w:r>
        <w:t xml:space="preserve">Risk Management and Compliance Dashboard</w:t>
      </w:r>
    </w:p>
    <w:p>
      <w:pPr>
        <w:spacing w:after="140"/>
      </w:pPr>
      <w:r>
        <w:rPr>
          <w:i/>
          <w:iCs/>
          <w:sz w:val="21"/>
          <w:szCs w:val="21"/>
        </w:rPr>
        <w:t xml:space="preserve">Primary source sheet(s): RiskComplianceRegister</w:t>
      </w:r>
    </w:p>
    <w:p>
      <w:pPr>
        <w:spacing w:after="140"/>
      </w:pPr>
      <w:r>
        <w:rPr>
          <w:sz w:val="21"/>
          <w:szCs w:val="21"/>
        </w:rPr>
        <w:t xml:space="preserve">Visualise the enterprise risk profile and track mitigation progress.</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Heat map: Likelihood (rows) x Impact (columns), size/colour by count of risks</w:t>
      </w:r>
    </w:p>
    <w:p>
      <w:pPr>
        <w:pStyle w:val="ListParagraph"/>
        <w:numPr>
          <w:ilvl w:val="0"/>
          <w:numId w:val="1"/>
        </w:numPr>
        <w:spacing w:after="80"/>
      </w:pPr>
      <w:r>
        <w:rPr>
          <w:sz w:val="21"/>
          <w:szCs w:val="21"/>
        </w:rPr>
        <w:t xml:space="preserve">Bar chart: Average Risk Score by RiskCategory</w:t>
      </w:r>
    </w:p>
    <w:p>
      <w:pPr>
        <w:pStyle w:val="ListParagraph"/>
        <w:numPr>
          <w:ilvl w:val="0"/>
          <w:numId w:val="1"/>
        </w:numPr>
        <w:spacing w:after="80"/>
      </w:pPr>
      <w:r>
        <w:rPr>
          <w:sz w:val="21"/>
          <w:szCs w:val="21"/>
        </w:rPr>
        <w:t xml:space="preserve">Bar chart: Risks by Department</w:t>
      </w:r>
    </w:p>
    <w:p>
      <w:pPr>
        <w:pStyle w:val="ListParagraph"/>
        <w:numPr>
          <w:ilvl w:val="0"/>
          <w:numId w:val="1"/>
        </w:numPr>
        <w:spacing w:after="80"/>
      </w:pPr>
      <w:r>
        <w:rPr>
          <w:sz w:val="21"/>
          <w:szCs w:val="21"/>
        </w:rPr>
        <w:t xml:space="preserve">Donut chart: Risks by MitigationStatus</w:t>
      </w:r>
    </w:p>
    <w:p>
      <w:pPr>
        <w:pStyle w:val="ListParagraph"/>
        <w:numPr>
          <w:ilvl w:val="0"/>
          <w:numId w:val="1"/>
        </w:numPr>
        <w:spacing w:after="80"/>
      </w:pPr>
      <w:r>
        <w:rPr>
          <w:sz w:val="21"/>
          <w:szCs w:val="21"/>
        </w:rPr>
        <w:t xml:space="preserve">KPI cards: Average Risk Score, High/Critical Risk Count, % Mitigated</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Average Risk Score = AVG(RiskScore)</w:t>
      </w:r>
    </w:p>
    <w:p>
      <w:pPr>
        <w:pStyle w:val="ListParagraph"/>
        <w:numPr>
          <w:ilvl w:val="0"/>
          <w:numId w:val="1"/>
        </w:numPr>
        <w:spacing w:after="80"/>
      </w:pPr>
      <w:r>
        <w:rPr>
          <w:sz w:val="21"/>
          <w:szCs w:val="21"/>
        </w:rPr>
        <w:t xml:space="preserve">% Mitigated = COUNTD(Mitigated) / COUNTD(Total risks)</w:t>
      </w:r>
    </w:p>
    <w:p>
      <w:pPr>
        <w:pStyle w:val="ListParagraph"/>
        <w:numPr>
          <w:ilvl w:val="0"/>
          <w:numId w:val="1"/>
        </w:numPr>
        <w:spacing w:after="80"/>
      </w:pPr>
      <w:r>
        <w:rPr>
          <w:sz w:val="21"/>
          <w:szCs w:val="21"/>
        </w:rPr>
        <w:t xml:space="preserve">High/Critical Risk Count (RiskScore &gt;= 15)</w:t>
      </w:r>
    </w:p>
    <w:p>
      <w:r>
        <w:br w:type="page"/>
      </w:r>
    </w:p>
    <w:p>
      <w:pPr>
        <w:pStyle w:val="Heading1"/>
        <w:spacing w:after="180" w:before="360"/>
      </w:pPr>
      <w:r>
        <w:t xml:space="preserve">6. Quality Checklist Before Publishing a Dashboard</w:t>
      </w:r>
    </w:p>
    <w:p>
      <w:pPr>
        <w:spacing w:after="140"/>
      </w:pPr>
      <w:r>
        <w:rPr>
          <w:sz w:val="21"/>
          <w:szCs w:val="21"/>
        </w:rPr>
        <w:t xml:space="preserve">Before any dashboard is shared with trainees as a finished example, confirm the following:</w:t>
      </w:r>
    </w:p>
    <w:p>
      <w:pPr>
        <w:pStyle w:val="ListParagraph"/>
        <w:numPr>
          <w:ilvl w:val="0"/>
          <w:numId w:val="1"/>
        </w:numPr>
        <w:spacing w:after="80"/>
      </w:pPr>
      <w:r>
        <w:rPr>
          <w:sz w:val="21"/>
          <w:szCs w:val="21"/>
        </w:rPr>
        <w:t xml:space="preserve">Every KPI number ties back to a SUM/AVG/COUNTD over real workbook columns, with no hardcoded values.</w:t>
      </w:r>
    </w:p>
    <w:p>
      <w:pPr>
        <w:pStyle w:val="ListParagraph"/>
        <w:numPr>
          <w:ilvl w:val="0"/>
          <w:numId w:val="1"/>
        </w:numPr>
        <w:spacing w:after="80"/>
      </w:pPr>
      <w:r>
        <w:rPr>
          <w:sz w:val="21"/>
          <w:szCs w:val="21"/>
        </w:rPr>
        <w:t xml:space="preserve">Relationships (not physical joins) are used between fact tables so no measure is inflated by fan-out.</w:t>
      </w:r>
    </w:p>
    <w:p>
      <w:pPr>
        <w:pStyle w:val="ListParagraph"/>
        <w:numPr>
          <w:ilvl w:val="0"/>
          <w:numId w:val="1"/>
        </w:numPr>
        <w:spacing w:after="80"/>
      </w:pPr>
      <w:r>
        <w:rPr>
          <w:sz w:val="21"/>
          <w:szCs w:val="21"/>
        </w:rPr>
        <w:t xml:space="preserve">Every dashboard tab name matches its on-screen title exactly.</w:t>
      </w:r>
    </w:p>
    <w:p>
      <w:pPr>
        <w:pStyle w:val="ListParagraph"/>
        <w:numPr>
          <w:ilvl w:val="0"/>
          <w:numId w:val="1"/>
        </w:numPr>
        <w:spacing w:after="80"/>
      </w:pPr>
      <w:r>
        <w:rPr>
          <w:sz w:val="21"/>
          <w:szCs w:val="21"/>
        </w:rPr>
        <w:t xml:space="preserve">Global filters (Department, Year, Quarter) behave identically on every dashboard.</w:t>
      </w:r>
    </w:p>
    <w:p>
      <w:pPr>
        <w:pStyle w:val="ListParagraph"/>
        <w:numPr>
          <w:ilvl w:val="0"/>
          <w:numId w:val="1"/>
        </w:numPr>
        <w:spacing w:after="80"/>
      </w:pPr>
      <w:r>
        <w:rPr>
          <w:sz w:val="21"/>
          <w:szCs w:val="21"/>
        </w:rPr>
        <w:t xml:space="preserve">All dashboard actions (filter actions, navigation, parameter actions) have been tested by clicking through them at least once.</w:t>
      </w:r>
    </w:p>
    <w:p>
      <w:pPr>
        <w:pStyle w:val="ListParagraph"/>
        <w:numPr>
          <w:ilvl w:val="0"/>
          <w:numId w:val="1"/>
        </w:numPr>
        <w:spacing w:after="80"/>
      </w:pPr>
      <w:r>
        <w:rPr>
          <w:sz w:val="21"/>
          <w:szCs w:val="21"/>
        </w:rPr>
        <w:t xml:space="preserve">Tooltips read as plain English sentences, not raw field lists.</w:t>
      </w:r>
    </w:p>
    <w:p>
      <w:pPr>
        <w:pStyle w:val="ListParagraph"/>
        <w:numPr>
          <w:ilvl w:val="0"/>
          <w:numId w:val="1"/>
        </w:numPr>
        <w:spacing w:after="80"/>
      </w:pPr>
      <w:r>
        <w:rPr>
          <w:sz w:val="21"/>
          <w:szCs w:val="21"/>
        </w:rPr>
        <w:t xml:space="preserve">Colour palette, font and container spacing are identical across all 11 dashboards.</w:t>
      </w:r>
    </w:p>
    <w:p>
      <w:pPr>
        <w:pStyle w:val="ListParagraph"/>
        <w:numPr>
          <w:ilvl w:val="0"/>
          <w:numId w:val="1"/>
        </w:numPr>
        <w:spacing w:after="80"/>
      </w:pPr>
      <w:r>
        <w:rPr>
          <w:sz w:val="21"/>
          <w:szCs w:val="21"/>
        </w:rPr>
        <w:t xml:space="preserve">No hyphen character other than the standard keyboard hyphen (-) appears anywhere in dashboard titles or captions.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Seplat Energy PLC - Tableau Dashboard Building Training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Arial" w:cs="Arial" w:eastAsia="Arial" w:hAnsi="Arial"/>
      <w:b/>
      <w:bCs/>
      <w:color w:val="1F4E78"/>
      <w:sz w:val="30"/>
      <w:szCs w:val="30"/>
    </w:rPr>
  </w:style>
  <w:style w:type="paragraph" w:styleId="Heading2">
    <w:name w:val="Heading 2"/>
    <w:basedOn w:val="Normal"/>
    <w:next w:val="Normal"/>
    <w:qFormat/>
    <w:pPr>
      <w:spacing w:after="120" w:before="240"/>
    </w:pPr>
    <w:rPr>
      <w:rFonts w:ascii="Arial" w:cs="Arial" w:eastAsia="Arial" w:hAnsi="Arial"/>
      <w:b/>
      <w:bCs/>
      <w:color w:val="2E86AB"/>
      <w:sz w:val="25"/>
      <w:szCs w:val="25"/>
    </w:rPr>
  </w:style>
  <w:style w:type="paragraph" w:styleId="Heading3">
    <w:name w:val="Heading 3"/>
    <w:basedOn w:val="Normal"/>
    <w:next w:val="Normal"/>
    <w:qFormat/>
    <w:pPr>
      <w:spacing w:after="100" w:before="180"/>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2026-07-28T18:49:10.651Z</dcterms:created>
  <dcterms:modified xsi:type="dcterms:W3CDTF">2026-07-28T18:49:10.664Z</dcterms:modified>
</cp:coreProperties>
</file>

<file path=docProps/custom.xml><?xml version="1.0" encoding="utf-8"?>
<Properties xmlns="http://schemas.openxmlformats.org/officeDocument/2006/custom-properties" xmlns:vt="http://schemas.openxmlformats.org/officeDocument/2006/docPropsVTypes"/>
</file>