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1F4E78"/>
          <w:sz w:val="52"/>
          <w:szCs w:val="52"/>
        </w:rPr>
        <w:t xml:space="preserve">ABSOLUTE vs RELATIVE</w:t>
      </w:r>
    </w:p>
    <w:p>
      <w:pPr>
        <w:spacing w:after="400"/>
        <w:jc w:val="center"/>
      </w:pPr>
      <w:r>
        <w:rPr>
          <w:rFonts w:ascii="Arial" w:cs="Arial" w:eastAsia="Arial" w:hAnsi="Arial"/>
          <w:b/>
          <w:bCs/>
          <w:color w:val="1F4E78"/>
          <w:sz w:val="52"/>
          <w:szCs w:val="52"/>
        </w:rPr>
        <w:t xml:space="preserve">CELL REFERENCING IN EXCEL</w:t>
      </w:r>
    </w:p>
    <w:p>
      <w:pPr>
        <w:spacing w:after="200"/>
        <w:jc w:val="center"/>
      </w:pPr>
      <w:r>
        <w:rPr>
          <w:rFonts w:ascii="Arial" w:cs="Arial" w:eastAsia="Arial" w:hAnsi="Arial"/>
          <w:i/>
          <w:iCs/>
          <w:color w:val="2E75B6"/>
          <w:sz w:val="26"/>
          <w:szCs w:val="26"/>
        </w:rPr>
        <w:t xml:space="preserve">Complete Teaching Guide, Explanations, and Full Answer Key</w:t>
      </w:r>
    </w:p>
    <w:p>
      <w:pPr>
        <w:spacing w:after="60" w:before="800"/>
        <w:jc w:val="center"/>
      </w:pPr>
      <w:r>
        <w:rPr>
          <w:rFonts w:ascii="Arial" w:cs="Arial" w:eastAsia="Arial" w:hAnsi="Arial"/>
          <w:b/>
          <w:bCs/>
          <w:sz w:val="24"/>
          <w:szCs w:val="24"/>
        </w:rPr>
        <w:t xml:space="preserve">Prodigy Training Hub</w:t>
      </w:r>
    </w:p>
    <w:p>
      <w:pPr>
        <w:spacing w:after="60"/>
        <w:jc w:val="center"/>
      </w:pPr>
      <w:r>
        <w:rPr>
          <w:rFonts w:ascii="Arial" w:cs="Arial" w:eastAsia="Arial" w:hAnsi="Arial"/>
          <w:color w:val="595959"/>
          <w:sz w:val="20"/>
          <w:szCs w:val="20"/>
        </w:rPr>
        <w:t xml:space="preserve">Companion guide to: Absolute_Referencing_Practice.xlsx</w:t>
      </w:r>
    </w:p>
    <w:p>
      <w:pPr>
        <w:spacing w:before="600"/>
        <w:jc w:val="center"/>
      </w:pPr>
      <w:r>
        <w:rPr>
          <w:rFonts w:ascii="Arial" w:cs="Arial" w:eastAsia="Arial" w:hAnsi="Arial"/>
          <w:b/>
          <w:bCs/>
          <w:color w:val="595959"/>
          <w:sz w:val="22"/>
          <w:szCs w:val="22"/>
        </w:rPr>
        <w:t xml:space="preserve">Kajola Gbenga Adewale | Data Expert</w:t>
      </w:r>
    </w:p>
    <w:p>
      <w:r>
        <w:br w:type="page"/>
      </w:r>
    </w:p>
    <w:p>
      <w:pPr>
        <w:pStyle w:val="Heading1"/>
        <w:spacing w:after="160" w:before="320"/>
      </w:pPr>
      <w:r>
        <w:rPr>
          <w:rFonts w:ascii="Arial" w:cs="Arial" w:eastAsia="Arial" w:hAnsi="Arial"/>
          <w:b/>
          <w:bCs/>
          <w:color w:val="1F4E78"/>
        </w:rPr>
        <w:t xml:space="preserve">1. Introduction: Why Reference Locking Matters</w:t>
      </w:r>
    </w:p>
    <w:p>
      <w:pPr>
        <w:spacing w:after="160"/>
      </w:pPr>
      <w:r>
        <w:rPr>
          <w:rFonts w:ascii="Arial" w:cs="Arial" w:eastAsia="Arial" w:hAnsi="Arial"/>
          <w:b w:val="false"/>
          <w:bCs w:val="false"/>
          <w:i w:val="false"/>
          <w:iCs w:val="false"/>
          <w:color w:val="000000"/>
          <w:sz w:val="22"/>
          <w:szCs w:val="22"/>
        </w:rPr>
        <w:t xml:space="preserve">Every formula in Excel is built from cell references, and every cell reference behaves in one of four ways when it is copied to other cells. Understanding which behaviour you are using, and choosing it on purpose, is one of the most important habits a spreadsheet builder can develop. Get it wrong and a formula silently returns the wrong number; get it right and one formula can safely fill an entire report.</w:t>
      </w:r>
    </w:p>
    <w:p>
      <w:pPr>
        <w:spacing w:after="160"/>
      </w:pPr>
      <w:r>
        <w:rPr>
          <w:rFonts w:ascii="Arial" w:cs="Arial" w:eastAsia="Arial" w:hAnsi="Arial"/>
          <w:b w:val="false"/>
          <w:bCs w:val="false"/>
          <w:i w:val="false"/>
          <w:iCs w:val="false"/>
          <w:color w:val="000000"/>
          <w:sz w:val="22"/>
          <w:szCs w:val="22"/>
        </w:rPr>
        <w:t xml:space="preserve">This guide explains the four reference types in plain language, then walks through every practice sheet in </w:t>
      </w:r>
      <w:r>
        <w:rPr>
          <w:rFonts w:ascii="Arial" w:cs="Arial" w:eastAsia="Arial" w:hAnsi="Arial"/>
          <w:b w:val="false"/>
          <w:bCs w:val="false"/>
          <w:i/>
          <w:iCs/>
          <w:color w:val="000000"/>
          <w:sz w:val="22"/>
          <w:szCs w:val="22"/>
        </w:rPr>
        <w:t xml:space="preserve">Absolute_Referencing_Practice.xlsx</w:t>
      </w:r>
      <w:r>
        <w:rPr>
          <w:rFonts w:ascii="Arial" w:cs="Arial" w:eastAsia="Arial" w:hAnsi="Arial"/>
          <w:b w:val="false"/>
          <w:bCs w:val="false"/>
          <w:i w:val="false"/>
          <w:iCs w:val="false"/>
          <w:color w:val="000000"/>
          <w:sz w:val="22"/>
          <w:szCs w:val="22"/>
        </w:rPr>
        <w:t xml:space="preserve">, solving each exercise and explaining exactly why that particular type of reference was the correct choice.</w:t>
      </w:r>
    </w:p>
    <w:p>
      <w:pPr>
        <w:pStyle w:val="Heading1"/>
        <w:spacing w:after="160" w:before="320"/>
      </w:pPr>
      <w:r>
        <w:rPr>
          <w:rFonts w:ascii="Arial" w:cs="Arial" w:eastAsia="Arial" w:hAnsi="Arial"/>
          <w:b/>
          <w:bCs/>
          <w:color w:val="1F4E78"/>
        </w:rPr>
        <w:t xml:space="preserve">2. The Four Types of Cell Reference</w:t>
      </w:r>
    </w:p>
    <w:p>
      <w:pPr>
        <w:spacing w:after="160"/>
      </w:pPr>
      <w:r>
        <w:rPr>
          <w:rFonts w:ascii="Arial" w:cs="Arial" w:eastAsia="Arial" w:hAnsi="Arial"/>
          <w:b w:val="false"/>
          <w:bCs w:val="false"/>
          <w:i w:val="false"/>
          <w:iCs w:val="false"/>
          <w:color w:val="000000"/>
          <w:sz w:val="22"/>
          <w:szCs w:val="22"/>
        </w:rPr>
        <w:t xml:space="preserve">A dollar sign ($) placed in front of the column letter, the row number, or both, tells Excel to keep that part of the reference fixed no matter where the formula is copied.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c>
          <w:tcPr>
            <w:tcW w:type="pct" w:w="15%"/>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Symbol</w:t>
            </w:r>
          </w:p>
        </w:tc>
        <w:tc>
          <w:tcPr>
            <w:tcW w:type="pct" w:w="25%"/>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Name</w:t>
            </w:r>
          </w:p>
        </w:tc>
        <w:tc>
          <w:tcPr>
            <w:tcW w:type="pct" w:w="30%"/>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What is Locked</w:t>
            </w:r>
          </w:p>
        </w:tc>
        <w:tc>
          <w:tcPr>
            <w:tcW w:type="pct" w:w="30%"/>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Behaviour When Copied</w:t>
            </w:r>
          </w:p>
        </w:tc>
      </w:tr>
      <w:tr>
        <w:tc>
          <w:tcPr>
            <w:tcW w:type="pct" w:w="20%"/>
            <w:tcMar>
              <w:top w:type="dxa" w:w="80"/>
              <w:left w:type="dxa" w:w="100"/>
              <w:bottom w:type="dxa" w:w="80"/>
              <w:right w:type="dxa" w:w="100"/>
            </w:tcMar>
            <w:vAlign w:val="center"/>
          </w:tcPr>
          <w:p>
            <w:pPr>
              <w:jc w:val="left"/>
            </w:pPr>
            <w:r>
              <w:rPr>
                <w:rFonts w:ascii="Consolas" w:cs="Consolas" w:eastAsia="Consolas" w:hAnsi="Consolas"/>
                <w:b/>
                <w:bCs/>
                <w:color w:val="1F4E78"/>
                <w:sz w:val="20"/>
                <w:szCs w:val="20"/>
              </w:rPr>
              <w:t xml:space="preserve">A1</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Relative Reference</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Nothing</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Both column and row shift freely in the direction of the copy</w:t>
            </w:r>
          </w:p>
        </w:tc>
      </w:tr>
      <w:tr>
        <w:tc>
          <w:tcPr>
            <w:tcW w:type="pct" w:w="20%"/>
            <w:tcMar>
              <w:top w:type="dxa" w:w="80"/>
              <w:left w:type="dxa" w:w="100"/>
              <w:bottom w:type="dxa" w:w="80"/>
              <w:right w:type="dxa" w:w="100"/>
            </w:tcMar>
            <w:vAlign w:val="center"/>
          </w:tcPr>
          <w:p>
            <w:pPr>
              <w:jc w:val="left"/>
            </w:pPr>
            <w:r>
              <w:rPr>
                <w:rFonts w:ascii="Consolas" w:cs="Consolas" w:eastAsia="Consolas" w:hAnsi="Consolas"/>
                <w:b/>
                <w:bCs/>
                <w:color w:val="1F4E78"/>
                <w:sz w:val="20"/>
                <w:szCs w:val="20"/>
              </w:rPr>
              <w:t xml:space="preserve">$A1</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Mixed - Column Locked</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Column (A)</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Column stays fixed on A; row still shifts</w:t>
            </w:r>
          </w:p>
        </w:tc>
      </w:tr>
      <w:tr>
        <w:tc>
          <w:tcPr>
            <w:tcW w:type="pct" w:w="20%"/>
            <w:tcMar>
              <w:top w:type="dxa" w:w="80"/>
              <w:left w:type="dxa" w:w="100"/>
              <w:bottom w:type="dxa" w:w="80"/>
              <w:right w:type="dxa" w:w="100"/>
            </w:tcMar>
            <w:vAlign w:val="center"/>
          </w:tcPr>
          <w:p>
            <w:pPr>
              <w:jc w:val="left"/>
            </w:pPr>
            <w:r>
              <w:rPr>
                <w:rFonts w:ascii="Consolas" w:cs="Consolas" w:eastAsia="Consolas" w:hAnsi="Consolas"/>
                <w:b/>
                <w:bCs/>
                <w:color w:val="1F4E78"/>
                <w:sz w:val="20"/>
                <w:szCs w:val="20"/>
              </w:rPr>
              <w:t xml:space="preserve">A$1</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Mixed - Row Locked</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Row (1)</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Row stays fixed on 1; column still shifts</w:t>
            </w:r>
          </w:p>
        </w:tc>
      </w:tr>
      <w:tr>
        <w:tc>
          <w:tcPr>
            <w:tcW w:type="pct" w:w="20%"/>
            <w:tcMar>
              <w:top w:type="dxa" w:w="80"/>
              <w:left w:type="dxa" w:w="100"/>
              <w:bottom w:type="dxa" w:w="80"/>
              <w:right w:type="dxa" w:w="100"/>
            </w:tcMar>
            <w:vAlign w:val="center"/>
          </w:tcPr>
          <w:p>
            <w:pPr>
              <w:jc w:val="left"/>
            </w:pPr>
            <w:r>
              <w:rPr>
                <w:rFonts w:ascii="Consolas" w:cs="Consolas" w:eastAsia="Consolas" w:hAnsi="Consolas"/>
                <w:b/>
                <w:bCs/>
                <w:color w:val="1F4E78"/>
                <w:sz w:val="20"/>
                <w:szCs w:val="20"/>
              </w:rPr>
              <w:t xml:space="preserve">$A$1</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Absolute Reference</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Column AND Row</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Nothing shifts; always reads A1</w:t>
            </w:r>
          </w:p>
        </w:tc>
      </w:tr>
    </w:tbl>
    <w:p>
      <w:pPr>
        <w:spacing w:after="160"/>
      </w:pPr>
      <w:r>
        <w:rPr>
          <w:rFonts w:ascii="Arial" w:cs="Arial" w:eastAsia="Arial" w:hAnsi="Arial"/>
          <w:b w:val="false"/>
          <w:bCs w:val="false"/>
          <w:i w:val="false"/>
          <w:iCs w:val="false"/>
          <w:color w:val="000000"/>
          <w:sz w:val="22"/>
          <w:szCs w:val="22"/>
        </w:rPr>
        <w:t xml:space="preserve"> </w:t>
      </w:r>
    </w:p>
    <w:tbl>
      <w:tblPr>
        <w:tblW w:type="pct" w:w="100%"/>
        <w:tblBorders>
          <w:top w:val="single" w:color="9DC3E6" w:sz="4"/>
          <w:left w:val="single" w:color="9DC3E6" w:sz="4"/>
          <w:bottom w:val="single" w:color="9DC3E6" w:sz="4"/>
          <w:right w:val="single" w:color="9DC3E6" w:sz="4"/>
          <w:insideH w:val="none"/>
          <w:insideV w:val="none"/>
        </w:tblBorders>
      </w:tblPr>
      <w:tblGrid>
        <w:gridCol w:w="100"/>
      </w:tblGrid>
      <w:tr>
        <w:tc>
          <w:tcPr>
            <w:shd w:fill="EAF1F8" w:val="clear"/>
            <w:tcMar>
              <w:top w:type="dxa" w:w="160"/>
              <w:left w:type="dxa" w:w="200"/>
              <w:bottom w:type="dxa" w:w="160"/>
              <w:right w:type="dxa" w:w="200"/>
            </w:tcMar>
          </w:tcPr>
          <w:p>
            <w:r>
              <w:rPr>
                <w:rFonts w:ascii="Arial" w:cs="Arial" w:eastAsia="Arial" w:hAnsi="Arial"/>
                <w:b/>
                <w:bCs/>
                <w:i w:val="false"/>
                <w:iCs w:val="false"/>
                <w:color w:val="1F4E78"/>
                <w:sz w:val="22"/>
                <w:szCs w:val="22"/>
              </w:rPr>
              <w:t xml:space="preserve">PRO TIP: </w:t>
            </w:r>
            <w:r>
              <w:rPr>
                <w:rFonts w:ascii="Arial" w:cs="Arial" w:eastAsia="Arial" w:hAnsi="Arial"/>
                <w:b w:val="false"/>
                <w:bCs w:val="false"/>
                <w:i w:val="false"/>
                <w:iCs w:val="false"/>
                <w:color w:val="000000"/>
                <w:sz w:val="22"/>
                <w:szCs w:val="22"/>
              </w:rPr>
              <w:t xml:space="preserve">Click a cell reference inside a formula in the formula bar and press F4 (Windows) or Cmd+T (Mac) to cycle automatically through A1 -&gt; $A$1 -&gt; A$1 -&gt; $A1 -&gt; A1.</w:t>
            </w:r>
          </w:p>
        </w:tc>
      </w:tr>
    </w:tbl>
    <w:p>
      <w:pPr>
        <w:spacing w:after="160"/>
      </w:pPr>
      <w:r>
        <w:rPr>
          <w:rFonts w:ascii="Arial" w:cs="Arial" w:eastAsia="Arial" w:hAnsi="Arial"/>
          <w:b w:val="false"/>
          <w:bCs w:val="false"/>
          <w:i w:val="false"/>
          <w:iCs w:val="false"/>
          <w:color w:val="000000"/>
          <w:sz w:val="22"/>
          <w:szCs w:val="22"/>
        </w:rPr>
        <w:t xml:space="preserve"> </w:t>
      </w:r>
    </w:p>
    <w:p>
      <w:pPr>
        <w:spacing w:after="160"/>
      </w:pPr>
      <w:r>
        <w:rPr>
          <w:rFonts w:ascii="Arial" w:cs="Arial" w:eastAsia="Arial" w:hAnsi="Arial"/>
          <w:b w:val="false"/>
          <w:bCs w:val="false"/>
          <w:i w:val="false"/>
          <w:iCs w:val="false"/>
          <w:color w:val="000000"/>
          <w:sz w:val="22"/>
          <w:szCs w:val="22"/>
        </w:rPr>
        <w:t xml:space="preserve">The rule of thumb used throughout this guide: </w:t>
      </w:r>
      <w:r>
        <w:rPr>
          <w:rFonts w:ascii="Arial" w:cs="Arial" w:eastAsia="Arial" w:hAnsi="Arial"/>
          <w:b/>
          <w:bCs/>
          <w:i w:val="false"/>
          <w:iCs w:val="false"/>
          <w:color w:val="000000"/>
          <w:sz w:val="22"/>
          <w:szCs w:val="22"/>
        </w:rPr>
        <w:t xml:space="preserve">lock the column when you are copying a formula ACROSS columns and need it to keep referring to one column; lock the row when you are copying DOWN rows and need it to keep referring to one row; lock both when a formula will be copied in both directions, or whenever you are simply not sure.</w:t>
      </w:r>
    </w:p>
    <w:p>
      <w:pPr>
        <w:pStyle w:val="Heading1"/>
        <w:spacing w:after="160" w:before="320"/>
      </w:pPr>
      <w:r>
        <w:rPr>
          <w:rFonts w:ascii="Arial" w:cs="Arial" w:eastAsia="Arial" w:hAnsi="Arial"/>
          <w:b/>
          <w:bCs/>
          <w:color w:val="1F4E78"/>
        </w:rPr>
        <w:t xml:space="preserve">3. Solutions and Explanations, Sheet by Sheet</w:t>
      </w:r>
    </w:p>
    <w:p>
      <w:pPr>
        <w:pStyle w:val="Heading2"/>
        <w:spacing w:after="160" w:before="320"/>
      </w:pPr>
      <w:r>
        <w:rPr>
          <w:rFonts w:ascii="Arial" w:cs="Arial" w:eastAsia="Arial" w:hAnsi="Arial"/>
          <w:b/>
          <w:bCs/>
          <w:color w:val="1F4E78"/>
        </w:rPr>
        <w:t xml:space="preserve">3.1  Sheet “1. Relative Reference” – The Problem</w:t>
      </w:r>
    </w:p>
    <w:p>
      <w:pPr>
        <w:spacing w:after="160"/>
      </w:pPr>
      <w:r>
        <w:rPr>
          <w:rFonts w:ascii="Arial" w:cs="Arial" w:eastAsia="Arial" w:hAnsi="Arial"/>
          <w:b/>
          <w:bCs/>
          <w:i w:val="false"/>
          <w:iCs w:val="false"/>
          <w:color w:val="000000"/>
          <w:sz w:val="22"/>
          <w:szCs w:val="22"/>
        </w:rPr>
        <w:t xml:space="preserve">Scenario: </w:t>
      </w:r>
      <w:r>
        <w:rPr>
          <w:rFonts w:ascii="Arial" w:cs="Arial" w:eastAsia="Arial" w:hAnsi="Arial"/>
          <w:b w:val="false"/>
          <w:bCs w:val="false"/>
          <w:i w:val="false"/>
          <w:iCs w:val="false"/>
          <w:color w:val="000000"/>
          <w:sz w:val="22"/>
          <w:szCs w:val="22"/>
        </w:rPr>
        <w:t xml:space="preserve">Prodigy Retail gives every product the same discount rate, stored once in a single cell. A plain formula multiplies each product's price by that one cell, then gets copied down the column.</w:t>
      </w:r>
    </w:p>
    <w:p>
      <w:pPr>
        <w:spacing w:after="160"/>
      </w:pPr>
      <w:r>
        <w:rPr>
          <w:rFonts w:ascii="Arial" w:cs="Arial" w:eastAsia="Arial" w:hAnsi="Arial"/>
          <w:b/>
          <w:bCs/>
          <w:i w:val="false"/>
          <w:iCs w:val="false"/>
          <w:color w:val="000000"/>
          <w:sz w:val="22"/>
          <w:szCs w:val="22"/>
        </w:rPr>
        <w:t xml:space="preserve">What goes wrong: </w:t>
      </w:r>
      <w:r>
        <w:rPr>
          <w:rFonts w:ascii="Arial" w:cs="Arial" w:eastAsia="Arial" w:hAnsi="Arial"/>
          <w:b w:val="false"/>
          <w:bCs w:val="false"/>
          <w:i w:val="false"/>
          <w:iCs w:val="false"/>
          <w:color w:val="000000"/>
          <w:sz w:val="22"/>
          <w:szCs w:val="22"/>
        </w:rPr>
        <w:t xml:space="preserve">Because a relative reference shifts by one row for every row it is copied into, the second copy no longer points at the discount rate. It points at whatever happens to sit one row below it, and Excel still happily multiplies the two numbers together and shows a result, even though that result is meaningless.</w:t>
      </w:r>
    </w:p>
    <w:p>
      <w:pPr>
        <w:pStyle w:val="Heading3"/>
        <w:spacing w:after="160" w:before="320"/>
      </w:pPr>
      <w:r>
        <w:rPr>
          <w:rFonts w:ascii="Arial" w:cs="Arial" w:eastAsia="Arial" w:hAnsi="Arial"/>
          <w:b/>
          <w:bCs/>
          <w:color w:val="1F4E78"/>
        </w:rPr>
        <w:t xml:space="preserve">Your Turn Solution (worked out)</w:t>
      </w:r>
    </w:p>
    <w:p>
      <w:pPr>
        <w:spacing w:after="160"/>
      </w:pPr>
      <w:r>
        <w:rPr>
          <w:rFonts w:ascii="Arial" w:cs="Arial" w:eastAsia="Arial" w:hAnsi="Arial"/>
          <w:b w:val="false"/>
          <w:bCs w:val="false"/>
          <w:i w:val="false"/>
          <w:iCs w:val="false"/>
          <w:color w:val="000000"/>
          <w:sz w:val="22"/>
          <w:szCs w:val="22"/>
        </w:rPr>
        <w:t xml:space="preserve">The task was: type </w:t>
      </w:r>
      <w:r>
        <w:rPr>
          <w:rFonts w:ascii="Consolas" w:cs="Consolas" w:eastAsia="Consolas" w:hAnsi="Consolas"/>
          <w:b/>
          <w:bCs/>
          <w:color w:val="1F4E78"/>
          <w:sz w:val="21"/>
          <w:szCs w:val="21"/>
        </w:rPr>
        <w:t xml:space="preserve">=B21*B19</w:t>
      </w:r>
      <w:r>
        <w:rPr>
          <w:rFonts w:ascii="Arial" w:cs="Arial" w:eastAsia="Arial" w:hAnsi="Arial"/>
          <w:b w:val="false"/>
          <w:bCs w:val="false"/>
          <w:i w:val="false"/>
          <w:iCs w:val="false"/>
          <w:color w:val="000000"/>
          <w:sz w:val="22"/>
          <w:szCs w:val="22"/>
        </w:rPr>
        <w:t xml:space="preserve"> in cell C21, then copy it down to C22:C24. Here is exactly what happens at each row:</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c>
          <w:tcPr>
            <w:tcW w:type="pct" w:w="12%"/>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Cell</w:t>
            </w:r>
          </w:p>
        </w:tc>
        <w:tc>
          <w:tcPr>
            <w:tcW w:type="pct" w:w="33%"/>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Formula After Copying</w:t>
            </w:r>
          </w:p>
        </w:tc>
        <w:tc>
          <w:tcPr>
            <w:tcW w:type="pct" w:w="20%"/>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Result</w:t>
            </w:r>
          </w:p>
        </w:tc>
        <w:tc>
          <w:tcPr>
            <w:tcW w:type="pct" w:w="35%"/>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Why</w:t>
            </w:r>
          </w:p>
        </w:tc>
      </w:tr>
      <w:tr>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C21</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1F4E78"/>
                <w:sz w:val="20"/>
                <w:szCs w:val="20"/>
              </w:rPr>
              <w:t xml:space="preserve">=B21*B19</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6,200</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Correct. B19 is genuinely the 10% discount rate here.</w:t>
            </w:r>
          </w:p>
        </w:tc>
      </w:tr>
      <w:tr>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C22</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9C0006"/>
                <w:sz w:val="20"/>
                <w:szCs w:val="20"/>
              </w:rPr>
              <w:t xml:space="preserve">=B22*B20</w:t>
            </w:r>
          </w:p>
        </w:tc>
        <w:tc>
          <w:tcPr>
            <w:tcW w:type="pct" w:w="20%"/>
            <w:shd w:fill="FCE4E4" w:val="clear"/>
            <w:tcMar>
              <w:top w:type="dxa" w:w="80"/>
              <w:left w:type="dxa" w:w="100"/>
              <w:bottom w:type="dxa" w:w="80"/>
              <w:right w:type="dxa" w:w="100"/>
            </w:tcMar>
            <w:vAlign w:val="center"/>
          </w:tcPr>
          <w:p>
            <w:pPr>
              <w:jc w:val="center"/>
            </w:pPr>
            <w:r>
              <w:rPr>
                <w:rFonts w:ascii="Arial" w:cs="Arial" w:eastAsia="Arial" w:hAnsi="Arial"/>
                <w:b/>
                <w:bCs/>
                <w:color w:val="9C0006"/>
                <w:sz w:val="20"/>
                <w:szCs w:val="20"/>
              </w:rPr>
              <w:t xml:space="preserve">#VALUE!</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B20 is the text header “Discount Amount”, not a number, so Excel cannot multiply it.</w:t>
            </w:r>
          </w:p>
        </w:tc>
      </w:tr>
      <w:tr>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C23</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9C0006"/>
                <w:sz w:val="20"/>
                <w:szCs w:val="20"/>
              </w:rPr>
              <w:t xml:space="preserve">=B23*B21</w:t>
            </w:r>
          </w:p>
        </w:tc>
        <w:tc>
          <w:tcPr>
            <w:tcW w:type="pct" w:w="20%"/>
            <w:shd w:fill="FCE4E4" w:val="clear"/>
            <w:tcMar>
              <w:top w:type="dxa" w:w="80"/>
              <w:left w:type="dxa" w:w="100"/>
              <w:bottom w:type="dxa" w:w="80"/>
              <w:right w:type="dxa" w:w="100"/>
            </w:tcMar>
            <w:vAlign w:val="center"/>
          </w:tcPr>
          <w:p>
            <w:pPr>
              <w:jc w:val="center"/>
            </w:pPr>
            <w:r>
              <w:rPr>
                <w:rFonts w:ascii="Arial" w:cs="Arial" w:eastAsia="Arial" w:hAnsi="Arial"/>
                <w:b/>
                <w:bCs/>
                <w:color w:val="9C0006"/>
                <w:sz w:val="20"/>
                <w:szCs w:val="20"/>
              </w:rPr>
              <w:t xml:space="preserve">567,000,000</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B21 is the price of Beans (₦62,000), not the discount rate, so two prices get multiplied together.</w:t>
            </w:r>
          </w:p>
        </w:tc>
      </w:tr>
      <w:tr>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C24</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9C0006"/>
                <w:sz w:val="20"/>
                <w:szCs w:val="20"/>
              </w:rPr>
              <w:t xml:space="preserve">=B24*B22</w:t>
            </w:r>
          </w:p>
        </w:tc>
        <w:tc>
          <w:tcPr>
            <w:tcW w:type="pct" w:w="20%"/>
            <w:shd w:fill="FCE4E4" w:val="clear"/>
            <w:tcMar>
              <w:top w:type="dxa" w:w="80"/>
              <w:left w:type="dxa" w:w="100"/>
              <w:bottom w:type="dxa" w:w="80"/>
              <w:right w:type="dxa" w:w="100"/>
            </w:tcMar>
            <w:vAlign w:val="center"/>
          </w:tcPr>
          <w:p>
            <w:pPr>
              <w:jc w:val="center"/>
            </w:pPr>
            <w:r>
              <w:rPr>
                <w:rFonts w:ascii="Arial" w:cs="Arial" w:eastAsia="Arial" w:hAnsi="Arial"/>
                <w:b/>
                <w:bCs/>
                <w:color w:val="9C0006"/>
                <w:sz w:val="20"/>
                <w:szCs w:val="20"/>
              </w:rPr>
              <w:t xml:space="preserve">409,500,000</w:t>
            </w:r>
          </w:p>
        </w:tc>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B22 is the price of Garri, not the discount rate, so again two prices get multiplied together.</w:t>
            </w:r>
          </w:p>
        </w:tc>
      </w:tr>
    </w:tbl>
    <w:p>
      <w:pPr>
        <w:spacing w:after="160"/>
      </w:pPr>
      <w:r>
        <w:rPr>
          <w:rFonts w:ascii="Arial" w:cs="Arial" w:eastAsia="Arial" w:hAnsi="Arial"/>
          <w:b w:val="false"/>
          <w:bCs w:val="false"/>
          <w:i w:val="false"/>
          <w:iCs w:val="false"/>
          <w:color w:val="000000"/>
          <w:sz w:val="22"/>
          <w:szCs w:val="22"/>
        </w:rPr>
        <w:t xml:space="preserve"> </w:t>
      </w:r>
    </w:p>
    <w:tbl>
      <w:tblPr>
        <w:tblW w:type="pct" w:w="100%"/>
        <w:tblBorders>
          <w:top w:val="single" w:color="9DC3E6" w:sz="4"/>
          <w:left w:val="single" w:color="9DC3E6" w:sz="4"/>
          <w:bottom w:val="single" w:color="9DC3E6" w:sz="4"/>
          <w:right w:val="single" w:color="9DC3E6" w:sz="4"/>
          <w:insideH w:val="none"/>
          <w:insideV w:val="none"/>
        </w:tblBorders>
      </w:tblPr>
      <w:tblGrid>
        <w:gridCol w:w="100"/>
      </w:tblGrid>
      <w:tr>
        <w:tc>
          <w:tcPr>
            <w:shd w:fill="EAF1F8" w:val="clear"/>
            <w:tcMar>
              <w:top w:type="dxa" w:w="160"/>
              <w:left w:type="dxa" w:w="200"/>
              <w:bottom w:type="dxa" w:w="160"/>
              <w:right w:type="dxa" w:w="200"/>
            </w:tcMar>
          </w:tcPr>
          <w:p>
            <w:r>
              <w:rPr>
                <w:rFonts w:ascii="Arial" w:cs="Arial" w:eastAsia="Arial" w:hAnsi="Arial"/>
                <w:b/>
                <w:bCs/>
                <w:i w:val="false"/>
                <w:iCs w:val="false"/>
                <w:color w:val="1F4E78"/>
                <w:sz w:val="22"/>
                <w:szCs w:val="22"/>
              </w:rPr>
              <w:t xml:space="preserve">WHY THIS HAPPENED: </w:t>
            </w:r>
            <w:r>
              <w:rPr>
                <w:rFonts w:ascii="Arial" w:cs="Arial" w:eastAsia="Arial" w:hAnsi="Arial"/>
                <w:b w:val="false"/>
                <w:bCs w:val="false"/>
                <w:i w:val="false"/>
                <w:iCs w:val="false"/>
                <w:color w:val="000000"/>
                <w:sz w:val="22"/>
                <w:szCs w:val="22"/>
              </w:rPr>
              <w:t xml:space="preserve">A relative reference has no memory of what the cell it points to actually means, only where it sits. Every time the formula moved one row down, Excel obediently moved the reference one row down too, regardless of whether a discount rate, a text header, or a price happened to be sitting there. The fix, shown in the next two sheets, is to tell Excel explicitly which part of the reference must never move.</w:t>
            </w:r>
          </w:p>
        </w:tc>
      </w:tr>
    </w:tbl>
    <w:p>
      <w:pPr>
        <w:pStyle w:val="Heading2"/>
        <w:spacing w:after="160" w:before="320"/>
      </w:pPr>
      <w:r>
        <w:rPr>
          <w:rFonts w:ascii="Arial" w:cs="Arial" w:eastAsia="Arial" w:hAnsi="Arial"/>
          <w:b/>
          <w:bCs/>
          <w:color w:val="1F4E78"/>
        </w:rPr>
        <w:t xml:space="preserve">3.2  Sheet “2. Column Lock” – $A1</w:t>
      </w:r>
    </w:p>
    <w:p>
      <w:pPr>
        <w:spacing w:after="160"/>
      </w:pPr>
      <w:r>
        <w:rPr>
          <w:rFonts w:ascii="Arial" w:cs="Arial" w:eastAsia="Arial" w:hAnsi="Arial"/>
          <w:b/>
          <w:bCs/>
          <w:i w:val="false"/>
          <w:iCs w:val="false"/>
          <w:color w:val="000000"/>
          <w:sz w:val="22"/>
          <w:szCs w:val="22"/>
        </w:rPr>
        <w:t xml:space="preserve">Scenario: </w:t>
      </w:r>
      <w:r>
        <w:rPr>
          <w:rFonts w:ascii="Arial" w:cs="Arial" w:eastAsia="Arial" w:hAnsi="Arial"/>
          <w:b w:val="false"/>
          <w:bCs w:val="false"/>
          <w:i w:val="false"/>
          <w:iCs w:val="false"/>
          <w:color w:val="000000"/>
          <w:sz w:val="22"/>
          <w:szCs w:val="22"/>
        </w:rPr>
        <w:t xml:space="preserve">Prodigy Tech Academy tracks enrolment for 5 cohorts, arranged across columns B to F, and needs each cohort's percentage of ONE fixed enrolment target held in a single cell, H17. The formula is copied ACROSS the row, not down.</w:t>
      </w:r>
    </w:p>
    <w:p>
      <w:pPr>
        <w:spacing w:after="160"/>
      </w:pPr>
      <w:r>
        <w:rPr>
          <w:rFonts w:ascii="Arial" w:cs="Arial" w:eastAsia="Arial" w:hAnsi="Arial"/>
          <w:b/>
          <w:bCs/>
          <w:i w:val="false"/>
          <w:iCs w:val="false"/>
          <w:color w:val="000000"/>
          <w:sz w:val="22"/>
          <w:szCs w:val="22"/>
        </w:rPr>
        <w:t xml:space="preserve">Solution: </w:t>
      </w:r>
      <w:r>
        <w:rPr>
          <w:rFonts w:ascii="Arial" w:cs="Arial" w:eastAsia="Arial" w:hAnsi="Arial"/>
          <w:b w:val="false"/>
          <w:bCs w:val="false"/>
          <w:i w:val="false"/>
          <w:iCs w:val="false"/>
          <w:color w:val="000000"/>
          <w:sz w:val="22"/>
          <w:szCs w:val="22"/>
        </w:rPr>
        <w:t xml:space="preserve">Type </w:t>
      </w:r>
      <w:r>
        <w:rPr>
          <w:rFonts w:ascii="Consolas" w:cs="Consolas" w:eastAsia="Consolas" w:hAnsi="Consolas"/>
          <w:b/>
          <w:bCs/>
          <w:color w:val="1F4E78"/>
          <w:sz w:val="21"/>
          <w:szCs w:val="21"/>
        </w:rPr>
        <w:t xml:space="preserve">=B19/$H17</w:t>
      </w:r>
      <w:r>
        <w:rPr>
          <w:rFonts w:ascii="Arial" w:cs="Arial" w:eastAsia="Arial" w:hAnsi="Arial"/>
          <w:b w:val="false"/>
          <w:bCs w:val="false"/>
          <w:i w:val="false"/>
          <w:iCs w:val="false"/>
          <w:color w:val="000000"/>
          <w:sz w:val="22"/>
          <w:szCs w:val="22"/>
        </w:rPr>
        <w:t xml:space="preserve"> in cell B20, then copy it across to C20:F20.</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c>
          <w:tcPr>
            <w:tcW w:type="pct" w:w="16%"/>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
            </w:r>
          </w:p>
        </w:tc>
        <w:tc>
          <w:tcPr>
            <w:tcW w:type="pct" w:w="21%"/>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Cohort 1</w:t>
            </w:r>
          </w:p>
        </w:tc>
        <w:tc>
          <w:tcPr>
            <w:tcW w:type="pct" w:w="21%"/>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Cohort 2</w:t>
            </w:r>
          </w:p>
        </w:tc>
        <w:tc>
          <w:tcPr>
            <w:tcW w:type="pct" w:w="21%"/>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Cohort 3</w:t>
            </w:r>
          </w:p>
        </w:tc>
        <w:tc>
          <w:tcPr>
            <w:tcW w:type="pct" w:w="21%"/>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Cohort 4/5</w:t>
            </w:r>
          </w:p>
        </w:tc>
      </w:tr>
      <w:tr>
        <w:tc>
          <w:tcPr>
            <w:tcW w:type="pct" w:w="20%"/>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Enrolled</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82</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95</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110</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88 / 101</w:t>
            </w:r>
          </w:p>
        </w:tc>
      </w:tr>
      <w:tr>
        <w:tc>
          <w:tcPr>
            <w:tcW w:type="pct" w:w="20%"/>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Formula</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=B19/$H17</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=C19/$H17</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=D19/$H17</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=E19/$H17 , =F19/$H17</w:t>
            </w:r>
          </w:p>
        </w:tc>
      </w:tr>
      <w:tr>
        <w:tc>
          <w:tcPr>
            <w:tcW w:type="pct" w:w="20%"/>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 of Target</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16.4%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19.0%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22.0%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17.6% / 20.2%</w:t>
            </w:r>
          </w:p>
        </w:tc>
      </w:tr>
    </w:tbl>
    <w:p>
      <w:pPr>
        <w:spacing w:after="160"/>
      </w:pPr>
      <w:r>
        <w:rPr>
          <w:rFonts w:ascii="Arial" w:cs="Arial" w:eastAsia="Arial" w:hAnsi="Arial"/>
          <w:b w:val="false"/>
          <w:bCs w:val="false"/>
          <w:i w:val="false"/>
          <w:iCs w:val="false"/>
          <w:color w:val="000000"/>
          <w:sz w:val="22"/>
          <w:szCs w:val="22"/>
        </w:rPr>
        <w:t xml:space="preserve"> </w:t>
      </w:r>
    </w:p>
    <w:tbl>
      <w:tblPr>
        <w:tblW w:type="pct" w:w="100%"/>
        <w:tblBorders>
          <w:top w:val="single" w:color="9DC3E6" w:sz="4"/>
          <w:left w:val="single" w:color="9DC3E6" w:sz="4"/>
          <w:bottom w:val="single" w:color="9DC3E6" w:sz="4"/>
          <w:right w:val="single" w:color="9DC3E6" w:sz="4"/>
          <w:insideH w:val="none"/>
          <w:insideV w:val="none"/>
        </w:tblBorders>
      </w:tblPr>
      <w:tblGrid>
        <w:gridCol w:w="100"/>
      </w:tblGrid>
      <w:tr>
        <w:tc>
          <w:tcPr>
            <w:shd w:fill="EAF1F8" w:val="clear"/>
            <w:tcMar>
              <w:top w:type="dxa" w:w="160"/>
              <w:left w:type="dxa" w:w="200"/>
              <w:bottom w:type="dxa" w:w="160"/>
              <w:right w:type="dxa" w:w="200"/>
            </w:tcMar>
          </w:tcPr>
          <w:p>
            <w:r>
              <w:rPr>
                <w:rFonts w:ascii="Arial" w:cs="Arial" w:eastAsia="Arial" w:hAnsi="Arial"/>
                <w:b/>
                <w:bCs/>
                <w:i w:val="false"/>
                <w:iCs w:val="false"/>
                <w:color w:val="1F4E78"/>
                <w:sz w:val="22"/>
                <w:szCs w:val="22"/>
              </w:rPr>
              <w:t xml:space="preserve">WHY $H17 AND NOT $H$17: </w:t>
            </w:r>
            <w:r>
              <w:rPr>
                <w:rFonts w:ascii="Arial" w:cs="Arial" w:eastAsia="Arial" w:hAnsi="Arial"/>
                <w:b w:val="false"/>
                <w:bCs w:val="false"/>
                <w:i w:val="false"/>
                <w:iCs w:val="false"/>
                <w:color w:val="000000"/>
                <w:sz w:val="22"/>
                <w:szCs w:val="22"/>
              </w:rPr>
              <w:t xml:space="preserve">The formula is only ever copied sideways in this exercise, never down. Locking the column (the $ before H) is what stops the target cell from sliding into column I, J, K as the formula moves right. The row number was left free on purpose to show that it is not needed here, though locking it too ($H$17) would also have worked and is a safe habit if you are not sure which direction a formula might later be copied.</w:t>
            </w:r>
          </w:p>
        </w:tc>
      </w:tr>
    </w:tbl>
    <w:p>
      <w:pPr>
        <w:pStyle w:val="Heading2"/>
        <w:spacing w:after="160" w:before="320"/>
      </w:pPr>
      <w:r>
        <w:rPr>
          <w:rFonts w:ascii="Arial" w:cs="Arial" w:eastAsia="Arial" w:hAnsi="Arial"/>
          <w:b/>
          <w:bCs/>
          <w:color w:val="1F4E78"/>
        </w:rPr>
        <w:t xml:space="preserve">3.3  Sheet “3. Row Lock” – A$1</w:t>
      </w:r>
    </w:p>
    <w:p>
      <w:pPr>
        <w:spacing w:after="160"/>
      </w:pPr>
      <w:r>
        <w:rPr>
          <w:rFonts w:ascii="Arial" w:cs="Arial" w:eastAsia="Arial" w:hAnsi="Arial"/>
          <w:b/>
          <w:bCs/>
          <w:i w:val="false"/>
          <w:iCs w:val="false"/>
          <w:color w:val="000000"/>
          <w:sz w:val="22"/>
          <w:szCs w:val="22"/>
        </w:rPr>
        <w:t xml:space="preserve">Scenario: </w:t>
      </w:r>
      <w:r>
        <w:rPr>
          <w:rFonts w:ascii="Arial" w:cs="Arial" w:eastAsia="Arial" w:hAnsi="Arial"/>
          <w:b w:val="false"/>
          <w:bCs w:val="false"/>
          <w:i w:val="false"/>
          <w:iCs w:val="false"/>
          <w:color w:val="000000"/>
          <w:sz w:val="22"/>
          <w:szCs w:val="22"/>
        </w:rPr>
        <w:t xml:space="preserve">Every student at Prodigy Tech Academy pays the same fixed exam registration fee, held once in cell B17. A list of students and their course fees runs down the rows, and the total payable is calculated by copying the formula DOWN the column.</w:t>
      </w:r>
    </w:p>
    <w:p>
      <w:pPr>
        <w:spacing w:after="160"/>
      </w:pPr>
      <w:r>
        <w:rPr>
          <w:rFonts w:ascii="Arial" w:cs="Arial" w:eastAsia="Arial" w:hAnsi="Arial"/>
          <w:b/>
          <w:bCs/>
          <w:i w:val="false"/>
          <w:iCs w:val="false"/>
          <w:color w:val="000000"/>
          <w:sz w:val="22"/>
          <w:szCs w:val="22"/>
        </w:rPr>
        <w:t xml:space="preserve">Solution: </w:t>
      </w:r>
      <w:r>
        <w:rPr>
          <w:rFonts w:ascii="Arial" w:cs="Arial" w:eastAsia="Arial" w:hAnsi="Arial"/>
          <w:b w:val="false"/>
          <w:bCs w:val="false"/>
          <w:i w:val="false"/>
          <w:iCs w:val="false"/>
          <w:color w:val="000000"/>
          <w:sz w:val="22"/>
          <w:szCs w:val="22"/>
        </w:rPr>
        <w:t xml:space="preserve">Type </w:t>
      </w:r>
      <w:r>
        <w:rPr>
          <w:rFonts w:ascii="Consolas" w:cs="Consolas" w:eastAsia="Consolas" w:hAnsi="Consolas"/>
          <w:b/>
          <w:bCs/>
          <w:color w:val="1F4E78"/>
          <w:sz w:val="21"/>
          <w:szCs w:val="21"/>
        </w:rPr>
        <w:t xml:space="preserve">=B19+B$17</w:t>
      </w:r>
      <w:r>
        <w:rPr>
          <w:rFonts w:ascii="Arial" w:cs="Arial" w:eastAsia="Arial" w:hAnsi="Arial"/>
          <w:b w:val="false"/>
          <w:bCs w:val="false"/>
          <w:i w:val="false"/>
          <w:iCs w:val="false"/>
          <w:color w:val="000000"/>
          <w:sz w:val="22"/>
          <w:szCs w:val="22"/>
        </w:rPr>
        <w:t xml:space="preserve"> in cell C19, then copy it down to C20:C22.</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c>
          <w:tcPr>
            <w:tcW w:type="pct" w:w="30%"/>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Student</w:t>
            </w:r>
          </w:p>
        </w:tc>
        <w:tc>
          <w:tcPr>
            <w:tcW w:type="pct" w:w="22%"/>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Course Fee (N)</w:t>
            </w:r>
          </w:p>
        </w:tc>
        <w:tc>
          <w:tcPr>
            <w:tcW w:type="pct" w:w="26%"/>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Formula</w:t>
            </w:r>
          </w:p>
        </w:tc>
        <w:tc>
          <w:tcPr>
            <w:tcW w:type="pct" w:w="22%"/>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Total Payable (N)</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Bola Adeyemi</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65,000</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=B19+B$17</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70,000</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Femi Alabi</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65,000</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=B20+B$17</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70,000</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Grace Nwosu</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72,000</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=B21+B$17</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77,000</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Hassan Yusuf</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72,000</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=B22+B$17</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77,000</w:t>
            </w:r>
          </w:p>
        </w:tc>
      </w:tr>
    </w:tbl>
    <w:p>
      <w:pPr>
        <w:spacing w:after="160"/>
      </w:pPr>
      <w:r>
        <w:rPr>
          <w:rFonts w:ascii="Arial" w:cs="Arial" w:eastAsia="Arial" w:hAnsi="Arial"/>
          <w:b w:val="false"/>
          <w:bCs w:val="false"/>
          <w:i w:val="false"/>
          <w:iCs w:val="false"/>
          <w:color w:val="000000"/>
          <w:sz w:val="22"/>
          <w:szCs w:val="22"/>
        </w:rPr>
        <w:t xml:space="preserve"> </w:t>
      </w:r>
    </w:p>
    <w:tbl>
      <w:tblPr>
        <w:tblW w:type="pct" w:w="100%"/>
        <w:tblBorders>
          <w:top w:val="single" w:color="9DC3E6" w:sz="4"/>
          <w:left w:val="single" w:color="9DC3E6" w:sz="4"/>
          <w:bottom w:val="single" w:color="9DC3E6" w:sz="4"/>
          <w:right w:val="single" w:color="9DC3E6" w:sz="4"/>
          <w:insideH w:val="none"/>
          <w:insideV w:val="none"/>
        </w:tblBorders>
      </w:tblPr>
      <w:tblGrid>
        <w:gridCol w:w="100"/>
      </w:tblGrid>
      <w:tr>
        <w:tc>
          <w:tcPr>
            <w:shd w:fill="EAF1F8" w:val="clear"/>
            <w:tcMar>
              <w:top w:type="dxa" w:w="160"/>
              <w:left w:type="dxa" w:w="200"/>
              <w:bottom w:type="dxa" w:w="160"/>
              <w:right w:type="dxa" w:w="200"/>
            </w:tcMar>
          </w:tcPr>
          <w:p>
            <w:r>
              <w:rPr>
                <w:rFonts w:ascii="Arial" w:cs="Arial" w:eastAsia="Arial" w:hAnsi="Arial"/>
                <w:b/>
                <w:bCs/>
                <w:i w:val="false"/>
                <w:iCs w:val="false"/>
                <w:color w:val="1F4E78"/>
                <w:sz w:val="22"/>
                <w:szCs w:val="22"/>
              </w:rPr>
              <w:t xml:space="preserve">WHY B$17 AND NOT $B$17: </w:t>
            </w:r>
            <w:r>
              <w:rPr>
                <w:rFonts w:ascii="Arial" w:cs="Arial" w:eastAsia="Arial" w:hAnsi="Arial"/>
                <w:b w:val="false"/>
                <w:bCs w:val="false"/>
                <w:i w:val="false"/>
                <w:iCs w:val="false"/>
                <w:color w:val="000000"/>
                <w:sz w:val="22"/>
                <w:szCs w:val="22"/>
              </w:rPr>
              <w:t xml:space="preserve">This time the formula is only ever copied downward, never sideways. Locking the row (the $ before 17) is what stops the fee cell from sliding down into row 18, 19, 20 as the formula moves down. The column letter was left free because it was never going to change anyway in a straight vertical copy; it is included here mainly so learners can see the mirror image of the Column Lock sheet.</w:t>
            </w:r>
          </w:p>
        </w:tc>
      </w:tr>
    </w:tbl>
    <w:p>
      <w:pPr>
        <w:spacing w:after="160"/>
      </w:pPr>
      <w:r>
        <w:rPr>
          <w:rFonts w:ascii="Arial" w:cs="Arial" w:eastAsia="Arial" w:hAnsi="Arial"/>
          <w:b w:val="false"/>
          <w:bCs w:val="false"/>
          <w:i w:val="false"/>
          <w:iCs w:val="false"/>
          <w:color w:val="000000"/>
          <w:sz w:val="22"/>
          <w:szCs w:val="22"/>
        </w:rPr>
        <w:t xml:space="preserve">Worked example above the exercise (staff bonus, </w:t>
      </w:r>
      <w:r>
        <w:rPr>
          <w:rFonts w:ascii="Consolas" w:cs="Consolas" w:eastAsia="Consolas" w:hAnsi="Consolas"/>
          <w:b/>
          <w:bCs/>
          <w:color w:val="000000"/>
          <w:sz w:val="21"/>
          <w:szCs w:val="21"/>
        </w:rPr>
        <w:t xml:space="preserve">=B8*B$5</w:t>
      </w:r>
      <w:r>
        <w:rPr>
          <w:rFonts w:ascii="Arial" w:cs="Arial" w:eastAsia="Arial" w:hAnsi="Arial"/>
          <w:b w:val="false"/>
          <w:bCs w:val="false"/>
          <w:i w:val="false"/>
          <w:iCs w:val="false"/>
          <w:color w:val="000000"/>
          <w:sz w:val="22"/>
          <w:szCs w:val="22"/>
        </w:rPr>
        <w:t xml:space="preserve"> at 2% bonus rate): Adaeze Okafor ₦7,600; Musa Ibrahim ₦8,400; Chidinma Eze ₦7,000; Tunde Bakare ₦9,200; Ngozi Umeh ₦7,900. This is the direct fix for the exact problem demonstrated in Sheet 1.</w:t>
      </w:r>
    </w:p>
    <w:p>
      <w:pPr>
        <w:pStyle w:val="Heading2"/>
        <w:spacing w:after="160" w:before="320"/>
      </w:pPr>
      <w:r>
        <w:rPr>
          <w:rFonts w:ascii="Arial" w:cs="Arial" w:eastAsia="Arial" w:hAnsi="Arial"/>
          <w:b/>
          <w:bCs/>
          <w:color w:val="1F4E78"/>
        </w:rPr>
        <w:t xml:space="preserve">3.4  Sheet “4. Absolute Reference” – $A$1</w:t>
      </w:r>
    </w:p>
    <w:p>
      <w:pPr>
        <w:spacing w:after="160"/>
      </w:pPr>
      <w:r>
        <w:rPr>
          <w:rFonts w:ascii="Arial" w:cs="Arial" w:eastAsia="Arial" w:hAnsi="Arial"/>
          <w:b/>
          <w:bCs/>
          <w:i w:val="false"/>
          <w:iCs w:val="false"/>
          <w:color w:val="000000"/>
          <w:sz w:val="22"/>
          <w:szCs w:val="22"/>
        </w:rPr>
        <w:t xml:space="preserve">Scenario: </w:t>
      </w:r>
      <w:r>
        <w:rPr>
          <w:rFonts w:ascii="Arial" w:cs="Arial" w:eastAsia="Arial" w:hAnsi="Arial"/>
          <w:b w:val="false"/>
          <w:bCs w:val="false"/>
          <w:i w:val="false"/>
          <w:iCs w:val="false"/>
          <w:color w:val="000000"/>
          <w:sz w:val="22"/>
          <w:szCs w:val="22"/>
        </w:rPr>
        <w:t xml:space="preserve">Prodigy Tech Academy gives every course the same 5% early-bird discount, across every cohort. The formula must be copied ACROSS the cohort columns AND DOWN the course rows at the same time, so it needs to keep working in both directions at once.</w:t>
      </w:r>
    </w:p>
    <w:p>
      <w:pPr>
        <w:spacing w:after="160"/>
      </w:pPr>
      <w:r>
        <w:rPr>
          <w:rFonts w:ascii="Arial" w:cs="Arial" w:eastAsia="Arial" w:hAnsi="Arial"/>
          <w:b/>
          <w:bCs/>
          <w:i w:val="false"/>
          <w:iCs w:val="false"/>
          <w:color w:val="000000"/>
          <w:sz w:val="22"/>
          <w:szCs w:val="22"/>
        </w:rPr>
        <w:t xml:space="preserve">Solution: </w:t>
      </w:r>
      <w:r>
        <w:rPr>
          <w:rFonts w:ascii="Arial" w:cs="Arial" w:eastAsia="Arial" w:hAnsi="Arial"/>
          <w:b w:val="false"/>
          <w:bCs w:val="false"/>
          <w:i w:val="false"/>
          <w:iCs w:val="false"/>
          <w:color w:val="000000"/>
          <w:sz w:val="22"/>
          <w:szCs w:val="22"/>
        </w:rPr>
        <w:t xml:space="preserve">Type </w:t>
      </w:r>
      <w:r>
        <w:rPr>
          <w:rFonts w:ascii="Consolas" w:cs="Consolas" w:eastAsia="Consolas" w:hAnsi="Consolas"/>
          <w:b/>
          <w:bCs/>
          <w:color w:val="1F4E78"/>
          <w:sz w:val="21"/>
          <w:szCs w:val="21"/>
        </w:rPr>
        <w:t xml:space="preserve">=$B20*(1-$I$18)</w:t>
      </w:r>
      <w:r>
        <w:rPr>
          <w:rFonts w:ascii="Arial" w:cs="Arial" w:eastAsia="Arial" w:hAnsi="Arial"/>
          <w:b w:val="false"/>
          <w:bCs w:val="false"/>
          <w:i w:val="false"/>
          <w:iCs w:val="false"/>
          <w:color w:val="000000"/>
          <w:sz w:val="22"/>
          <w:szCs w:val="22"/>
        </w:rPr>
        <w:t xml:space="preserve"> in cell C20, then copy it across to D20:F20 and down to C21:F23.</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c>
          <w:tcPr>
            <w:tcW w:type="pct" w:w="34%"/>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Course</w:t>
            </w:r>
          </w:p>
        </w:tc>
        <w:tc>
          <w:tcPr>
            <w:tcW w:type="pct" w:w="18%"/>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Price (N)</w:t>
            </w:r>
          </w:p>
        </w:tc>
        <w:tc>
          <w:tcPr>
            <w:tcW w:type="pct" w:w="26%"/>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Formula (any cell)</w:t>
            </w:r>
          </w:p>
        </w:tc>
        <w:tc>
          <w:tcPr>
            <w:tcW w:type="pct" w:w="22%"/>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Discounted Price (N)</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Python for Data Science</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120,000</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=$B20*(1-$I$18)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114,000</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Power BI Masterclass</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95,000</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=$B21*(1-$I$18)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90,250</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 Programming</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110,000</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=$B22*(1-$I$18)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104,500</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SPSS Statistics</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85,000</w:t>
            </w:r>
          </w:p>
        </w:tc>
        <w:tc>
          <w:tcPr>
            <w:tcW w:type="pct" w:w="20%"/>
            <w:tcMar>
              <w:top w:type="dxa" w:w="80"/>
              <w:left w:type="dxa" w:w="100"/>
              <w:bottom w:type="dxa" w:w="80"/>
              <w:right w:type="dxa" w:w="100"/>
            </w:tcMar>
            <w:vAlign w:val="center"/>
          </w:tcPr>
          <w:p>
            <w:pPr>
              <w:jc w:val="left"/>
            </w:pPr>
            <w:r>
              <w:rPr>
                <w:rFonts w:ascii="Consolas" w:cs="Consolas" w:eastAsia="Consolas" w:hAnsi="Consolas"/>
                <w:b w:val="false"/>
                <w:bCs w:val="false"/>
                <w:color w:val="000000"/>
                <w:sz w:val="20"/>
                <w:szCs w:val="20"/>
              </w:rPr>
              <w:t xml:space="preserve">=$B23*(1-$I$18)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80,750</w:t>
            </w:r>
          </w:p>
        </w:tc>
      </w:tr>
    </w:tbl>
    <w:p>
      <w:pPr>
        <w:spacing w:after="160"/>
      </w:pPr>
      <w:r>
        <w:rPr>
          <w:rFonts w:ascii="Arial" w:cs="Arial" w:eastAsia="Arial" w:hAnsi="Arial"/>
          <w:b w:val="false"/>
          <w:bCs w:val="false"/>
          <w:i w:val="false"/>
          <w:iCs w:val="false"/>
          <w:color w:val="000000"/>
          <w:sz w:val="22"/>
          <w:szCs w:val="22"/>
        </w:rPr>
        <w:t xml:space="preserve">Every one of the four cohort columns for a given course shows the same discounted price, because the price itself does not change by cohort; what matters here is that the formula did not break in either direction while being copied.</w:t>
      </w:r>
    </w:p>
    <w:p>
      <w:pPr>
        <w:spacing w:after="160"/>
      </w:pPr>
      <w:r>
        <w:rPr>
          <w:rFonts w:ascii="Arial" w:cs="Arial" w:eastAsia="Arial" w:hAnsi="Arial"/>
          <w:b w:val="false"/>
          <w:bCs w:val="false"/>
          <w:i w:val="false"/>
          <w:iCs w:val="false"/>
          <w:color w:val="000000"/>
          <w:sz w:val="22"/>
          <w:szCs w:val="22"/>
        </w:rPr>
        <w:t xml:space="preserve"> </w:t>
      </w:r>
    </w:p>
    <w:tbl>
      <w:tblPr>
        <w:tblW w:type="pct" w:w="100%"/>
        <w:tblBorders>
          <w:top w:val="single" w:color="9DC3E6" w:sz="4"/>
          <w:left w:val="single" w:color="9DC3E6" w:sz="4"/>
          <w:bottom w:val="single" w:color="9DC3E6" w:sz="4"/>
          <w:right w:val="single" w:color="9DC3E6" w:sz="4"/>
          <w:insideH w:val="none"/>
          <w:insideV w:val="none"/>
        </w:tblBorders>
      </w:tblPr>
      <w:tblGrid>
        <w:gridCol w:w="100"/>
      </w:tblGrid>
      <w:tr>
        <w:tc>
          <w:tcPr>
            <w:shd w:fill="EAF1F8" w:val="clear"/>
            <w:tcMar>
              <w:top w:type="dxa" w:w="160"/>
              <w:left w:type="dxa" w:w="200"/>
              <w:bottom w:type="dxa" w:w="160"/>
              <w:right w:type="dxa" w:w="200"/>
            </w:tcMar>
          </w:tcPr>
          <w:p>
            <w:r>
              <w:rPr>
                <w:rFonts w:ascii="Arial" w:cs="Arial" w:eastAsia="Arial" w:hAnsi="Arial"/>
                <w:b/>
                <w:bCs/>
                <w:i w:val="false"/>
                <w:iCs w:val="false"/>
                <w:color w:val="1F4E78"/>
                <w:sz w:val="22"/>
                <w:szCs w:val="22"/>
              </w:rPr>
              <w:t xml:space="preserve">WHY $I$18 (BOTH LOCKED): </w:t>
            </w:r>
            <w:r>
              <w:rPr>
                <w:rFonts w:ascii="Arial" w:cs="Arial" w:eastAsia="Arial" w:hAnsi="Arial"/>
                <w:b w:val="false"/>
                <w:bCs w:val="false"/>
                <w:i w:val="false"/>
                <w:iCs w:val="false"/>
                <w:color w:val="000000"/>
                <w:sz w:val="22"/>
                <w:szCs w:val="22"/>
              </w:rPr>
              <w:t xml:space="preserve">Whenever a single formula will travel in two directions, whether across, down, or both, a partial lock is not enough. $B20 keeps the price column fixed at B while allowing the row to adjust as the formula is copied down through each course. $I$18 keeps the discount rate pinned to one exact cell no matter which direction the formula is dragged. This is the safest reference to reach for any time a formula's copy direction is uncertain.</w:t>
            </w:r>
          </w:p>
        </w:tc>
      </w:tr>
    </w:tbl>
    <w:p>
      <w:pPr>
        <w:spacing w:after="160"/>
      </w:pPr>
      <w:r>
        <w:rPr>
          <w:rFonts w:ascii="Arial" w:cs="Arial" w:eastAsia="Arial" w:hAnsi="Arial"/>
          <w:b w:val="false"/>
          <w:bCs w:val="false"/>
          <w:i w:val="false"/>
          <w:iCs w:val="false"/>
          <w:color w:val="000000"/>
          <w:sz w:val="22"/>
          <w:szCs w:val="22"/>
        </w:rPr>
        <w:t xml:space="preserve">Worked example above the exercise (VAT grid at 7.5%, </w:t>
      </w:r>
      <w:r>
        <w:rPr>
          <w:rFonts w:ascii="Consolas" w:cs="Consolas" w:eastAsia="Consolas" w:hAnsi="Consolas"/>
          <w:b/>
          <w:bCs/>
          <w:color w:val="000000"/>
          <w:sz w:val="21"/>
          <w:szCs w:val="21"/>
        </w:rPr>
        <w:t xml:space="preserve">=$B8*(1+$I$5)</w:t>
      </w:r>
      <w:r>
        <w:rPr>
          <w:rFonts w:ascii="Arial" w:cs="Arial" w:eastAsia="Arial" w:hAnsi="Arial"/>
          <w:b w:val="false"/>
          <w:bCs w:val="false"/>
          <w:i w:val="false"/>
          <w:iCs w:val="false"/>
          <w:color w:val="000000"/>
          <w:sz w:val="22"/>
          <w:szCs w:val="22"/>
        </w:rPr>
        <w:t xml:space="preserve">): Laptop Bag ₦8,600; Office Chair ₦26,875; Whiteboard ₦16,125; Printer Paper (Ream) ₦3,762.50, identically across every region column.</w:t>
      </w:r>
    </w:p>
    <w:p>
      <w:r>
        <w:br w:type="page"/>
      </w:r>
    </w:p>
    <w:p>
      <w:pPr>
        <w:pStyle w:val="Heading2"/>
        <w:spacing w:after="160" w:before="320"/>
      </w:pPr>
      <w:r>
        <w:rPr>
          <w:rFonts w:ascii="Arial" w:cs="Arial" w:eastAsia="Arial" w:hAnsi="Arial"/>
          <w:b/>
          <w:bCs/>
          <w:color w:val="1F4E78"/>
        </w:rPr>
        <w:t xml:space="preserve">3.5  Sheet “5. Practice - Mult Table” – Column Lock + Row Lock Together</w:t>
      </w:r>
    </w:p>
    <w:p>
      <w:pPr>
        <w:spacing w:after="160"/>
      </w:pPr>
      <w:r>
        <w:rPr>
          <w:rFonts w:ascii="Arial" w:cs="Arial" w:eastAsia="Arial" w:hAnsi="Arial"/>
          <w:b/>
          <w:bCs/>
          <w:i w:val="false"/>
          <w:iCs w:val="false"/>
          <w:color w:val="000000"/>
          <w:sz w:val="22"/>
          <w:szCs w:val="22"/>
        </w:rPr>
        <w:t xml:space="preserve">Scenario: </w:t>
      </w:r>
      <w:r>
        <w:rPr>
          <w:rFonts w:ascii="Arial" w:cs="Arial" w:eastAsia="Arial" w:hAnsi="Arial"/>
          <w:b w:val="false"/>
          <w:bCs w:val="false"/>
          <w:i w:val="false"/>
          <w:iCs w:val="false"/>
          <w:color w:val="000000"/>
          <w:sz w:val="22"/>
          <w:szCs w:val="22"/>
        </w:rPr>
        <w:t xml:space="preserve">This is the classic real-world case for mixed references: ONE formula copied in both directions at once. Column A (rows 5-14) holds the numbers 1-10 going down. Row 4 (columns B-K) holds the numbers 1-10 going across.</w:t>
      </w:r>
    </w:p>
    <w:p>
      <w:pPr>
        <w:spacing w:after="160"/>
      </w:pPr>
      <w:r>
        <w:rPr>
          <w:rFonts w:ascii="Arial" w:cs="Arial" w:eastAsia="Arial" w:hAnsi="Arial"/>
          <w:b/>
          <w:bCs/>
          <w:i w:val="false"/>
          <w:iCs w:val="false"/>
          <w:color w:val="000000"/>
          <w:sz w:val="22"/>
          <w:szCs w:val="22"/>
        </w:rPr>
        <w:t xml:space="preserve">Solution: </w:t>
      </w:r>
      <w:r>
        <w:rPr>
          <w:rFonts w:ascii="Arial" w:cs="Arial" w:eastAsia="Arial" w:hAnsi="Arial"/>
          <w:b w:val="false"/>
          <w:bCs w:val="false"/>
          <w:i w:val="false"/>
          <w:iCs w:val="false"/>
          <w:color w:val="000000"/>
          <w:sz w:val="22"/>
          <w:szCs w:val="22"/>
        </w:rPr>
        <w:t xml:space="preserve">Type </w:t>
      </w:r>
      <w:r>
        <w:rPr>
          <w:rFonts w:ascii="Consolas" w:cs="Consolas" w:eastAsia="Consolas" w:hAnsi="Consolas"/>
          <w:b/>
          <w:bCs/>
          <w:color w:val="1F4E78"/>
          <w:sz w:val="21"/>
          <w:szCs w:val="21"/>
        </w:rPr>
        <w:t xml:space="preserve">=$A5*B$4</w:t>
      </w:r>
      <w:r>
        <w:rPr>
          <w:rFonts w:ascii="Arial" w:cs="Arial" w:eastAsia="Arial" w:hAnsi="Arial"/>
          <w:b w:val="false"/>
          <w:bCs w:val="false"/>
          <w:i w:val="false"/>
          <w:iCs w:val="false"/>
          <w:color w:val="000000"/>
          <w:sz w:val="22"/>
          <w:szCs w:val="22"/>
        </w:rPr>
        <w:t xml:space="preserve"> in cell B5, then copy it across to K5, and then copy the entire row B5:K5 down to row 14. The completed grid is: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gridCol w:w="100"/>
        <w:gridCol w:w="100"/>
        <w:gridCol w:w="100"/>
        <w:gridCol w:w="100"/>
      </w:tblGrid>
      <w:tr>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w:t>
            </w:r>
          </w:p>
        </w:tc>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1</w:t>
            </w:r>
          </w:p>
        </w:tc>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2</w:t>
            </w:r>
          </w:p>
        </w:tc>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3</w:t>
            </w:r>
          </w:p>
        </w:tc>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4</w:t>
            </w:r>
          </w:p>
        </w:tc>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5</w:t>
            </w:r>
          </w:p>
        </w:tc>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6</w:t>
            </w:r>
          </w:p>
        </w:tc>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7</w:t>
            </w:r>
          </w:p>
        </w:tc>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8</w:t>
            </w:r>
          </w:p>
        </w:tc>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9</w:t>
            </w:r>
          </w:p>
        </w:tc>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10</w:t>
            </w:r>
          </w:p>
        </w:tc>
      </w:tr>
      <w:tr>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1</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w:t>
            </w:r>
          </w:p>
        </w:tc>
      </w:tr>
      <w:tr>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20</w:t>
            </w:r>
          </w:p>
        </w:tc>
      </w:tr>
      <w:tr>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3</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21</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27</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30</w:t>
            </w:r>
          </w:p>
        </w:tc>
      </w:tr>
      <w:tr>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40</w:t>
            </w:r>
          </w:p>
        </w:tc>
      </w:tr>
      <w:tr>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50</w:t>
            </w:r>
          </w:p>
        </w:tc>
      </w:tr>
      <w:tr>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60</w:t>
            </w:r>
          </w:p>
        </w:tc>
      </w:tr>
      <w:tr>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7</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21</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49</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63</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70</w:t>
            </w:r>
          </w:p>
        </w:tc>
      </w:tr>
      <w:tr>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80</w:t>
            </w:r>
          </w:p>
        </w:tc>
      </w:tr>
      <w:tr>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9</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18</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27</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36</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54</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63</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72</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81</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90</w:t>
            </w:r>
          </w:p>
        </w:tc>
      </w:tr>
      <w:tr>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10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100</w:t>
            </w:r>
          </w:p>
        </w:tc>
      </w:tr>
    </w:tbl>
    <w:p>
      <w:pPr>
        <w:spacing w:after="160"/>
      </w:pPr>
      <w:r>
        <w:rPr>
          <w:rFonts w:ascii="Arial" w:cs="Arial" w:eastAsia="Arial" w:hAnsi="Arial"/>
          <w:b w:val="false"/>
          <w:bCs w:val="false"/>
          <w:i w:val="false"/>
          <w:iCs w:val="false"/>
          <w:color w:val="000000"/>
          <w:sz w:val="22"/>
          <w:szCs w:val="22"/>
        </w:rPr>
        <w:t xml:space="preserve"> </w:t>
      </w:r>
    </w:p>
    <w:tbl>
      <w:tblPr>
        <w:tblW w:type="pct" w:w="100%"/>
        <w:tblBorders>
          <w:top w:val="single" w:color="9DC3E6" w:sz="4"/>
          <w:left w:val="single" w:color="9DC3E6" w:sz="4"/>
          <w:bottom w:val="single" w:color="9DC3E6" w:sz="4"/>
          <w:right w:val="single" w:color="9DC3E6" w:sz="4"/>
          <w:insideH w:val="none"/>
          <w:insideV w:val="none"/>
        </w:tblBorders>
      </w:tblPr>
      <w:tblGrid>
        <w:gridCol w:w="100"/>
      </w:tblGrid>
      <w:tr>
        <w:tc>
          <w:tcPr>
            <w:shd w:fill="EAF1F8" w:val="clear"/>
            <w:tcMar>
              <w:top w:type="dxa" w:w="160"/>
              <w:left w:type="dxa" w:w="200"/>
              <w:bottom w:type="dxa" w:w="160"/>
              <w:right w:type="dxa" w:w="200"/>
            </w:tcMar>
          </w:tcPr>
          <w:p>
            <w:r>
              <w:rPr>
                <w:rFonts w:ascii="Arial" w:cs="Arial" w:eastAsia="Arial" w:hAnsi="Arial"/>
                <w:b/>
                <w:bCs/>
                <w:i w:val="false"/>
                <w:iCs w:val="false"/>
                <w:color w:val="1F4E78"/>
                <w:sz w:val="22"/>
                <w:szCs w:val="22"/>
              </w:rPr>
              <w:t xml:space="preserve">WHY $A5*B$4: </w:t>
            </w:r>
            <w:r>
              <w:rPr>
                <w:rFonts w:ascii="Arial" w:cs="Arial" w:eastAsia="Arial" w:hAnsi="Arial"/>
                <w:b w:val="false"/>
                <w:bCs w:val="false"/>
                <w:i w:val="false"/>
                <w:iCs w:val="false"/>
                <w:color w:val="000000"/>
                <w:sz w:val="22"/>
                <w:szCs w:val="22"/>
              </w:rPr>
              <w:t xml:space="preserve">Two different locks are doing two different jobs inside the same formula. $A5 locks the COLUMN A so that as the formula is copied ACROSS from B to K, it keeps reading the multiplier from column A instead of sliding into column B, C, D. B$4 locks the ROW 4 so that as the formula is copied DOWN from row 5 to row 14, it keeps reading the multiplicand from row 4 instead of sliding into row 5, 6, 7. Neither lock alone would work for a two-directional copy; only the combination keeps every one of the 100 cells correct.</w:t>
            </w:r>
          </w:p>
        </w:tc>
      </w:tr>
    </w:tbl>
    <w:p>
      <w:pPr>
        <w:pStyle w:val="Heading2"/>
        <w:spacing w:after="160" w:before="320"/>
      </w:pPr>
      <w:r>
        <w:rPr>
          <w:rFonts w:ascii="Arial" w:cs="Arial" w:eastAsia="Arial" w:hAnsi="Arial"/>
          <w:b/>
          <w:bCs/>
          <w:color w:val="1F4E78"/>
        </w:rPr>
        <w:t xml:space="preserve">3.6  Sheet “6. Practice - VAT Invoice” – Absolute Reference in a Real Invoice</w:t>
      </w:r>
    </w:p>
    <w:p>
      <w:pPr>
        <w:spacing w:after="160"/>
      </w:pPr>
      <w:r>
        <w:rPr>
          <w:rFonts w:ascii="Arial" w:cs="Arial" w:eastAsia="Arial" w:hAnsi="Arial"/>
          <w:b/>
          <w:bCs/>
          <w:i w:val="false"/>
          <w:iCs w:val="false"/>
          <w:color w:val="000000"/>
          <w:sz w:val="22"/>
          <w:szCs w:val="22"/>
        </w:rPr>
        <w:t xml:space="preserve">Scenario: </w:t>
      </w:r>
      <w:r>
        <w:rPr>
          <w:rFonts w:ascii="Arial" w:cs="Arial" w:eastAsia="Arial" w:hAnsi="Arial"/>
          <w:b w:val="false"/>
          <w:bCs w:val="false"/>
          <w:i w:val="false"/>
          <w:iCs w:val="false"/>
          <w:color w:val="000000"/>
          <w:sz w:val="22"/>
          <w:szCs w:val="22"/>
        </w:rPr>
        <w:t xml:space="preserve">Prodigy Training Hub's standard 7.5% Nigerian VAT rate sits once in cell G4. For each invoice line: Amount = Quantity x Unit Price, VAT = Amount x VAT rate, Total = Amount + VAT.</w:t>
      </w:r>
    </w:p>
    <w:p>
      <w:pPr>
        <w:spacing w:after="160"/>
      </w:pPr>
      <w:r>
        <w:rPr>
          <w:rFonts w:ascii="Arial" w:cs="Arial" w:eastAsia="Arial" w:hAnsi="Arial"/>
          <w:b/>
          <w:bCs/>
          <w:i w:val="false"/>
          <w:iCs w:val="false"/>
          <w:color w:val="000000"/>
          <w:sz w:val="22"/>
          <w:szCs w:val="22"/>
        </w:rPr>
        <w:t xml:space="preserve">Solution: </w:t>
      </w:r>
      <w:r>
        <w:rPr>
          <w:rFonts w:ascii="Arial" w:cs="Arial" w:eastAsia="Arial" w:hAnsi="Arial"/>
          <w:b w:val="false"/>
          <w:bCs w:val="false"/>
          <w:i w:val="false"/>
          <w:iCs w:val="false"/>
          <w:color w:val="000000"/>
          <w:sz w:val="22"/>
          <w:szCs w:val="22"/>
        </w:rPr>
        <w:t xml:space="preserve">D7 = </w:t>
      </w:r>
      <w:r>
        <w:rPr>
          <w:rFonts w:ascii="Consolas" w:cs="Consolas" w:eastAsia="Consolas" w:hAnsi="Consolas"/>
          <w:b/>
          <w:bCs/>
          <w:color w:val="1F4E78"/>
          <w:sz w:val="21"/>
          <w:szCs w:val="21"/>
        </w:rPr>
        <w:t xml:space="preserve">=B7*C7</w:t>
      </w:r>
      <w:r>
        <w:rPr>
          <w:rFonts w:ascii="Arial" w:cs="Arial" w:eastAsia="Arial" w:hAnsi="Arial"/>
          <w:b w:val="false"/>
          <w:bCs w:val="false"/>
          <w:i w:val="false"/>
          <w:iCs w:val="false"/>
          <w:color w:val="000000"/>
          <w:sz w:val="22"/>
          <w:szCs w:val="22"/>
        </w:rPr>
        <w:t xml:space="preserve"> (relative, no lock needed). E7 = </w:t>
      </w:r>
      <w:r>
        <w:rPr>
          <w:rFonts w:ascii="Consolas" w:cs="Consolas" w:eastAsia="Consolas" w:hAnsi="Consolas"/>
          <w:b/>
          <w:bCs/>
          <w:color w:val="1F4E78"/>
          <w:sz w:val="21"/>
          <w:szCs w:val="21"/>
        </w:rPr>
        <w:t xml:space="preserve">=D7*$G$4</w:t>
      </w:r>
      <w:r>
        <w:rPr>
          <w:rFonts w:ascii="Arial" w:cs="Arial" w:eastAsia="Arial" w:hAnsi="Arial"/>
          <w:b w:val="false"/>
          <w:bCs w:val="false"/>
          <w:i w:val="false"/>
          <w:iCs w:val="false"/>
          <w:color w:val="000000"/>
          <w:sz w:val="22"/>
          <w:szCs w:val="22"/>
        </w:rPr>
        <w:t xml:space="preserve"> (absolute, locked because G4 holds one single fixed VAT rate). F7 = </w:t>
      </w:r>
      <w:r>
        <w:rPr>
          <w:rFonts w:ascii="Consolas" w:cs="Consolas" w:eastAsia="Consolas" w:hAnsi="Consolas"/>
          <w:b/>
          <w:bCs/>
          <w:color w:val="1F4E78"/>
          <w:sz w:val="21"/>
          <w:szCs w:val="21"/>
        </w:rPr>
        <w:t xml:space="preserve">=D7+E7</w:t>
      </w:r>
      <w:r>
        <w:rPr>
          <w:rFonts w:ascii="Arial" w:cs="Arial" w:eastAsia="Arial" w:hAnsi="Arial"/>
          <w:b w:val="false"/>
          <w:bCs w:val="false"/>
          <w:i w:val="false"/>
          <w:iCs w:val="false"/>
          <w:color w:val="000000"/>
          <w:sz w:val="22"/>
          <w:szCs w:val="22"/>
        </w:rPr>
        <w:t xml:space="preserve"> (relative). Copy D7:F7 down to row 10.</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c>
          <w:tcPr>
            <w:tcW w:type="pct" w:w="26%"/>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Item</w:t>
            </w:r>
          </w:p>
        </w:tc>
        <w:tc>
          <w:tcPr>
            <w:tcW w:type="pct" w:w="9%"/>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Qty</w:t>
            </w:r>
          </w:p>
        </w:tc>
        <w:tc>
          <w:tcPr>
            <w:tcW w:type="pct" w:w="15%"/>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Unit Price</w:t>
            </w:r>
          </w:p>
        </w:tc>
        <w:tc>
          <w:tcPr>
            <w:tcW w:type="pct" w:w="16%"/>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Amount (N)</w:t>
            </w:r>
          </w:p>
        </w:tc>
        <w:tc>
          <w:tcPr>
            <w:tcW w:type="pct" w:w="16%"/>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VAT (N)</w:t>
            </w:r>
          </w:p>
        </w:tc>
        <w:tc>
          <w:tcPr>
            <w:tcW w:type="pct" w:w="18%"/>
            <w:shd w:fill="1F4E78" w:val="clear"/>
            <w:tcMar>
              <w:top w:type="dxa" w:w="80"/>
              <w:left w:type="dxa" w:w="100"/>
              <w:bottom w:type="dxa" w:w="80"/>
              <w:right w:type="dxa" w:w="100"/>
            </w:tcMar>
            <w:vAlign w:val="center"/>
          </w:tcPr>
          <w:p>
            <w:r>
              <w:rPr>
                <w:rFonts w:ascii="Arial" w:cs="Arial" w:eastAsia="Arial" w:hAnsi="Arial"/>
                <w:b/>
                <w:bCs/>
                <w:color w:val="FFFFFF"/>
                <w:sz w:val="20"/>
                <w:szCs w:val="20"/>
              </w:rPr>
              <w:t xml:space="preserve">Total (N)</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Excel Fundamentals Training</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45,000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135,000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10,125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145,125</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Power BI Dashboard Workshop</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60,000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120,000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9,000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129,000</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 Programming Bootcamp</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85,000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85,000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6,375</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91,375</w:t>
            </w:r>
          </w:p>
        </w:tc>
      </w:tr>
      <w:tr>
        <w:tc>
          <w:tcPr>
            <w:tcW w:type="pct" w:w="2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Certificate Printing</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w:t>
            </w:r>
          </w:p>
        </w:tc>
        <w:tc>
          <w:tcPr>
            <w:tcW w:type="pct" w:w="2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2,000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12,000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900</w:t>
            </w:r>
          </w:p>
        </w:tc>
        <w:tc>
          <w:tcPr>
            <w:tcW w:type="pct" w:w="20%"/>
            <w:shd w:fill="E2EFDA"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12,900</w:t>
            </w:r>
          </w:p>
        </w:tc>
      </w:tr>
      <w:tr>
        <w:tc>
          <w:tcPr>
            <w:tcW w:type="pct" w:w="20%"/>
            <w:shd w:fill="D9E1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GRAND TOTAL</w:t>
            </w:r>
          </w:p>
        </w:tc>
        <w:tc>
          <w:tcPr>
            <w:tcW w:type="pct" w:w="20%"/>
            <w:shd w:fill="D9E1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pct" w:w="20%"/>
            <w:shd w:fill="D9E1F2" w:val="clear"/>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352,000</w:t>
            </w:r>
          </w:p>
        </w:tc>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26,400</w:t>
            </w:r>
          </w:p>
        </w:tc>
        <w:tc>
          <w:tcPr>
            <w:tcW w:type="pct" w:w="20%"/>
            <w:shd w:fill="D9E1F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378,400</w:t>
            </w:r>
          </w:p>
        </w:tc>
      </w:tr>
    </w:tbl>
    <w:p>
      <w:pPr>
        <w:spacing w:after="160"/>
      </w:pPr>
      <w:r>
        <w:rPr>
          <w:rFonts w:ascii="Arial" w:cs="Arial" w:eastAsia="Arial" w:hAnsi="Arial"/>
          <w:b w:val="false"/>
          <w:bCs w:val="false"/>
          <w:i w:val="false"/>
          <w:iCs w:val="false"/>
          <w:color w:val="000000"/>
          <w:sz w:val="22"/>
          <w:szCs w:val="22"/>
        </w:rPr>
        <w:t xml:space="preserve"> </w:t>
      </w:r>
    </w:p>
    <w:tbl>
      <w:tblPr>
        <w:tblW w:type="pct" w:w="100%"/>
        <w:tblBorders>
          <w:top w:val="single" w:color="9DC3E6" w:sz="4"/>
          <w:left w:val="single" w:color="9DC3E6" w:sz="4"/>
          <w:bottom w:val="single" w:color="9DC3E6" w:sz="4"/>
          <w:right w:val="single" w:color="9DC3E6" w:sz="4"/>
          <w:insideH w:val="none"/>
          <w:insideV w:val="none"/>
        </w:tblBorders>
      </w:tblPr>
      <w:tblGrid>
        <w:gridCol w:w="100"/>
      </w:tblGrid>
      <w:tr>
        <w:tc>
          <w:tcPr>
            <w:shd w:fill="EAF1F8" w:val="clear"/>
            <w:tcMar>
              <w:top w:type="dxa" w:w="160"/>
              <w:left w:type="dxa" w:w="200"/>
              <w:bottom w:type="dxa" w:w="160"/>
              <w:right w:type="dxa" w:w="200"/>
            </w:tcMar>
          </w:tcPr>
          <w:p>
            <w:r>
              <w:rPr>
                <w:rFonts w:ascii="Arial" w:cs="Arial" w:eastAsia="Arial" w:hAnsi="Arial"/>
                <w:b/>
                <w:bCs/>
                <w:i w:val="false"/>
                <w:iCs w:val="false"/>
                <w:color w:val="1F4E78"/>
                <w:sz w:val="22"/>
                <w:szCs w:val="22"/>
              </w:rPr>
              <w:t xml:space="preserve">WHY $G$4 (BOTH LOCKED): </w:t>
            </w:r>
            <w:r>
              <w:rPr>
                <w:rFonts w:ascii="Arial" w:cs="Arial" w:eastAsia="Arial" w:hAnsi="Arial"/>
                <w:b w:val="false"/>
                <w:bCs w:val="false"/>
                <w:i w:val="false"/>
                <w:iCs w:val="false"/>
                <w:color w:val="000000"/>
                <w:sz w:val="22"/>
                <w:szCs w:val="22"/>
              </w:rPr>
              <w:t xml:space="preserve">Even though this formula is only ever copied straight down the column, both the column and row of the VAT rate are locked here as a matter of good habit. In a real invoice template, extra columns are often inserted later (for a discount column, a currency column, and so on), and a fully absolute reference like $G$4 is the one reference type guaranteed to survive that kind of future editing, no matter which direction rows or columns end up shifting.</w:t>
            </w:r>
          </w:p>
        </w:tc>
      </w:tr>
    </w:tbl>
    <w:p>
      <w:r>
        <w:br w:type="page"/>
      </w:r>
    </w:p>
    <w:p>
      <w:pPr>
        <w:pStyle w:val="Heading1"/>
        <w:spacing w:after="160" w:before="320"/>
      </w:pPr>
      <w:r>
        <w:rPr>
          <w:rFonts w:ascii="Arial" w:cs="Arial" w:eastAsia="Arial" w:hAnsi="Arial"/>
          <w:b/>
          <w:bCs/>
          <w:color w:val="1F4E78"/>
        </w:rPr>
        <w:t xml:space="preserve">4. Quick Reference Cheat Sheet</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Copying a formula ACROSS columns and need a cell fixed? Lock the column: $A1</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Copying a formula DOWN rows and need a cell fixed? Lock the row: A$1</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Copying a formula in BOTH directions, or referencing a single constant (VAT rate, exchange rate, target, bonus %, discount %)? Lock both: $A$1</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Not copying the formula at all, or want it to shift naturally with the row/column it sits in? Leave it relative: A1</w:t>
      </w:r>
    </w:p>
    <w:p>
      <w:pPr>
        <w:pStyle w:val="ListParagraph"/>
        <w:numPr>
          <w:ilvl w:val="0"/>
          <w:numId w:val="1"/>
        </w:numPr>
        <w:spacing w:after="80"/>
      </w:pPr>
      <w:r>
        <w:rPr>
          <w:rFonts w:ascii="Arial" w:cs="Arial" w:eastAsia="Arial" w:hAnsi="Arial"/>
          <w:b w:val="false"/>
          <w:bCs w:val="false"/>
          <w:i w:val="false"/>
          <w:iCs w:val="false"/>
          <w:color w:val="000000"/>
          <w:sz w:val="22"/>
          <w:szCs w:val="22"/>
        </w:rPr>
        <w:t xml:space="preserve">On the keyboard: select the reference in the formula bar and press F4 (Windows) or Cmd+T (Mac) to cycle through all four types instead of typing the $ signs by hand.</w:t>
      </w:r>
    </w:p>
    <w:p>
      <w:pPr>
        <w:spacing w:after="160"/>
      </w:pPr>
      <w:r>
        <w:rPr>
          <w:rFonts w:ascii="Arial" w:cs="Arial" w:eastAsia="Arial" w:hAnsi="Arial"/>
          <w:b w:val="false"/>
          <w:bCs w:val="false"/>
          <w:i w:val="false"/>
          <w:iCs w:val="false"/>
          <w:color w:val="000000"/>
          <w:sz w:val="22"/>
          <w:szCs w:val="22"/>
        </w:rPr>
        <w:t xml:space="preserve"> </w:t>
      </w:r>
    </w:p>
    <w:p>
      <w:pPr>
        <w:pStyle w:val="Heading1"/>
        <w:spacing w:after="160" w:before="320"/>
      </w:pPr>
      <w:r>
        <w:rPr>
          <w:rFonts w:ascii="Arial" w:cs="Arial" w:eastAsia="Arial" w:hAnsi="Arial"/>
          <w:b/>
          <w:bCs/>
          <w:color w:val="1F4E78"/>
        </w:rPr>
        <w:t xml:space="preserve">5. Summary</w:t>
      </w:r>
    </w:p>
    <w:p>
      <w:pPr>
        <w:spacing w:after="160"/>
      </w:pPr>
      <w:r>
        <w:rPr>
          <w:rFonts w:ascii="Arial" w:cs="Arial" w:eastAsia="Arial" w:hAnsi="Arial"/>
          <w:b w:val="false"/>
          <w:bCs w:val="false"/>
          <w:i w:val="false"/>
          <w:iCs w:val="false"/>
          <w:color w:val="000000"/>
          <w:sz w:val="22"/>
          <w:szCs w:val="22"/>
        </w:rPr>
        <w:t xml:space="preserve">Every exercise in this workbook comes back to the same single idea: a reference without a $ sign moves with the formula, and a reference with a $ sign stays put on the axis you locked. Sheet 1 showed what breaks when nothing is locked. Sheets 2 and 3 showed the two single-axis fixes. Sheet 4 showed the two-axis fix. Sheets 5 and 6 showed both fixes working together inside a realistic Nigerian business calculation. Once this pattern is second nature, one correctly written formula can safely be copied across an entire report of any size.</w:t>
      </w:r>
    </w:p>
    <w:p>
      <w:pPr>
        <w:spacing w:after="160"/>
      </w:pPr>
      <w:r>
        <w:rPr>
          <w:rFonts w:ascii="Arial" w:cs="Arial" w:eastAsia="Arial" w:hAnsi="Arial"/>
          <w:b w:val="false"/>
          <w:bCs w:val="false"/>
          <w:i w:val="false"/>
          <w:iCs w:val="false"/>
          <w:color w:val="000000"/>
          <w:sz w:val="22"/>
          <w:szCs w:val="22"/>
        </w:rPr>
        <w:t xml:space="preserve"> </w:t>
      </w:r>
    </w:p>
    <w:p>
      <w:pPr>
        <w:spacing w:after="160"/>
        <w:jc w:val="center"/>
      </w:pPr>
      <w:r>
        <w:rPr>
          <w:rFonts w:ascii="Arial" w:cs="Arial" w:eastAsia="Arial" w:hAnsi="Arial"/>
          <w:b w:val="false"/>
          <w:bCs w:val="false"/>
          <w:i/>
          <w:iCs/>
          <w:color w:val="595959"/>
          <w:sz w:val="20"/>
          <w:szCs w:val="20"/>
        </w:rPr>
        <w:t xml:space="preserve">Prodigy Training Hub  |  Kajola Gbenga Adewale | Data Expert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Arial" w:cs="Arial" w:eastAsia="Arial" w:hAnsi="Arial"/>
      <w:b/>
      <w:bCs/>
      <w:color w:val="1F4E78"/>
      <w:sz w:val="32"/>
      <w:szCs w:val="32"/>
    </w:rPr>
  </w:style>
  <w:style w:type="paragraph" w:styleId="Heading2">
    <w:name w:val="Heading 2"/>
    <w:basedOn w:val="Normal"/>
    <w:next w:val="Normal"/>
    <w:qFormat/>
    <w:pPr>
      <w:spacing w:after="140" w:before="260"/>
    </w:pPr>
    <w:rPr>
      <w:rFonts w:ascii="Arial" w:cs="Arial" w:eastAsia="Arial" w:hAnsi="Arial"/>
      <w:b/>
      <w:bCs/>
      <w:color w:val="2E75B6"/>
      <w:sz w:val="26"/>
      <w:szCs w:val="26"/>
    </w:rPr>
  </w:style>
  <w:style w:type="paragraph" w:styleId="Heading3">
    <w:name w:val="Heading 3"/>
    <w:basedOn w:val="Normal"/>
    <w:next w:val="Normal"/>
    <w:qFormat/>
    <w:pPr>
      <w:spacing w:after="100" w:before="200"/>
    </w:pPr>
    <w:rPr>
      <w:rFonts w:ascii="Arial" w:cs="Arial" w:eastAsia="Arial" w:hAnsi="Arial"/>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Absolute vs Relative Cell Referencing in Excel</dc:title>
  <dc:creator>Kajola Gbenga Adewale</dc:creator>
  <cp:lastModifiedBy>Un-named</cp:lastModifiedBy>
  <cp:revision>1</cp:revision>
  <dcterms:created xsi:type="dcterms:W3CDTF">2026-07-02T13:52:04.056Z</dcterms:created>
  <dcterms:modified xsi:type="dcterms:W3CDTF">2026-07-02T13:52:04.067Z</dcterms:modified>
</cp:coreProperties>
</file>

<file path=docProps/custom.xml><?xml version="1.0" encoding="utf-8"?>
<Properties xmlns="http://schemas.openxmlformats.org/officeDocument/2006/custom-properties" xmlns:vt="http://schemas.openxmlformats.org/officeDocument/2006/docPropsVTypes"/>
</file>